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C10683" w14:textId="77777777" w:rsidR="0094124E" w:rsidRDefault="00477982" w:rsidP="0094124E">
      <w:pPr>
        <w:ind w:left="-1418"/>
      </w:pPr>
      <w:r w:rsidRPr="002E718B">
        <w:rPr>
          <w:noProof/>
          <w:lang w:eastAsia="en-AU"/>
        </w:rPr>
        <w:drawing>
          <wp:inline distT="0" distB="0" distL="0" distR="0" wp14:anchorId="13F84627" wp14:editId="36A7F479">
            <wp:extent cx="7560000" cy="1397710"/>
            <wp:effectExtent l="0" t="0" r="3175" b="0"/>
            <wp:docPr id="2" name="Picture 2" descr="Header banner: Meeting of Cultural Ministers, Statistics work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m-header-banner.png"/>
                    <pic:cNvPicPr/>
                  </pic:nvPicPr>
                  <pic:blipFill rotWithShape="1">
                    <a:blip r:embed="rId11">
                      <a:extLst>
                        <a:ext uri="{28A0092B-C50C-407E-A947-70E740481C1C}">
                          <a14:useLocalDpi xmlns:a14="http://schemas.microsoft.com/office/drawing/2010/main" val="0"/>
                        </a:ext>
                      </a:extLst>
                    </a:blip>
                    <a:srcRect l="1709" t="7699" r="1875" b="1833"/>
                    <a:stretch/>
                  </pic:blipFill>
                  <pic:spPr bwMode="auto">
                    <a:xfrm>
                      <a:off x="0" y="0"/>
                      <a:ext cx="7560000" cy="1397710"/>
                    </a:xfrm>
                    <a:prstGeom prst="rect">
                      <a:avLst/>
                    </a:prstGeom>
                    <a:ln>
                      <a:noFill/>
                    </a:ln>
                    <a:extLst>
                      <a:ext uri="{53640926-AAD7-44D8-BBD7-CCE9431645EC}">
                        <a14:shadowObscured xmlns:a14="http://schemas.microsoft.com/office/drawing/2010/main"/>
                      </a:ext>
                    </a:extLst>
                  </pic:spPr>
                </pic:pic>
              </a:graphicData>
            </a:graphic>
          </wp:inline>
        </w:drawing>
      </w:r>
    </w:p>
    <w:p w14:paraId="3823C66D" w14:textId="77777777" w:rsidR="00FC16F3" w:rsidRDefault="00FC16F3" w:rsidP="0094124E">
      <w:pPr>
        <w:ind w:left="-1418"/>
        <w:sectPr w:rsidR="00FC16F3" w:rsidSect="0047798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0" w:right="1440" w:bottom="1440" w:left="1440" w:header="0" w:footer="0" w:gutter="0"/>
          <w:cols w:space="708"/>
          <w:titlePg/>
          <w:docGrid w:linePitch="360"/>
        </w:sectPr>
      </w:pPr>
    </w:p>
    <w:p w14:paraId="4F8020BC" w14:textId="604F81ED" w:rsidR="002117E6" w:rsidRDefault="001D64AC" w:rsidP="00477982">
      <w:pPr>
        <w:pStyle w:val="Heading1"/>
      </w:pPr>
      <w:r>
        <w:t>Cultural Funding by Government—</w:t>
      </w:r>
      <w:r w:rsidR="00CD19D5">
        <w:t>2019</w:t>
      </w:r>
      <w:r w:rsidR="005D380F">
        <w:t>–</w:t>
      </w:r>
      <w:r w:rsidR="00CD19D5">
        <w:t>20</w:t>
      </w:r>
    </w:p>
    <w:p w14:paraId="01749DAC" w14:textId="77777777" w:rsidR="00AF5FC0" w:rsidRDefault="004A7AAF" w:rsidP="00AF5FC0">
      <w:pPr>
        <w:pStyle w:val="Heading2"/>
      </w:pPr>
      <w:r>
        <w:rPr>
          <w:szCs w:val="36"/>
        </w:rPr>
        <w:t xml:space="preserve">State and </w:t>
      </w:r>
      <w:r w:rsidR="00FF6F45">
        <w:rPr>
          <w:szCs w:val="36"/>
        </w:rPr>
        <w:t xml:space="preserve">territory </w:t>
      </w:r>
      <w:r w:rsidR="00FF6F45" w:rsidRPr="00527D9C">
        <w:rPr>
          <w:szCs w:val="36"/>
        </w:rPr>
        <w:t>govern</w:t>
      </w:r>
      <w:r w:rsidR="001D64AC" w:rsidRPr="00527D9C">
        <w:rPr>
          <w:szCs w:val="36"/>
        </w:rPr>
        <w:t>ment</w:t>
      </w:r>
    </w:p>
    <w:p w14:paraId="71D18CFF" w14:textId="6CE7A606" w:rsidR="00AC459D" w:rsidRDefault="00AC459D" w:rsidP="00AC459D">
      <w:r w:rsidRPr="000A7749">
        <w:t>In 201</w:t>
      </w:r>
      <w:r w:rsidR="00CD19D5" w:rsidRPr="000A7749">
        <w:t>9–20</w:t>
      </w:r>
      <w:r w:rsidRPr="000A7749">
        <w:t xml:space="preserve"> the estimate of expenditure on cultural activities, funded by state and territory government</w:t>
      </w:r>
      <w:r w:rsidR="006565F5" w:rsidRPr="000A7749">
        <w:t>s</w:t>
      </w:r>
      <w:r w:rsidRPr="000A7749">
        <w:t xml:space="preserve">, </w:t>
      </w:r>
      <w:r w:rsidRPr="00ED41F7">
        <w:t xml:space="preserve">was </w:t>
      </w:r>
      <w:r w:rsidRPr="00ED41F7">
        <w:rPr>
          <w:b/>
        </w:rPr>
        <w:t>$2,</w:t>
      </w:r>
      <w:r w:rsidR="000A7749" w:rsidRPr="00ED41F7">
        <w:rPr>
          <w:b/>
        </w:rPr>
        <w:t>716.</w:t>
      </w:r>
      <w:r w:rsidR="00431A60" w:rsidRPr="00ED41F7">
        <w:rPr>
          <w:b/>
        </w:rPr>
        <w:t>5</w:t>
      </w:r>
      <w:r w:rsidRPr="00ED41F7">
        <w:rPr>
          <w:b/>
        </w:rPr>
        <w:t>m</w:t>
      </w:r>
      <w:r w:rsidR="00090F6A" w:rsidRPr="00ED41F7">
        <w:rPr>
          <w:b/>
        </w:rPr>
        <w:t xml:space="preserve">. </w:t>
      </w:r>
      <w:r w:rsidR="00090F6A" w:rsidRPr="00ED41F7">
        <w:t>This represented</w:t>
      </w:r>
      <w:r w:rsidRPr="00ED41F7">
        <w:t xml:space="preserve"> a rise of 1</w:t>
      </w:r>
      <w:r w:rsidR="00CD19D5" w:rsidRPr="00ED41F7">
        <w:t>4</w:t>
      </w:r>
      <w:r w:rsidRPr="00ED41F7">
        <w:t>% (or $</w:t>
      </w:r>
      <w:r w:rsidR="000A7749" w:rsidRPr="00ED41F7">
        <w:t>32</w:t>
      </w:r>
      <w:r w:rsidR="00431A60" w:rsidRPr="00ED41F7">
        <w:t>5</w:t>
      </w:r>
      <w:r w:rsidR="000A7749" w:rsidRPr="00ED41F7">
        <w:t>.</w:t>
      </w:r>
      <w:r w:rsidR="00431A60" w:rsidRPr="00ED41F7">
        <w:t>9</w:t>
      </w:r>
      <w:r w:rsidR="00090F6A" w:rsidRPr="00ED41F7">
        <w:t>m</w:t>
      </w:r>
      <w:r w:rsidR="00090F6A" w:rsidRPr="000A7749">
        <w:t>)</w:t>
      </w:r>
      <w:r w:rsidR="00090F6A" w:rsidRPr="000A7749">
        <w:rPr>
          <w:rStyle w:val="FootnoteReference"/>
        </w:rPr>
        <w:footnoteReference w:id="1"/>
      </w:r>
      <w:r w:rsidR="00090F6A" w:rsidRPr="000A7749">
        <w:t>.</w:t>
      </w:r>
      <w:r w:rsidR="007270E3" w:rsidRPr="000A7749">
        <w:t xml:space="preserve"> This </w:t>
      </w:r>
      <w:r w:rsidR="007270E3" w:rsidRPr="00CC5BA5">
        <w:t xml:space="preserve">amount included </w:t>
      </w:r>
      <w:r w:rsidR="00EB6044" w:rsidRPr="00CC5BA5">
        <w:t xml:space="preserve">an additional </w:t>
      </w:r>
      <w:r w:rsidR="000A7749" w:rsidRPr="00CC5BA5">
        <w:rPr>
          <w:b/>
        </w:rPr>
        <w:t>$50.1</w:t>
      </w:r>
      <w:r w:rsidR="007F5636" w:rsidRPr="00CC5BA5">
        <w:rPr>
          <w:b/>
        </w:rPr>
        <w:t xml:space="preserve">m </w:t>
      </w:r>
      <w:r w:rsidR="007270E3" w:rsidRPr="00CC5BA5">
        <w:t xml:space="preserve">of </w:t>
      </w:r>
      <w:r w:rsidR="00EB6044" w:rsidRPr="00CC5BA5">
        <w:t xml:space="preserve">funding allocated to </w:t>
      </w:r>
      <w:r w:rsidR="007270E3" w:rsidRPr="00CC5BA5">
        <w:t>COVID support funding for eligible organisations, businesses</w:t>
      </w:r>
      <w:r w:rsidR="003C2B56" w:rsidRPr="00CC5BA5">
        <w:t>,</w:t>
      </w:r>
      <w:r w:rsidR="007270E3" w:rsidRPr="00CC5BA5">
        <w:t xml:space="preserve"> </w:t>
      </w:r>
      <w:r w:rsidR="007270E3" w:rsidRPr="000A7749">
        <w:t>and individuals</w:t>
      </w:r>
      <w:r w:rsidR="003C2B56" w:rsidRPr="000A7749">
        <w:t xml:space="preserve"> in</w:t>
      </w:r>
      <w:r w:rsidR="007270E3" w:rsidRPr="000A7749">
        <w:t xml:space="preserve"> creative and cultural industries.</w:t>
      </w:r>
      <w:r w:rsidR="007270E3" w:rsidRPr="000A7749">
        <w:rPr>
          <w:rStyle w:val="FootnoteReference"/>
        </w:rPr>
        <w:footnoteReference w:id="2"/>
      </w:r>
    </w:p>
    <w:p w14:paraId="640DEA58" w14:textId="3104C8F2" w:rsidR="000C694D" w:rsidRPr="000A7749" w:rsidRDefault="000C694D" w:rsidP="000C694D">
      <w:pPr>
        <w:pStyle w:val="ListParagraph"/>
        <w:numPr>
          <w:ilvl w:val="0"/>
          <w:numId w:val="34"/>
        </w:numPr>
      </w:pPr>
      <w:r w:rsidRPr="00950ACB">
        <w:t xml:space="preserve">The estimate of expenditure on cultural activities excluding COVID support funding was </w:t>
      </w:r>
      <w:r w:rsidRPr="00ED41F7">
        <w:rPr>
          <w:b/>
          <w:bCs/>
        </w:rPr>
        <w:t>$</w:t>
      </w:r>
      <w:r w:rsidR="000A7749" w:rsidRPr="00ED41F7">
        <w:rPr>
          <w:b/>
          <w:bCs/>
        </w:rPr>
        <w:t>2,66</w:t>
      </w:r>
      <w:r w:rsidR="00E76D65" w:rsidRPr="00ED41F7">
        <w:rPr>
          <w:b/>
          <w:bCs/>
        </w:rPr>
        <w:t>6.</w:t>
      </w:r>
      <w:r w:rsidR="00ED41F7" w:rsidRPr="00ED41F7">
        <w:rPr>
          <w:b/>
          <w:bCs/>
        </w:rPr>
        <w:t>4</w:t>
      </w:r>
      <w:r w:rsidRPr="00ED41F7">
        <w:rPr>
          <w:b/>
          <w:bCs/>
        </w:rPr>
        <w:t>m</w:t>
      </w:r>
      <w:r w:rsidRPr="00ED41F7">
        <w:t xml:space="preserve">, an increase of </w:t>
      </w:r>
      <w:r w:rsidR="000A7749" w:rsidRPr="00ED41F7">
        <w:t>1</w:t>
      </w:r>
      <w:r w:rsidR="00E76D65" w:rsidRPr="00ED41F7">
        <w:t>2</w:t>
      </w:r>
      <w:r w:rsidRPr="00ED41F7">
        <w:t>% or $</w:t>
      </w:r>
      <w:r w:rsidR="000A7749" w:rsidRPr="00ED41F7">
        <w:t>27</w:t>
      </w:r>
      <w:r w:rsidR="00F72739" w:rsidRPr="00ED41F7">
        <w:t>5</w:t>
      </w:r>
      <w:r w:rsidR="00950ACB" w:rsidRPr="00ED41F7">
        <w:t>.</w:t>
      </w:r>
      <w:r w:rsidR="00ED41F7">
        <w:t>8</w:t>
      </w:r>
      <w:r w:rsidRPr="00ED41F7">
        <w:t>m</w:t>
      </w:r>
      <w:r w:rsidRPr="00F72739">
        <w:t xml:space="preserve"> </w:t>
      </w:r>
      <w:r w:rsidRPr="000A7749">
        <w:t>from 2017–18.</w:t>
      </w:r>
    </w:p>
    <w:p w14:paraId="0F1B17B7" w14:textId="1B4B4DD5" w:rsidR="001D64AC" w:rsidRDefault="0024033A" w:rsidP="001D64AC">
      <w:pPr>
        <w:pStyle w:val="Tablefigureheading"/>
      </w:pPr>
      <w:r>
        <w:t>Table</w:t>
      </w:r>
      <w:r w:rsidR="00EA4193">
        <w:t xml:space="preserve"> 1</w:t>
      </w:r>
      <w:r w:rsidR="00753D4A">
        <w:t xml:space="preserve">. </w:t>
      </w:r>
      <w:r w:rsidR="005C608A">
        <w:t>S</w:t>
      </w:r>
      <w:r w:rsidR="00AC459D">
        <w:t>tate and territory government</w:t>
      </w:r>
      <w:r w:rsidR="00436F4C">
        <w:t xml:space="preserve"> </w:t>
      </w:r>
      <w:r w:rsidR="0082186E">
        <w:t>cultural expenditure</w:t>
      </w:r>
      <w:r w:rsidR="00CD19D5">
        <w:t>, 2016–17 to 2019</w:t>
      </w:r>
      <w:r w:rsidR="005D380F">
        <w:t>–</w:t>
      </w:r>
      <w:r w:rsidR="00CD19D5">
        <w:t>20</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State and territory government cultural expenditure, 2015–16 to 2017–18."/>
      </w:tblPr>
      <w:tblGrid>
        <w:gridCol w:w="1201"/>
        <w:gridCol w:w="1981"/>
        <w:gridCol w:w="1981"/>
        <w:gridCol w:w="2583"/>
      </w:tblGrid>
      <w:tr w:rsidR="000C694D" w:rsidRPr="00D54FEF" w14:paraId="3E0347CA" w14:textId="77777777" w:rsidTr="000C694D">
        <w:trPr>
          <w:cantSplit/>
          <w:trHeight w:val="403"/>
          <w:tblHeader/>
        </w:trPr>
        <w:tc>
          <w:tcPr>
            <w:tcW w:w="1201" w:type="dxa"/>
            <w:tcBorders>
              <w:top w:val="nil"/>
              <w:left w:val="nil"/>
              <w:bottom w:val="thickThinLargeGap" w:sz="24" w:space="0" w:color="auto"/>
              <w:right w:val="nil"/>
            </w:tcBorders>
            <w:shd w:val="clear" w:color="auto" w:fill="C3AFF7"/>
          </w:tcPr>
          <w:p w14:paraId="171C6CB4" w14:textId="77777777" w:rsidR="000C694D" w:rsidRDefault="000C694D" w:rsidP="00F04F94">
            <w:pPr>
              <w:pStyle w:val="Tablerowcolumnheadingcentred"/>
            </w:pPr>
            <w:r>
              <w:t>2016–17</w:t>
            </w:r>
          </w:p>
        </w:tc>
        <w:tc>
          <w:tcPr>
            <w:tcW w:w="1981" w:type="dxa"/>
            <w:tcBorders>
              <w:top w:val="nil"/>
              <w:left w:val="nil"/>
              <w:bottom w:val="thickThinLargeGap" w:sz="24" w:space="0" w:color="auto"/>
              <w:right w:val="nil"/>
            </w:tcBorders>
            <w:shd w:val="clear" w:color="auto" w:fill="C3AFF7"/>
          </w:tcPr>
          <w:p w14:paraId="3882E2F3" w14:textId="77777777" w:rsidR="000C694D" w:rsidRDefault="000C694D" w:rsidP="00F04F94">
            <w:pPr>
              <w:pStyle w:val="Tablerowcolumnheadingcentred"/>
            </w:pPr>
            <w:r>
              <w:t>2017–18</w:t>
            </w:r>
          </w:p>
        </w:tc>
        <w:tc>
          <w:tcPr>
            <w:tcW w:w="1981" w:type="dxa"/>
            <w:tcBorders>
              <w:top w:val="nil"/>
              <w:left w:val="nil"/>
              <w:bottom w:val="thickThinLargeGap" w:sz="24" w:space="0" w:color="auto"/>
              <w:right w:val="nil"/>
            </w:tcBorders>
            <w:shd w:val="clear" w:color="auto" w:fill="C3AFF7"/>
          </w:tcPr>
          <w:p w14:paraId="1049488A" w14:textId="77777777" w:rsidR="000C694D" w:rsidRDefault="000C694D" w:rsidP="00F04F94">
            <w:pPr>
              <w:pStyle w:val="Tablerowcolumnheadingcentred"/>
            </w:pPr>
            <w:r>
              <w:t>2019–20</w:t>
            </w:r>
          </w:p>
        </w:tc>
        <w:tc>
          <w:tcPr>
            <w:tcW w:w="2583" w:type="dxa"/>
            <w:tcBorders>
              <w:top w:val="nil"/>
              <w:left w:val="nil"/>
              <w:bottom w:val="thickThinLargeGap" w:sz="24" w:space="0" w:color="auto"/>
              <w:right w:val="nil"/>
            </w:tcBorders>
            <w:shd w:val="clear" w:color="auto" w:fill="C3AFF7"/>
          </w:tcPr>
          <w:p w14:paraId="66709BD0" w14:textId="77777777" w:rsidR="000C694D" w:rsidRDefault="000C694D" w:rsidP="00F04F94">
            <w:pPr>
              <w:pStyle w:val="Tablerowcolumnheadingcentred"/>
            </w:pPr>
            <w:r>
              <w:t>2019–20</w:t>
            </w:r>
          </w:p>
          <w:p w14:paraId="091677EC" w14:textId="77777777" w:rsidR="000C694D" w:rsidRPr="00D54FEF" w:rsidRDefault="000C694D" w:rsidP="00F04F94">
            <w:pPr>
              <w:spacing w:after="0"/>
              <w:jc w:val="center"/>
              <w:rPr>
                <w:i/>
                <w:iCs/>
                <w:sz w:val="18"/>
                <w:szCs w:val="18"/>
              </w:rPr>
            </w:pPr>
            <w:r w:rsidRPr="00D54FEF">
              <w:rPr>
                <w:i/>
                <w:iCs/>
                <w:sz w:val="18"/>
                <w:szCs w:val="18"/>
              </w:rPr>
              <w:t>Without COVI</w:t>
            </w:r>
            <w:r>
              <w:rPr>
                <w:i/>
                <w:iCs/>
                <w:sz w:val="18"/>
                <w:szCs w:val="18"/>
              </w:rPr>
              <w:t>D s</w:t>
            </w:r>
            <w:r w:rsidRPr="00D54FEF">
              <w:rPr>
                <w:i/>
                <w:iCs/>
                <w:sz w:val="18"/>
                <w:szCs w:val="18"/>
              </w:rPr>
              <w:t xml:space="preserve">upport </w:t>
            </w:r>
            <w:r>
              <w:rPr>
                <w:i/>
                <w:iCs/>
                <w:sz w:val="18"/>
                <w:szCs w:val="18"/>
              </w:rPr>
              <w:t>f</w:t>
            </w:r>
            <w:r w:rsidRPr="00D54FEF">
              <w:rPr>
                <w:i/>
                <w:iCs/>
                <w:sz w:val="18"/>
                <w:szCs w:val="18"/>
              </w:rPr>
              <w:t>unding</w:t>
            </w:r>
          </w:p>
        </w:tc>
      </w:tr>
      <w:tr w:rsidR="000C694D" w:rsidRPr="00ED41F7" w14:paraId="05869F64" w14:textId="77777777" w:rsidTr="000C694D">
        <w:trPr>
          <w:cantSplit/>
          <w:trHeight w:val="197"/>
        </w:trPr>
        <w:tc>
          <w:tcPr>
            <w:tcW w:w="1201" w:type="dxa"/>
            <w:tcBorders>
              <w:top w:val="single" w:sz="4" w:space="0" w:color="auto"/>
              <w:left w:val="nil"/>
              <w:bottom w:val="single" w:sz="12" w:space="0" w:color="auto"/>
              <w:right w:val="nil"/>
            </w:tcBorders>
          </w:tcPr>
          <w:p w14:paraId="1EE5ECEC" w14:textId="0F412A0E" w:rsidR="000C694D" w:rsidRPr="00303AC1" w:rsidRDefault="000C694D" w:rsidP="00F04F94">
            <w:pPr>
              <w:pStyle w:val="Tabletextcentred"/>
            </w:pPr>
            <w:r w:rsidRPr="00303AC1">
              <w:t>$</w:t>
            </w:r>
            <w:r>
              <w:t>2,041.6m</w:t>
            </w:r>
          </w:p>
        </w:tc>
        <w:tc>
          <w:tcPr>
            <w:tcW w:w="1981" w:type="dxa"/>
            <w:tcBorders>
              <w:top w:val="single" w:sz="4" w:space="0" w:color="auto"/>
              <w:left w:val="nil"/>
              <w:bottom w:val="single" w:sz="12" w:space="0" w:color="auto"/>
              <w:right w:val="nil"/>
            </w:tcBorders>
          </w:tcPr>
          <w:p w14:paraId="75BED9B8" w14:textId="0623E1B3" w:rsidR="000C694D" w:rsidRPr="00303AC1" w:rsidRDefault="000C694D" w:rsidP="00F04F94">
            <w:pPr>
              <w:pStyle w:val="Tabletextcentred"/>
            </w:pPr>
            <w:r w:rsidRPr="00303AC1">
              <w:t>$</w:t>
            </w:r>
            <w:r>
              <w:t>2,390.6</w:t>
            </w:r>
            <w:r w:rsidRPr="00303AC1">
              <w:t>m ↑</w:t>
            </w:r>
            <w:r>
              <w:t>17</w:t>
            </w:r>
            <w:r w:rsidRPr="00303AC1">
              <w:t>%</w:t>
            </w:r>
          </w:p>
        </w:tc>
        <w:tc>
          <w:tcPr>
            <w:tcW w:w="1981" w:type="dxa"/>
            <w:tcBorders>
              <w:top w:val="single" w:sz="4" w:space="0" w:color="auto"/>
              <w:left w:val="nil"/>
              <w:bottom w:val="single" w:sz="12" w:space="0" w:color="auto"/>
              <w:right w:val="nil"/>
            </w:tcBorders>
          </w:tcPr>
          <w:p w14:paraId="35B36CB1" w14:textId="36E03F1D" w:rsidR="000C694D" w:rsidRPr="00F72739" w:rsidRDefault="002A5903" w:rsidP="00F04F94">
            <w:pPr>
              <w:pStyle w:val="Tabletextcentred"/>
              <w:rPr>
                <w:highlight w:val="yellow"/>
              </w:rPr>
            </w:pPr>
            <w:r w:rsidRPr="00ED41F7">
              <w:t>$2,716.</w:t>
            </w:r>
            <w:r w:rsidR="00F72739" w:rsidRPr="00ED41F7">
              <w:t>5</w:t>
            </w:r>
            <w:r w:rsidR="000C694D" w:rsidRPr="00ED41F7">
              <w:t>m ↑14%</w:t>
            </w:r>
          </w:p>
        </w:tc>
        <w:tc>
          <w:tcPr>
            <w:tcW w:w="2583" w:type="dxa"/>
            <w:tcBorders>
              <w:top w:val="single" w:sz="4" w:space="0" w:color="auto"/>
              <w:left w:val="nil"/>
              <w:bottom w:val="single" w:sz="12" w:space="0" w:color="auto"/>
              <w:right w:val="nil"/>
            </w:tcBorders>
          </w:tcPr>
          <w:p w14:paraId="3F5D9E17" w14:textId="01457F79" w:rsidR="000C694D" w:rsidRPr="00ED41F7" w:rsidRDefault="000C694D" w:rsidP="00F04F94">
            <w:pPr>
              <w:pStyle w:val="Tabletextcentred"/>
            </w:pPr>
            <w:r w:rsidRPr="00ED41F7">
              <w:t>$</w:t>
            </w:r>
            <w:r w:rsidR="002A5903" w:rsidRPr="00ED41F7">
              <w:t>2,66</w:t>
            </w:r>
            <w:r w:rsidR="00E76D65" w:rsidRPr="00ED41F7">
              <w:t>6.</w:t>
            </w:r>
            <w:r w:rsidR="00ED41F7" w:rsidRPr="00ED41F7">
              <w:t>4</w:t>
            </w:r>
            <w:r w:rsidRPr="00ED41F7">
              <w:t>m ↑</w:t>
            </w:r>
            <w:r w:rsidR="002A5903" w:rsidRPr="00ED41F7">
              <w:t>1</w:t>
            </w:r>
            <w:r w:rsidR="00E76D65" w:rsidRPr="00ED41F7">
              <w:t>2</w:t>
            </w:r>
            <w:r w:rsidRPr="00ED41F7">
              <w:t>%</w:t>
            </w:r>
          </w:p>
        </w:tc>
      </w:tr>
    </w:tbl>
    <w:p w14:paraId="70FC847F" w14:textId="6F6AF318" w:rsidR="00723C86" w:rsidRPr="00ED41F7" w:rsidRDefault="00723C86" w:rsidP="00360A41">
      <w:pPr>
        <w:pStyle w:val="bullets-arrows"/>
        <w:numPr>
          <w:ilvl w:val="0"/>
          <w:numId w:val="34"/>
        </w:numPr>
      </w:pPr>
      <w:r w:rsidRPr="00ED41F7">
        <w:t xml:space="preserve">The estimate of per person cultural funding </w:t>
      </w:r>
      <w:r w:rsidR="000C694D" w:rsidRPr="00ED41F7">
        <w:t>including COVID support funding was</w:t>
      </w:r>
      <w:r w:rsidRPr="00ED41F7">
        <w:t xml:space="preserve"> $</w:t>
      </w:r>
      <w:r w:rsidR="002A5903" w:rsidRPr="00ED41F7">
        <w:t>106.2</w:t>
      </w:r>
      <w:r w:rsidR="00F72739" w:rsidRPr="00ED41F7">
        <w:t>8</w:t>
      </w:r>
      <w:r w:rsidR="000C694D" w:rsidRPr="00ED41F7">
        <w:t>, and without was $</w:t>
      </w:r>
      <w:r w:rsidR="002A5903" w:rsidRPr="00ED41F7">
        <w:t>104.</w:t>
      </w:r>
      <w:r w:rsidR="00E76D65" w:rsidRPr="00ED41F7">
        <w:t>3</w:t>
      </w:r>
      <w:r w:rsidR="00F72739" w:rsidRPr="00ED41F7">
        <w:t>2</w:t>
      </w:r>
    </w:p>
    <w:p w14:paraId="2273DD9F" w14:textId="1EF23E2D" w:rsidR="00AC459D" w:rsidRPr="00CD19D5" w:rsidRDefault="00AC459D" w:rsidP="00AC459D">
      <w:r w:rsidRPr="00CD19D5">
        <w:t>Individual state and territory government's expenditure on cultural activities closely reflected population size.</w:t>
      </w:r>
      <w:r w:rsidR="00B06DFC">
        <w:t xml:space="preserve"> </w:t>
      </w:r>
      <w:r w:rsidR="00B06DFC" w:rsidRPr="00CD19D5">
        <w:t xml:space="preserve">All state and territory governments increased funding between </w:t>
      </w:r>
      <w:r w:rsidR="006264F5" w:rsidRPr="00CD19D5">
        <w:t>2017–18</w:t>
      </w:r>
      <w:r w:rsidR="006264F5">
        <w:t xml:space="preserve"> and </w:t>
      </w:r>
      <w:r w:rsidR="00B06DFC" w:rsidRPr="00CD19D5">
        <w:t>2019–20 except South Australia which decrease</w:t>
      </w:r>
      <w:r w:rsidR="00B06DFC">
        <w:t>d</w:t>
      </w:r>
      <w:r w:rsidR="00B06DFC" w:rsidRPr="00CD19D5">
        <w:t xml:space="preserve"> </w:t>
      </w:r>
      <w:r w:rsidR="00B06DFC">
        <w:t>by</w:t>
      </w:r>
      <w:r w:rsidR="00B06DFC" w:rsidRPr="00CD19D5">
        <w:t xml:space="preserve"> 6% or $14.4m</w:t>
      </w:r>
      <w:r w:rsidR="006D5CFF">
        <w:t xml:space="preserve">, </w:t>
      </w:r>
      <w:r w:rsidR="006D5CFF" w:rsidRPr="000750F4">
        <w:t>due to the completion of capital works.</w:t>
      </w:r>
    </w:p>
    <w:p w14:paraId="5209DC60" w14:textId="5C7CC604" w:rsidR="00AC459D" w:rsidRPr="00CC5BA5" w:rsidRDefault="00AC459D" w:rsidP="00AC459D">
      <w:pPr>
        <w:pStyle w:val="Tablefigureheading"/>
        <w:rPr>
          <w:b w:val="0"/>
          <w:bCs/>
          <w:color w:val="FF0000"/>
          <w:sz w:val="18"/>
          <w:szCs w:val="18"/>
        </w:rPr>
      </w:pPr>
      <w:r w:rsidRPr="002A5903">
        <w:t xml:space="preserve">Figure 1. State and territory governments total </w:t>
      </w:r>
      <w:r w:rsidRPr="00ED41F7">
        <w:t>cultural expenditure(a)</w:t>
      </w:r>
      <w:r w:rsidR="00CC5BA5">
        <w:t xml:space="preserve"> </w:t>
      </w:r>
    </w:p>
    <w:p w14:paraId="28E10F51" w14:textId="1F23BD99" w:rsidR="002A5903" w:rsidRPr="00350E30" w:rsidRDefault="0099672C" w:rsidP="00AC459D">
      <w:r>
        <w:rPr>
          <w:noProof/>
        </w:rPr>
        <w:drawing>
          <wp:inline distT="0" distB="0" distL="0" distR="0" wp14:anchorId="392D49E9" wp14:editId="00267232">
            <wp:extent cx="4495800" cy="2035175"/>
            <wp:effectExtent l="0" t="0" r="0" b="3175"/>
            <wp:docPr id="5" name="Chart 5" descr="Figure 1. State and territory governments total cultural expenditure.&#10;&#10;A column graph compares total cultural expenditure across state and territory governments between the financial years of 2016-17, 2017-18 and 2019-20.&#10;&#10;Care should be taken when comparing expenditure between states and territories due to different administrative arrangements.&#10;&#10;Total expenditure for 2019-20:&#10;New South Wales $799.4 million&#10;Victoria $587.3 million&#10;Queensland $450.2 million&#10;South Australia $239.3 million&#10;Western Australian $375.6 million&#10;Tasmania $99.1 million&#10;Northern Territory $76.0 million&#10;Australian Capital Territory $89.4 million.&#10;">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58180E" w14:textId="389B81BF" w:rsidR="00AC459D" w:rsidRDefault="00AC459D" w:rsidP="007D1B34">
      <w:pPr>
        <w:pStyle w:val="Sourcenote"/>
        <w:numPr>
          <w:ilvl w:val="0"/>
          <w:numId w:val="18"/>
        </w:numPr>
        <w:rPr>
          <w:sz w:val="18"/>
          <w:szCs w:val="18"/>
        </w:rPr>
      </w:pPr>
      <w:bookmarkStart w:id="0" w:name="_Hlk6925977"/>
      <w:r w:rsidRPr="00AC6FCD">
        <w:rPr>
          <w:sz w:val="18"/>
          <w:szCs w:val="18"/>
        </w:rPr>
        <w:t xml:space="preserve">Care should be taken when comparing </w:t>
      </w:r>
      <w:r w:rsidR="00D64033" w:rsidRPr="00AC6FCD">
        <w:rPr>
          <w:sz w:val="18"/>
          <w:szCs w:val="18"/>
        </w:rPr>
        <w:t xml:space="preserve">expenditure </w:t>
      </w:r>
      <w:r w:rsidRPr="00AC6FCD">
        <w:rPr>
          <w:sz w:val="18"/>
          <w:szCs w:val="18"/>
        </w:rPr>
        <w:t>between state</w:t>
      </w:r>
      <w:r w:rsidR="008303C7" w:rsidRPr="00AC6FCD">
        <w:rPr>
          <w:sz w:val="18"/>
          <w:szCs w:val="18"/>
        </w:rPr>
        <w:t>s</w:t>
      </w:r>
      <w:r w:rsidRPr="00AC6FCD">
        <w:rPr>
          <w:sz w:val="18"/>
          <w:szCs w:val="18"/>
        </w:rPr>
        <w:t xml:space="preserve"> and territories</w:t>
      </w:r>
      <w:r w:rsidR="009E0573" w:rsidRPr="00AC6FCD">
        <w:rPr>
          <w:sz w:val="18"/>
          <w:szCs w:val="18"/>
        </w:rPr>
        <w:t xml:space="preserve"> due to different </w:t>
      </w:r>
      <w:r w:rsidR="000B5C55" w:rsidRPr="00AC6FCD">
        <w:rPr>
          <w:sz w:val="18"/>
          <w:szCs w:val="18"/>
        </w:rPr>
        <w:t>administrative</w:t>
      </w:r>
      <w:r w:rsidR="009E0573" w:rsidRPr="00AC6FCD">
        <w:rPr>
          <w:sz w:val="18"/>
          <w:szCs w:val="18"/>
        </w:rPr>
        <w:t xml:space="preserve"> </w:t>
      </w:r>
      <w:r w:rsidR="000B5C55" w:rsidRPr="00AC6FCD">
        <w:rPr>
          <w:sz w:val="18"/>
          <w:szCs w:val="18"/>
        </w:rPr>
        <w:t>arrangements</w:t>
      </w:r>
      <w:r w:rsidR="009E0573" w:rsidRPr="00AC6FCD">
        <w:rPr>
          <w:sz w:val="18"/>
          <w:szCs w:val="18"/>
        </w:rPr>
        <w:t>.</w:t>
      </w:r>
    </w:p>
    <w:bookmarkEnd w:id="0"/>
    <w:p w14:paraId="1D082547" w14:textId="2314F268" w:rsidR="00AC459D" w:rsidRPr="00CD19D5" w:rsidRDefault="00203386" w:rsidP="006904B5">
      <w:pPr>
        <w:pStyle w:val="Sourcenote"/>
        <w:rPr>
          <w:sz w:val="22"/>
          <w:szCs w:val="22"/>
        </w:rPr>
      </w:pPr>
      <w:r w:rsidRPr="00CD19D5">
        <w:rPr>
          <w:sz w:val="22"/>
          <w:szCs w:val="22"/>
        </w:rPr>
        <w:lastRenderedPageBreak/>
        <w:t>T</w:t>
      </w:r>
      <w:r w:rsidR="00AC459D" w:rsidRPr="00CD19D5">
        <w:rPr>
          <w:sz w:val="22"/>
          <w:szCs w:val="22"/>
        </w:rPr>
        <w:t xml:space="preserve">he highest percentage increase </w:t>
      </w:r>
      <w:r w:rsidR="00AB2AF9" w:rsidRPr="00CD19D5">
        <w:rPr>
          <w:sz w:val="22"/>
          <w:szCs w:val="22"/>
        </w:rPr>
        <w:t xml:space="preserve">in funding </w:t>
      </w:r>
      <w:r w:rsidRPr="00CD19D5">
        <w:rPr>
          <w:sz w:val="22"/>
          <w:szCs w:val="22"/>
        </w:rPr>
        <w:t xml:space="preserve">was </w:t>
      </w:r>
      <w:r w:rsidR="00B06DFC">
        <w:rPr>
          <w:sz w:val="22"/>
          <w:szCs w:val="22"/>
        </w:rPr>
        <w:t xml:space="preserve">for </w:t>
      </w:r>
      <w:r w:rsidRPr="00CD19D5">
        <w:rPr>
          <w:sz w:val="22"/>
          <w:szCs w:val="22"/>
        </w:rPr>
        <w:t>New South Wales</w:t>
      </w:r>
      <w:r w:rsidR="00B06DFC">
        <w:rPr>
          <w:sz w:val="22"/>
          <w:szCs w:val="22"/>
        </w:rPr>
        <w:t xml:space="preserve"> and Western Australia</w:t>
      </w:r>
      <w:r w:rsidR="00AC459D" w:rsidRPr="00CD19D5">
        <w:rPr>
          <w:sz w:val="22"/>
          <w:szCs w:val="22"/>
        </w:rPr>
        <w:t xml:space="preserve"> (</w:t>
      </w:r>
      <w:r w:rsidR="00B06DFC">
        <w:rPr>
          <w:sz w:val="22"/>
          <w:szCs w:val="22"/>
        </w:rPr>
        <w:t xml:space="preserve">both </w:t>
      </w:r>
      <w:r w:rsidR="00CD19D5" w:rsidRPr="00CD19D5">
        <w:rPr>
          <w:sz w:val="22"/>
          <w:szCs w:val="22"/>
        </w:rPr>
        <w:t>27</w:t>
      </w:r>
      <w:r w:rsidR="00AC459D" w:rsidRPr="00CD19D5">
        <w:rPr>
          <w:sz w:val="22"/>
          <w:szCs w:val="22"/>
        </w:rPr>
        <w:t>%</w:t>
      </w:r>
      <w:r w:rsidR="00B06DFC">
        <w:rPr>
          <w:sz w:val="22"/>
          <w:szCs w:val="22"/>
        </w:rPr>
        <w:t>).</w:t>
      </w:r>
      <w:r w:rsidR="00AC459D" w:rsidRPr="00CD19D5">
        <w:rPr>
          <w:sz w:val="22"/>
          <w:szCs w:val="22"/>
        </w:rPr>
        <w:t xml:space="preserve"> </w:t>
      </w:r>
    </w:p>
    <w:p w14:paraId="5C8AE052" w14:textId="77777777" w:rsidR="00AB2AF9" w:rsidRPr="00F0060F" w:rsidRDefault="000141FB" w:rsidP="00AB2AF9">
      <w:pPr>
        <w:pStyle w:val="Heading3"/>
        <w:rPr>
          <w:color w:val="5860B0" w:themeColor="accent3" w:themeShade="BF"/>
        </w:rPr>
      </w:pPr>
      <w:r>
        <w:t>Heritage</w:t>
      </w:r>
    </w:p>
    <w:p w14:paraId="56CC8739" w14:textId="1877D356" w:rsidR="005607E8" w:rsidRPr="00CD19D5" w:rsidRDefault="005607E8" w:rsidP="005607E8">
      <w:r w:rsidRPr="00CD19D5">
        <w:t xml:space="preserve">Funds on </w:t>
      </w:r>
      <w:r w:rsidRPr="00CD19D5">
        <w:rPr>
          <w:i/>
        </w:rPr>
        <w:t>Heritage</w:t>
      </w:r>
      <w:r w:rsidRPr="00CD19D5">
        <w:t xml:space="preserve"> activities rose </w:t>
      </w:r>
      <w:r w:rsidR="00CD19D5" w:rsidRPr="00CD19D5">
        <w:t>12</w:t>
      </w:r>
      <w:r w:rsidRPr="00CD19D5">
        <w:t>% (or $</w:t>
      </w:r>
      <w:r w:rsidR="00F311B5" w:rsidRPr="00CD19D5">
        <w:t>1</w:t>
      </w:r>
      <w:r w:rsidR="00CD19D5" w:rsidRPr="00CD19D5">
        <w:t>5</w:t>
      </w:r>
      <w:r w:rsidR="00360A41">
        <w:t>8.6</w:t>
      </w:r>
      <w:r w:rsidRPr="00CD19D5">
        <w:t>m) to $</w:t>
      </w:r>
      <w:r w:rsidR="00CD19D5" w:rsidRPr="00CD19D5">
        <w:t>1,45</w:t>
      </w:r>
      <w:r w:rsidR="00360A41">
        <w:t>8.0</w:t>
      </w:r>
      <w:r w:rsidRPr="00CD19D5">
        <w:t>m.</w:t>
      </w:r>
    </w:p>
    <w:p w14:paraId="7F6C82F3" w14:textId="73DC80B8" w:rsidR="005607E8" w:rsidRPr="00F0060F" w:rsidRDefault="00F0060F" w:rsidP="005607E8">
      <w:r w:rsidRPr="00F0060F">
        <w:t>The</w:t>
      </w:r>
      <w:r w:rsidR="005607E8" w:rsidRPr="00F0060F">
        <w:t xml:space="preserve"> increase </w:t>
      </w:r>
      <w:r w:rsidRPr="00F0060F">
        <w:t xml:space="preserve">was driven by expenditure on all categories including </w:t>
      </w:r>
      <w:r w:rsidRPr="00F0060F">
        <w:rPr>
          <w:i/>
        </w:rPr>
        <w:t xml:space="preserve">Art museums </w:t>
      </w:r>
      <w:r w:rsidR="00955A9C" w:rsidRPr="007E3D94">
        <w:t>(↑$</w:t>
      </w:r>
      <w:r w:rsidRPr="000750F4">
        <w:t>90</w:t>
      </w:r>
      <w:r w:rsidR="00F311B5" w:rsidRPr="000750F4">
        <w:t>.</w:t>
      </w:r>
      <w:r w:rsidR="00360A41">
        <w:t>7</w:t>
      </w:r>
      <w:r w:rsidR="00955A9C" w:rsidRPr="007E3D94">
        <w:t>m)</w:t>
      </w:r>
      <w:r w:rsidR="00661DF5" w:rsidRPr="007E3D94">
        <w:t>,</w:t>
      </w:r>
      <w:r w:rsidR="00661DF5" w:rsidRPr="00F0060F">
        <w:t xml:space="preserve"> </w:t>
      </w:r>
      <w:r w:rsidRPr="00F0060F">
        <w:rPr>
          <w:i/>
        </w:rPr>
        <w:t xml:space="preserve">Other museums and cultural heritage </w:t>
      </w:r>
      <w:r w:rsidR="00B654DF" w:rsidRPr="00F0060F">
        <w:t>(↑$</w:t>
      </w:r>
      <w:r w:rsidRPr="00F0060F">
        <w:t>31.</w:t>
      </w:r>
      <w:r w:rsidR="00360A41">
        <w:t>7</w:t>
      </w:r>
      <w:r w:rsidRPr="00F0060F">
        <w:t xml:space="preserve">m), </w:t>
      </w:r>
      <w:r w:rsidRPr="00F0060F">
        <w:rPr>
          <w:i/>
        </w:rPr>
        <w:t>Libraries</w:t>
      </w:r>
      <w:r w:rsidR="00661DF5" w:rsidRPr="00F0060F">
        <w:t xml:space="preserve"> (↑$</w:t>
      </w:r>
      <w:r w:rsidRPr="00F0060F">
        <w:t>23.</w:t>
      </w:r>
      <w:r w:rsidR="00360A41">
        <w:t>4</w:t>
      </w:r>
      <w:r w:rsidR="00661DF5" w:rsidRPr="00F0060F">
        <w:t>m)</w:t>
      </w:r>
      <w:r w:rsidRPr="00F0060F">
        <w:t xml:space="preserve"> and </w:t>
      </w:r>
      <w:r w:rsidRPr="00F0060F">
        <w:rPr>
          <w:i/>
        </w:rPr>
        <w:t xml:space="preserve">Archives </w:t>
      </w:r>
      <w:r w:rsidRPr="00F0060F">
        <w:t>(↑$12.9m).</w:t>
      </w:r>
    </w:p>
    <w:p w14:paraId="00E89E0A" w14:textId="37113C2C" w:rsidR="001D64AC" w:rsidRPr="001E7185" w:rsidRDefault="00426F0B" w:rsidP="00426F0B">
      <w:r w:rsidRPr="00F0060F">
        <w:t xml:space="preserve">The largest categories of </w:t>
      </w:r>
      <w:r w:rsidRPr="00F0060F">
        <w:rPr>
          <w:i/>
        </w:rPr>
        <w:t>Heritage</w:t>
      </w:r>
      <w:r w:rsidRPr="00F0060F">
        <w:t xml:space="preserve"> expenditure were </w:t>
      </w:r>
      <w:r w:rsidR="00661DF5" w:rsidRPr="00F0060F">
        <w:rPr>
          <w:i/>
        </w:rPr>
        <w:t>Other museums and cultural heritage</w:t>
      </w:r>
      <w:r w:rsidR="0009659E" w:rsidRPr="00F0060F">
        <w:t xml:space="preserve"> </w:t>
      </w:r>
      <w:r w:rsidR="00F0060F" w:rsidRPr="00F0060F">
        <w:t>with $597.</w:t>
      </w:r>
      <w:r w:rsidR="00360A41">
        <w:t>5</w:t>
      </w:r>
      <w:r w:rsidR="00F0060F" w:rsidRPr="00F0060F">
        <w:t>m</w:t>
      </w:r>
      <w:r w:rsidR="0036093A">
        <w:t>,</w:t>
      </w:r>
      <w:r w:rsidR="00F0060F" w:rsidRPr="00F0060F">
        <w:t xml:space="preserve"> </w:t>
      </w:r>
      <w:r w:rsidRPr="001E7185">
        <w:t xml:space="preserve">followed by </w:t>
      </w:r>
      <w:r w:rsidR="00F311B5" w:rsidRPr="001E7185">
        <w:rPr>
          <w:i/>
        </w:rPr>
        <w:t xml:space="preserve">Libraries </w:t>
      </w:r>
      <w:r w:rsidRPr="001E7185">
        <w:t>with $</w:t>
      </w:r>
      <w:r w:rsidR="00F0060F" w:rsidRPr="001E7185">
        <w:t>48</w:t>
      </w:r>
      <w:r w:rsidR="00360A41" w:rsidRPr="001E7185">
        <w:t>4.1</w:t>
      </w:r>
      <w:r w:rsidRPr="001E7185">
        <w:t>m.</w:t>
      </w:r>
      <w:r w:rsidR="00D47936" w:rsidRPr="001E7185">
        <w:t xml:space="preserve"> </w:t>
      </w:r>
    </w:p>
    <w:p w14:paraId="610CCDB9" w14:textId="554EE840" w:rsidR="008B4A85" w:rsidRPr="001E7185" w:rsidRDefault="008B4A85" w:rsidP="0036093A">
      <w:pPr>
        <w:pStyle w:val="bullets-arrows"/>
        <w:numPr>
          <w:ilvl w:val="0"/>
          <w:numId w:val="0"/>
        </w:numPr>
      </w:pPr>
      <w:r w:rsidRPr="001E7185">
        <w:t xml:space="preserve">The New South Wales Government was the largest contributor to </w:t>
      </w:r>
      <w:r w:rsidRPr="001E7185">
        <w:rPr>
          <w:i/>
        </w:rPr>
        <w:t>Other museums and cultural heritage</w:t>
      </w:r>
      <w:r w:rsidRPr="001E7185">
        <w:t xml:space="preserve"> account</w:t>
      </w:r>
      <w:r w:rsidR="00F0060F" w:rsidRPr="001E7185">
        <w:t>ing for $236.2m (40%) of total s</w:t>
      </w:r>
      <w:r w:rsidRPr="001E7185">
        <w:t xml:space="preserve">tate and territory government expenditure on this category. </w:t>
      </w:r>
      <w:r w:rsidR="00F0060F" w:rsidRPr="001E7185">
        <w:t>Western Australia</w:t>
      </w:r>
      <w:r w:rsidR="0036093A">
        <w:t>n Government</w:t>
      </w:r>
      <w:r w:rsidR="00F0060F" w:rsidRPr="001E7185">
        <w:t xml:space="preserve"> (27</w:t>
      </w:r>
      <w:r w:rsidRPr="001E7185">
        <w:t>%) was the next highest contributor</w:t>
      </w:r>
      <w:r w:rsidR="003A17CA" w:rsidRPr="001E7185">
        <w:t xml:space="preserve"> (</w:t>
      </w:r>
      <w:r w:rsidR="00F0060F" w:rsidRPr="001E7185">
        <w:t>$162.0</w:t>
      </w:r>
      <w:r w:rsidRPr="001E7185">
        <w:t>m</w:t>
      </w:r>
      <w:r w:rsidR="003A17CA" w:rsidRPr="001E7185">
        <w:t>)</w:t>
      </w:r>
      <w:r w:rsidRPr="001E7185">
        <w:t>.</w:t>
      </w:r>
    </w:p>
    <w:p w14:paraId="743E31FA" w14:textId="77777777" w:rsidR="0036093A" w:rsidRDefault="0036093A" w:rsidP="0036093A">
      <w:pPr>
        <w:pStyle w:val="bullets-arrows"/>
        <w:numPr>
          <w:ilvl w:val="0"/>
          <w:numId w:val="0"/>
        </w:numPr>
      </w:pPr>
    </w:p>
    <w:p w14:paraId="433D0DFF" w14:textId="0CD9E8BC" w:rsidR="003A17CA" w:rsidRPr="001E7185" w:rsidRDefault="003A17CA" w:rsidP="0036093A">
      <w:pPr>
        <w:pStyle w:val="bullets-arrows"/>
        <w:numPr>
          <w:ilvl w:val="0"/>
          <w:numId w:val="0"/>
        </w:numPr>
      </w:pPr>
      <w:r w:rsidRPr="001E7185">
        <w:t xml:space="preserve">The Victorian Government </w:t>
      </w:r>
      <w:r w:rsidR="0036093A" w:rsidRPr="001E7185">
        <w:t xml:space="preserve">was the largest contributor </w:t>
      </w:r>
      <w:r w:rsidR="0036093A">
        <w:t xml:space="preserve">to </w:t>
      </w:r>
      <w:r w:rsidRPr="001E7185">
        <w:rPr>
          <w:i/>
        </w:rPr>
        <w:t>Libraries</w:t>
      </w:r>
      <w:r w:rsidR="0036093A">
        <w:t xml:space="preserve">, </w:t>
      </w:r>
      <w:r w:rsidRPr="001E7185">
        <w:t>$</w:t>
      </w:r>
      <w:r w:rsidR="00F0060F" w:rsidRPr="001E7185">
        <w:t>109.1m or 2</w:t>
      </w:r>
      <w:r w:rsidR="007E3D94" w:rsidRPr="001E7185">
        <w:t>3%</w:t>
      </w:r>
      <w:r w:rsidR="0036093A" w:rsidRPr="0036093A">
        <w:t xml:space="preserve"> </w:t>
      </w:r>
      <w:r w:rsidR="0036093A">
        <w:t xml:space="preserve">of </w:t>
      </w:r>
      <w:r w:rsidR="0036093A" w:rsidRPr="001E7185">
        <w:t>total state and territory government expenditure on this category.</w:t>
      </w:r>
    </w:p>
    <w:p w14:paraId="184EB6AC" w14:textId="77777777" w:rsidR="001D64AC" w:rsidRPr="00303AC1" w:rsidRDefault="001D64AC" w:rsidP="001D64AC">
      <w:pPr>
        <w:pStyle w:val="Tablefigureheading"/>
      </w:pPr>
      <w:bookmarkStart w:id="1" w:name="_Toc524533023"/>
      <w:r w:rsidRPr="00303AC1">
        <w:t xml:space="preserve">Figure </w:t>
      </w:r>
      <w:r w:rsidR="008C467D">
        <w:t>2</w:t>
      </w:r>
      <w:r w:rsidRPr="00303AC1">
        <w:t xml:space="preserve">. </w:t>
      </w:r>
      <w:r w:rsidR="005C608A">
        <w:t xml:space="preserve"> S</w:t>
      </w:r>
      <w:r w:rsidR="008C467D" w:rsidRPr="00350E30">
        <w:t xml:space="preserve">tate and territory </w:t>
      </w:r>
      <w:r w:rsidR="005C608A" w:rsidRPr="00350E30">
        <w:t>government</w:t>
      </w:r>
      <w:r w:rsidR="005C608A">
        <w:t xml:space="preserve"> </w:t>
      </w:r>
      <w:r w:rsidR="005C608A" w:rsidRPr="00303AC1">
        <w:t>heritage</w:t>
      </w:r>
      <w:r w:rsidRPr="00303AC1">
        <w:t xml:space="preserve"> expenditure</w:t>
      </w:r>
      <w:bookmarkEnd w:id="1"/>
    </w:p>
    <w:p w14:paraId="1EC29F75" w14:textId="27C3DF43" w:rsidR="00441A51" w:rsidRDefault="00360A41" w:rsidP="00441A51">
      <w:r>
        <w:rPr>
          <w:noProof/>
          <w:lang w:eastAsia="en-AU"/>
        </w:rPr>
        <w:drawing>
          <wp:inline distT="0" distB="0" distL="0" distR="0" wp14:anchorId="2058D174" wp14:editId="13567932">
            <wp:extent cx="4248150" cy="2219325"/>
            <wp:effectExtent l="0" t="0" r="0" b="0"/>
            <wp:docPr id="1" name="Chart 1" descr="Figure 2. State and territory government heritage expenditure.&#10;&#10;A column graph compares expenditure across the heritage categories of Art museums, Other museums and cultural heritage, Libraries and Archives between the financial years of 2016-17, 2017-18, and 2019-20 for State and territory government.">
              <a:extLst xmlns:a="http://schemas.openxmlformats.org/drawingml/2006/main">
                <a:ext uri="{FF2B5EF4-FFF2-40B4-BE49-F238E27FC236}">
                  <a16:creationId xmlns:a16="http://schemas.microsoft.com/office/drawing/2014/main" id="{2EED9C23-9B54-48D3-AD56-1539B0B10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6BFD1C" w14:textId="77DB5448" w:rsidR="00AB2AF9" w:rsidRPr="00586CC5" w:rsidRDefault="00AB2AF9" w:rsidP="00AB2AF9">
      <w:pPr>
        <w:pStyle w:val="Heading3"/>
        <w:rPr>
          <w:b w:val="0"/>
          <w:bCs/>
          <w:color w:val="FF0000"/>
          <w:sz w:val="18"/>
          <w:szCs w:val="18"/>
        </w:rPr>
      </w:pPr>
      <w:bookmarkStart w:id="2" w:name="_Toc521318948"/>
      <w:bookmarkStart w:id="3" w:name="_Toc521427134"/>
      <w:bookmarkStart w:id="4" w:name="_Toc524532895"/>
      <w:r w:rsidRPr="00350E30">
        <w:t>Arts</w:t>
      </w:r>
      <w:bookmarkEnd w:id="2"/>
      <w:bookmarkEnd w:id="3"/>
      <w:bookmarkEnd w:id="4"/>
      <w:r w:rsidR="000141FB">
        <w:t xml:space="preserve"> </w:t>
      </w:r>
    </w:p>
    <w:p w14:paraId="68D9D816" w14:textId="310738BC" w:rsidR="00ED7D65" w:rsidRPr="00F0060F" w:rsidRDefault="001D64AC" w:rsidP="001D64AC">
      <w:r w:rsidRPr="00F0060F">
        <w:t xml:space="preserve">Funds for </w:t>
      </w:r>
      <w:r w:rsidRPr="00F0060F">
        <w:rPr>
          <w:i/>
        </w:rPr>
        <w:t>Arts</w:t>
      </w:r>
      <w:r w:rsidRPr="00F0060F">
        <w:t xml:space="preserve"> activities rose </w:t>
      </w:r>
      <w:r w:rsidR="00F0060F" w:rsidRPr="00F0060F">
        <w:t>11</w:t>
      </w:r>
      <w:r w:rsidRPr="00F0060F">
        <w:t>% (or $</w:t>
      </w:r>
      <w:r w:rsidR="003A2D94" w:rsidRPr="00F0060F">
        <w:t>1</w:t>
      </w:r>
      <w:r w:rsidR="00F0060F" w:rsidRPr="00F0060F">
        <w:t>1</w:t>
      </w:r>
      <w:r w:rsidR="00A77D0B">
        <w:t>7</w:t>
      </w:r>
      <w:r w:rsidR="00F0060F" w:rsidRPr="00F0060F">
        <w:t>.</w:t>
      </w:r>
      <w:r w:rsidR="00582404">
        <w:t>1</w:t>
      </w:r>
      <w:r w:rsidRPr="00F0060F">
        <w:t>m) to $</w:t>
      </w:r>
      <w:r w:rsidR="00F0060F" w:rsidRPr="00F0060F">
        <w:t>1,20</w:t>
      </w:r>
      <w:r w:rsidR="00A77D0B">
        <w:t>8</w:t>
      </w:r>
      <w:r w:rsidR="00F0060F" w:rsidRPr="00F0060F">
        <w:t>.</w:t>
      </w:r>
      <w:r w:rsidR="00582404">
        <w:t>3</w:t>
      </w:r>
      <w:r w:rsidRPr="00F0060F">
        <w:t>m</w:t>
      </w:r>
      <w:r w:rsidR="0024033A" w:rsidRPr="00F0060F">
        <w:t>.</w:t>
      </w:r>
      <w:r w:rsidR="00441A51" w:rsidRPr="00F0060F">
        <w:t xml:space="preserve"> </w:t>
      </w:r>
      <w:r w:rsidR="00ED7D65" w:rsidRPr="00F0060F">
        <w:t>T</w:t>
      </w:r>
      <w:r w:rsidR="008C502E" w:rsidRPr="00F0060F">
        <w:t>he</w:t>
      </w:r>
      <w:r w:rsidR="00880D08" w:rsidRPr="00F0060F">
        <w:t xml:space="preserve"> main contributors to this movement were </w:t>
      </w:r>
      <w:r w:rsidR="00B654DF" w:rsidRPr="00F0060F">
        <w:rPr>
          <w:i/>
        </w:rPr>
        <w:t>Performing art</w:t>
      </w:r>
      <w:r w:rsidR="00D9161E">
        <w:rPr>
          <w:i/>
        </w:rPr>
        <w:t>s</w:t>
      </w:r>
      <w:r w:rsidR="00B654DF" w:rsidRPr="00F0060F">
        <w:rPr>
          <w:i/>
        </w:rPr>
        <w:t xml:space="preserve"> venues</w:t>
      </w:r>
      <w:r w:rsidR="00880D08" w:rsidRPr="00F0060F">
        <w:t xml:space="preserve"> </w:t>
      </w:r>
      <w:r w:rsidR="00F0060F" w:rsidRPr="00F0060F">
        <w:t>(</w:t>
      </w:r>
      <w:r w:rsidR="00880D08" w:rsidRPr="00F0060F">
        <w:t>↑$</w:t>
      </w:r>
      <w:r w:rsidR="00A77D0B">
        <w:t>56.0</w:t>
      </w:r>
      <w:r w:rsidR="005A2384" w:rsidRPr="00F0060F">
        <w:t>m</w:t>
      </w:r>
      <w:r w:rsidR="00F0060F" w:rsidRPr="00F0060F">
        <w:t>)</w:t>
      </w:r>
      <w:r w:rsidR="005A2384" w:rsidRPr="00F0060F">
        <w:t>, and</w:t>
      </w:r>
      <w:r w:rsidR="00F0060F" w:rsidRPr="00F0060F">
        <w:t xml:space="preserve"> </w:t>
      </w:r>
      <w:r w:rsidR="008C502E" w:rsidRPr="00F0060F">
        <w:rPr>
          <w:i/>
        </w:rPr>
        <w:t>Film and video production and distribution</w:t>
      </w:r>
      <w:r w:rsidR="008C502E" w:rsidRPr="00F0060F">
        <w:t xml:space="preserve"> </w:t>
      </w:r>
      <w:r w:rsidR="00F0060F" w:rsidRPr="00F0060F">
        <w:t>(↑$35.6</w:t>
      </w:r>
      <w:r w:rsidR="008C502E" w:rsidRPr="00F0060F">
        <w:t>m</w:t>
      </w:r>
      <w:r w:rsidR="003F41FC" w:rsidRPr="00F0060F">
        <w:t>)</w:t>
      </w:r>
      <w:r w:rsidR="008C502E" w:rsidRPr="00F0060F">
        <w:t xml:space="preserve">. </w:t>
      </w:r>
      <w:r w:rsidR="00E54D63" w:rsidRPr="00F0060F">
        <w:t xml:space="preserve">Conversely, funding </w:t>
      </w:r>
      <w:r w:rsidR="00E54D63" w:rsidRPr="00BD4A9E">
        <w:t xml:space="preserve">for </w:t>
      </w:r>
      <w:r w:rsidR="00F0060F" w:rsidRPr="00BD4A9E">
        <w:rPr>
          <w:i/>
        </w:rPr>
        <w:t>Cross-art form</w:t>
      </w:r>
      <w:r w:rsidR="00E54D63" w:rsidRPr="00BD4A9E">
        <w:rPr>
          <w:i/>
        </w:rPr>
        <w:t xml:space="preserve"> </w:t>
      </w:r>
      <w:r w:rsidR="00582404" w:rsidRPr="00BD4A9E">
        <w:rPr>
          <w:iCs/>
        </w:rPr>
        <w:t>(</w:t>
      </w:r>
      <w:r w:rsidR="00582404" w:rsidRPr="00BD4A9E">
        <w:t xml:space="preserve">$31.8m) </w:t>
      </w:r>
      <w:r w:rsidR="00582404" w:rsidRPr="00BD4A9E">
        <w:rPr>
          <w:iCs/>
        </w:rPr>
        <w:t xml:space="preserve">and </w:t>
      </w:r>
      <w:r w:rsidR="00582404" w:rsidRPr="00BD4A9E">
        <w:rPr>
          <w:i/>
        </w:rPr>
        <w:t xml:space="preserve">Multi-arts festivals </w:t>
      </w:r>
      <w:r w:rsidR="00582404" w:rsidRPr="00BD4A9E">
        <w:rPr>
          <w:iCs/>
        </w:rPr>
        <w:t>($11.3)</w:t>
      </w:r>
      <w:r w:rsidR="00582404" w:rsidRPr="00BD4A9E">
        <w:t xml:space="preserve"> </w:t>
      </w:r>
      <w:r w:rsidR="00E54D63" w:rsidRPr="00BD4A9E">
        <w:t>dropped</w:t>
      </w:r>
      <w:r w:rsidR="00582404">
        <w:t>.</w:t>
      </w:r>
    </w:p>
    <w:p w14:paraId="0843B7AF" w14:textId="29FCBDBC" w:rsidR="001D64AC" w:rsidRPr="00586CC5" w:rsidRDefault="001D64AC" w:rsidP="001D64AC">
      <w:pPr>
        <w:pStyle w:val="Tablefigureheading"/>
        <w:rPr>
          <w:b w:val="0"/>
          <w:bCs/>
          <w:color w:val="FF0000"/>
          <w:sz w:val="18"/>
          <w:szCs w:val="18"/>
        </w:rPr>
      </w:pPr>
      <w:bookmarkStart w:id="5" w:name="_Toc524533024"/>
      <w:r w:rsidRPr="00303AC1">
        <w:t xml:space="preserve">Figure </w:t>
      </w:r>
      <w:r w:rsidR="008C467D">
        <w:t>3</w:t>
      </w:r>
      <w:r w:rsidRPr="00303AC1">
        <w:t xml:space="preserve">. </w:t>
      </w:r>
      <w:r w:rsidR="008C467D" w:rsidRPr="00350E30">
        <w:t>State and territory government</w:t>
      </w:r>
      <w:r w:rsidRPr="00303AC1">
        <w:t xml:space="preserve"> arts expenditure, by selected </w:t>
      </w:r>
      <w:r w:rsidRPr="00BD4A9E">
        <w:t>categories</w:t>
      </w:r>
      <w:bookmarkEnd w:id="5"/>
      <w:r w:rsidR="00586CC5">
        <w:t xml:space="preserve"> </w:t>
      </w:r>
    </w:p>
    <w:p w14:paraId="28EA796F" w14:textId="63D3A59C" w:rsidR="00436F4C" w:rsidRDefault="0099672C" w:rsidP="001D64AC">
      <w:r>
        <w:rPr>
          <w:noProof/>
        </w:rPr>
        <w:drawing>
          <wp:inline distT="0" distB="0" distL="0" distR="0" wp14:anchorId="49854210" wp14:editId="0D3863AF">
            <wp:extent cx="4648200" cy="2129051"/>
            <wp:effectExtent l="0" t="0" r="0" b="5080"/>
            <wp:docPr id="8" name="Chart 8" descr="Figure 3. State and territory government arts expenditure, by selected categories.&#10;&#10;A column graph compares expenditure across selected arts categories of Music, Performing arts venues, Visual arts and crafts, Film and video production and distribution, Arts education, Multi-arts festivals and Arts administration between the financial years of  2016-17, 2017-18, and 2019-20 for State and territory government.&#10;">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416E64" w14:textId="0E42048E" w:rsidR="00F13BF0" w:rsidRPr="009B3076" w:rsidRDefault="003B2C38" w:rsidP="00F13BF0">
      <w:r w:rsidRPr="00F0060F">
        <w:lastRenderedPageBreak/>
        <w:t>The</w:t>
      </w:r>
      <w:r w:rsidR="008F58B4" w:rsidRPr="00F0060F">
        <w:t xml:space="preserve"> highest amount of </w:t>
      </w:r>
      <w:r w:rsidR="00C9064C">
        <w:t>s</w:t>
      </w:r>
      <w:r w:rsidR="00F13BF0" w:rsidRPr="00F0060F">
        <w:t>tate and territory</w:t>
      </w:r>
      <w:r w:rsidR="008F58B4" w:rsidRPr="00F0060F">
        <w:t xml:space="preserve"> government</w:t>
      </w:r>
      <w:r w:rsidR="00F13BF0" w:rsidRPr="00F0060F">
        <w:t xml:space="preserve"> </w:t>
      </w:r>
      <w:r w:rsidR="00F13BF0" w:rsidRPr="00F0060F">
        <w:rPr>
          <w:i/>
        </w:rPr>
        <w:t>Arts</w:t>
      </w:r>
      <w:r w:rsidR="00F13BF0" w:rsidRPr="00F0060F">
        <w:t xml:space="preserve"> expenditure </w:t>
      </w:r>
      <w:r w:rsidRPr="00F0060F">
        <w:t xml:space="preserve">was for </w:t>
      </w:r>
      <w:r w:rsidRPr="00F0060F">
        <w:rPr>
          <w:i/>
        </w:rPr>
        <w:t>Performing arts venues</w:t>
      </w:r>
      <w:r w:rsidRPr="00F0060F">
        <w:t xml:space="preserve"> </w:t>
      </w:r>
      <w:r w:rsidR="00F13BF0" w:rsidRPr="00F0060F">
        <w:t>($</w:t>
      </w:r>
      <w:r w:rsidR="00F0060F" w:rsidRPr="00F0060F">
        <w:t>4</w:t>
      </w:r>
      <w:r w:rsidR="001B7B69">
        <w:t>11.9</w:t>
      </w:r>
      <w:r w:rsidR="00F13BF0" w:rsidRPr="00F0060F">
        <w:t>m</w:t>
      </w:r>
      <w:r w:rsidR="00F13BF0" w:rsidRPr="009B3076">
        <w:t>), with the government</w:t>
      </w:r>
      <w:r w:rsidRPr="009B3076">
        <w:t>s</w:t>
      </w:r>
      <w:r w:rsidR="00F13BF0" w:rsidRPr="009B3076">
        <w:t xml:space="preserve"> of New South Wales ($</w:t>
      </w:r>
      <w:r w:rsidR="00F0060F" w:rsidRPr="009B3076">
        <w:t>153.5</w:t>
      </w:r>
      <w:r w:rsidR="00F13BF0" w:rsidRPr="009B3076">
        <w:t>m</w:t>
      </w:r>
      <w:r w:rsidR="00F0060F" w:rsidRPr="009B3076">
        <w:t xml:space="preserve"> or 3</w:t>
      </w:r>
      <w:r w:rsidR="009B3076" w:rsidRPr="009B3076">
        <w:t>7</w:t>
      </w:r>
      <w:r w:rsidRPr="009B3076">
        <w:t>%</w:t>
      </w:r>
      <w:r w:rsidR="00F13BF0" w:rsidRPr="009B3076">
        <w:t>)</w:t>
      </w:r>
      <w:r w:rsidR="00F0060F" w:rsidRPr="009B3076">
        <w:t xml:space="preserve"> and Queensland ($74.</w:t>
      </w:r>
      <w:r w:rsidR="007E3D94" w:rsidRPr="009B3076">
        <w:t>2</w:t>
      </w:r>
      <w:r w:rsidR="00F0060F" w:rsidRPr="009B3076">
        <w:t>m or 18</w:t>
      </w:r>
      <w:r w:rsidRPr="009B3076">
        <w:t xml:space="preserve">%) </w:t>
      </w:r>
      <w:r w:rsidR="00F13BF0" w:rsidRPr="009B3076">
        <w:t xml:space="preserve">contributing </w:t>
      </w:r>
      <w:r w:rsidRPr="009B3076">
        <w:t>most of the</w:t>
      </w:r>
      <w:r w:rsidR="00F13BF0" w:rsidRPr="009B3076">
        <w:t xml:space="preserve"> funding </w:t>
      </w:r>
      <w:r w:rsidR="008303C7" w:rsidRPr="009B3076">
        <w:t>i</w:t>
      </w:r>
      <w:r w:rsidR="00F13BF0" w:rsidRPr="009B3076">
        <w:t>n this category.</w:t>
      </w:r>
    </w:p>
    <w:p w14:paraId="5734CEB7" w14:textId="77777777" w:rsidR="005377F7" w:rsidRPr="00F0060F" w:rsidRDefault="00903111" w:rsidP="00B36227">
      <w:pPr>
        <w:keepNext/>
      </w:pPr>
      <w:r w:rsidRPr="00F0060F">
        <w:t>Other</w:t>
      </w:r>
      <w:r w:rsidR="001D64AC" w:rsidRPr="00F0060F">
        <w:t xml:space="preserve"> main categories of </w:t>
      </w:r>
      <w:r w:rsidR="001D64AC" w:rsidRPr="00F0060F">
        <w:rPr>
          <w:i/>
        </w:rPr>
        <w:t>Arts</w:t>
      </w:r>
      <w:r w:rsidR="001D64AC" w:rsidRPr="00F0060F">
        <w:t xml:space="preserve"> activit</w:t>
      </w:r>
      <w:r w:rsidR="00ED7D65" w:rsidRPr="00F0060F">
        <w:t>ies</w:t>
      </w:r>
      <w:r w:rsidR="001D64AC" w:rsidRPr="00F0060F">
        <w:t xml:space="preserve"> funding were:</w:t>
      </w:r>
    </w:p>
    <w:p w14:paraId="1FEB1AE6" w14:textId="77777777" w:rsidR="00ED7D65" w:rsidRPr="00F0060F" w:rsidRDefault="00863811" w:rsidP="00883826">
      <w:pPr>
        <w:pStyle w:val="Bulletlevel1"/>
      </w:pPr>
      <w:r w:rsidRPr="00F0060F">
        <w:rPr>
          <w:i/>
        </w:rPr>
        <w:t>Film and video production and distribution</w:t>
      </w:r>
      <w:r w:rsidR="00880D08" w:rsidRPr="00F0060F">
        <w:t>—$</w:t>
      </w:r>
      <w:r w:rsidR="00F0060F" w:rsidRPr="00F0060F">
        <w:t>138.1</w:t>
      </w:r>
      <w:r w:rsidR="00880D08" w:rsidRPr="00F0060F">
        <w:t>m</w:t>
      </w:r>
    </w:p>
    <w:p w14:paraId="1973A9EC" w14:textId="77777777" w:rsidR="00F0060F" w:rsidRPr="00F0060F" w:rsidRDefault="00F0060F" w:rsidP="00F0060F">
      <w:pPr>
        <w:pStyle w:val="Bulletlevel1"/>
      </w:pPr>
      <w:r w:rsidRPr="00F0060F">
        <w:rPr>
          <w:i/>
        </w:rPr>
        <w:t>Arts education</w:t>
      </w:r>
      <w:r w:rsidRPr="00F0060F">
        <w:t>—$136.2m</w:t>
      </w:r>
    </w:p>
    <w:p w14:paraId="054A7757" w14:textId="7753061D" w:rsidR="003A2D94" w:rsidRPr="00077C6C" w:rsidRDefault="00F0060F" w:rsidP="00883826">
      <w:pPr>
        <w:pStyle w:val="Bulletlevel1"/>
      </w:pPr>
      <w:r w:rsidRPr="00077C6C">
        <w:rPr>
          <w:i/>
        </w:rPr>
        <w:t>Music</w:t>
      </w:r>
      <w:r w:rsidR="003A2D94" w:rsidRPr="00077C6C">
        <w:t>—$7</w:t>
      </w:r>
      <w:r w:rsidR="00582404" w:rsidRPr="00077C6C">
        <w:t>7</w:t>
      </w:r>
      <w:r w:rsidRPr="00077C6C">
        <w:t>.</w:t>
      </w:r>
      <w:r w:rsidR="00582404" w:rsidRPr="00077C6C">
        <w:t>4</w:t>
      </w:r>
      <w:r w:rsidR="003A2D94" w:rsidRPr="00077C6C">
        <w:t>m</w:t>
      </w:r>
    </w:p>
    <w:p w14:paraId="14D0E55A" w14:textId="0AA668BC" w:rsidR="00880D08" w:rsidRPr="00077C6C" w:rsidRDefault="006C18BE" w:rsidP="00883826">
      <w:pPr>
        <w:pStyle w:val="Bulletlevel1"/>
      </w:pPr>
      <w:r w:rsidRPr="00077C6C">
        <w:rPr>
          <w:i/>
        </w:rPr>
        <w:t>Mu</w:t>
      </w:r>
      <w:r w:rsidR="00863811" w:rsidRPr="00077C6C">
        <w:rPr>
          <w:i/>
        </w:rPr>
        <w:t>lti-arts festivals</w:t>
      </w:r>
      <w:r w:rsidR="00880D08" w:rsidRPr="00077C6C">
        <w:t>—$</w:t>
      </w:r>
      <w:r w:rsidR="00F0060F" w:rsidRPr="00077C6C">
        <w:t>5</w:t>
      </w:r>
      <w:r w:rsidR="00582404" w:rsidRPr="00077C6C">
        <w:t>6</w:t>
      </w:r>
      <w:r w:rsidR="00F0060F" w:rsidRPr="00077C6C">
        <w:t>.</w:t>
      </w:r>
      <w:r w:rsidR="00582404" w:rsidRPr="00077C6C">
        <w:t>0</w:t>
      </w:r>
      <w:r w:rsidR="00880D08" w:rsidRPr="00077C6C">
        <w:t>m</w:t>
      </w:r>
    </w:p>
    <w:p w14:paraId="2CFB6FA2" w14:textId="20163EA9" w:rsidR="00185BD8" w:rsidRPr="00077C6C" w:rsidRDefault="00F0060F" w:rsidP="00883826">
      <w:pPr>
        <w:pStyle w:val="Bulletlevel1"/>
      </w:pPr>
      <w:r w:rsidRPr="00077C6C">
        <w:rPr>
          <w:i/>
        </w:rPr>
        <w:t>Visual arts and crafts</w:t>
      </w:r>
      <w:r w:rsidR="00185BD8" w:rsidRPr="00077C6C">
        <w:t>—$</w:t>
      </w:r>
      <w:r w:rsidRPr="00077C6C">
        <w:t>50.</w:t>
      </w:r>
      <w:r w:rsidR="00011EEB" w:rsidRPr="00077C6C">
        <w:t>1</w:t>
      </w:r>
      <w:r w:rsidR="00185BD8" w:rsidRPr="00077C6C">
        <w:t>m</w:t>
      </w:r>
      <w:r w:rsidR="006E038F" w:rsidRPr="00077C6C">
        <w:t>.</w:t>
      </w:r>
    </w:p>
    <w:p w14:paraId="44F66DB2" w14:textId="77777777" w:rsidR="00AB2AF9" w:rsidRPr="00F0060F" w:rsidRDefault="000141FB" w:rsidP="00AB2AF9">
      <w:pPr>
        <w:pStyle w:val="Heading3"/>
        <w:rPr>
          <w:color w:val="5860B0" w:themeColor="accent3" w:themeShade="BF"/>
        </w:rPr>
      </w:pPr>
      <w:bookmarkStart w:id="6" w:name="_Hlk11224443"/>
      <w:r>
        <w:t>Recurrent expenditure</w:t>
      </w:r>
    </w:p>
    <w:bookmarkEnd w:id="6"/>
    <w:p w14:paraId="3CDB2952" w14:textId="74329474" w:rsidR="00AD563C" w:rsidRPr="00F0060F" w:rsidRDefault="007526AC" w:rsidP="00AD563C">
      <w:r w:rsidRPr="002A5903">
        <w:t>Total r</w:t>
      </w:r>
      <w:r w:rsidR="00723C86" w:rsidRPr="002A5903">
        <w:t xml:space="preserve">ecurrent expenditure rose </w:t>
      </w:r>
      <w:r w:rsidR="00F0060F" w:rsidRPr="002A5903">
        <w:t>10</w:t>
      </w:r>
      <w:r w:rsidR="00723C86" w:rsidRPr="002A5903">
        <w:t>% (or $</w:t>
      </w:r>
      <w:r w:rsidR="002A5903" w:rsidRPr="002A5903">
        <w:t>181.</w:t>
      </w:r>
      <w:r w:rsidR="00077C6C">
        <w:t>4</w:t>
      </w:r>
      <w:r w:rsidR="00723C86" w:rsidRPr="002A5903">
        <w:t>m) to $</w:t>
      </w:r>
      <w:r w:rsidR="002A5903" w:rsidRPr="002A5903">
        <w:t>2,019.</w:t>
      </w:r>
      <w:r w:rsidR="00077C6C">
        <w:t>1</w:t>
      </w:r>
      <w:r w:rsidR="00723C86" w:rsidRPr="002A5903">
        <w:t>m</w:t>
      </w:r>
      <w:r w:rsidR="00F0060F" w:rsidRPr="002A5903">
        <w:t xml:space="preserve"> and accounted for 74</w:t>
      </w:r>
      <w:r w:rsidR="00AD563C" w:rsidRPr="002A5903">
        <w:t>% of total funded cultural expenditure.</w:t>
      </w:r>
      <w:r w:rsidR="002A5903" w:rsidRPr="002A5903">
        <w:t xml:space="preserve"> This included $50.1</w:t>
      </w:r>
      <w:r w:rsidRPr="002A5903">
        <w:t>m in COVID support funding.</w:t>
      </w:r>
      <w:r w:rsidRPr="002A5903">
        <w:rPr>
          <w:rStyle w:val="FootnoteReference"/>
        </w:rPr>
        <w:footnoteReference w:id="3"/>
      </w:r>
    </w:p>
    <w:p w14:paraId="3ECCF898" w14:textId="2C5CDEF9" w:rsidR="003347F1" w:rsidRPr="000B7D44" w:rsidRDefault="008556F8" w:rsidP="003347F1">
      <w:r w:rsidRPr="000B7D44">
        <w:t>T</w:t>
      </w:r>
      <w:r w:rsidR="000761DC" w:rsidRPr="000B7D44">
        <w:t xml:space="preserve">he largest </w:t>
      </w:r>
      <w:r w:rsidRPr="000B7D44">
        <w:t xml:space="preserve">recurrent </w:t>
      </w:r>
      <w:r w:rsidR="000761DC" w:rsidRPr="000B7D44">
        <w:t xml:space="preserve">expenditure was for </w:t>
      </w:r>
      <w:r w:rsidR="000761DC" w:rsidRPr="000B7D44">
        <w:rPr>
          <w:i/>
        </w:rPr>
        <w:t>Libraries</w:t>
      </w:r>
      <w:r w:rsidR="000761DC" w:rsidRPr="000B7D44">
        <w:t xml:space="preserve"> </w:t>
      </w:r>
      <w:r w:rsidR="003347F1" w:rsidRPr="000B7D44">
        <w:t xml:space="preserve">with </w:t>
      </w:r>
      <w:r w:rsidR="00F0060F" w:rsidRPr="000B7D44">
        <w:t>$440.</w:t>
      </w:r>
      <w:r w:rsidR="004F7C28" w:rsidRPr="000B7D44">
        <w:t>6</w:t>
      </w:r>
      <w:r w:rsidR="000761DC" w:rsidRPr="000B7D44">
        <w:t>m</w:t>
      </w:r>
      <w:r w:rsidR="003347F1" w:rsidRPr="000B7D44">
        <w:t>.</w:t>
      </w:r>
    </w:p>
    <w:p w14:paraId="5869B5D6" w14:textId="616959E3" w:rsidR="000761DC" w:rsidRPr="000B7D44" w:rsidRDefault="00F0060F" w:rsidP="00883826">
      <w:pPr>
        <w:pStyle w:val="bullets-arrows"/>
      </w:pPr>
      <w:r w:rsidRPr="000B7D44">
        <w:t>The Victorian</w:t>
      </w:r>
      <w:r w:rsidR="000761DC" w:rsidRPr="000B7D44">
        <w:t xml:space="preserve"> Government spent the most recurrent dollars on </w:t>
      </w:r>
      <w:r w:rsidR="000761DC" w:rsidRPr="000B7D44">
        <w:rPr>
          <w:i/>
        </w:rPr>
        <w:t>Libraries</w:t>
      </w:r>
      <w:r w:rsidRPr="000B7D44">
        <w:t xml:space="preserve"> ($102.1</w:t>
      </w:r>
      <w:r w:rsidR="000761DC" w:rsidRPr="000B7D44">
        <w:t>m).</w:t>
      </w:r>
    </w:p>
    <w:p w14:paraId="21AA4BE2" w14:textId="282F1FA2" w:rsidR="007E3D94" w:rsidRPr="000B7D44" w:rsidRDefault="007E3D94">
      <w:pPr>
        <w:pStyle w:val="bullets-arrows"/>
      </w:pPr>
      <w:r w:rsidRPr="000B7D44">
        <w:t xml:space="preserve">Most state and territory governments (except New South Wales and Northern Territory) spent the largest </w:t>
      </w:r>
      <w:r w:rsidR="00C2406A" w:rsidRPr="000B7D44">
        <w:t>%</w:t>
      </w:r>
      <w:r w:rsidRPr="000B7D44">
        <w:t xml:space="preserve"> of their recurrent expenditure on </w:t>
      </w:r>
      <w:r w:rsidRPr="000B7D44">
        <w:rPr>
          <w:i/>
          <w:iCs/>
        </w:rPr>
        <w:t>Libraries</w:t>
      </w:r>
      <w:r w:rsidRPr="000B7D44">
        <w:t xml:space="preserve">. Tasmania had </w:t>
      </w:r>
      <w:r w:rsidR="009C1F78" w:rsidRPr="000B7D44">
        <w:t>the highest</w:t>
      </w:r>
      <w:r w:rsidRPr="000B7D44">
        <w:t xml:space="preserve"> with 45%. </w:t>
      </w:r>
    </w:p>
    <w:p w14:paraId="25D4235B" w14:textId="77777777" w:rsidR="000761DC" w:rsidRPr="00F0060F" w:rsidRDefault="000761DC" w:rsidP="000761DC">
      <w:bookmarkStart w:id="7" w:name="_Hlk11224479"/>
      <w:r w:rsidRPr="00F0060F">
        <w:t xml:space="preserve">Other main categories of </w:t>
      </w:r>
      <w:r w:rsidR="00AC3512" w:rsidRPr="00F0060F">
        <w:t>recurrent expenditure</w:t>
      </w:r>
      <w:r w:rsidRPr="00F0060F">
        <w:t xml:space="preserve"> were:</w:t>
      </w:r>
    </w:p>
    <w:p w14:paraId="565D182C" w14:textId="71899161" w:rsidR="003347F1" w:rsidRPr="00F0060F" w:rsidRDefault="003347F1" w:rsidP="00883826">
      <w:pPr>
        <w:pStyle w:val="Bulletlevel1"/>
      </w:pPr>
      <w:r w:rsidRPr="00F0060F">
        <w:rPr>
          <w:i/>
        </w:rPr>
        <w:t>Other museums and cultural heritage</w:t>
      </w:r>
      <w:r w:rsidR="00F0060F" w:rsidRPr="00F0060F">
        <w:t>—$363</w:t>
      </w:r>
      <w:r w:rsidRPr="00F0060F">
        <w:t>.</w:t>
      </w:r>
      <w:r w:rsidR="004F7C28">
        <w:t>6</w:t>
      </w:r>
      <w:r w:rsidRPr="00F0060F">
        <w:t>m</w:t>
      </w:r>
    </w:p>
    <w:p w14:paraId="4C754014" w14:textId="6C53EF04" w:rsidR="000761DC" w:rsidRPr="00F0060F" w:rsidRDefault="000761DC" w:rsidP="00883826">
      <w:pPr>
        <w:pStyle w:val="Bulletlevel1"/>
      </w:pPr>
      <w:r w:rsidRPr="00F0060F">
        <w:rPr>
          <w:i/>
        </w:rPr>
        <w:t>Art museums</w:t>
      </w:r>
      <w:r w:rsidR="00F0060F" w:rsidRPr="00F0060F">
        <w:t>—$224.</w:t>
      </w:r>
      <w:r w:rsidR="004F7C28">
        <w:t>4</w:t>
      </w:r>
      <w:r w:rsidRPr="00F0060F">
        <w:t>m</w:t>
      </w:r>
    </w:p>
    <w:p w14:paraId="49280EEA" w14:textId="6C561E7F" w:rsidR="000761DC" w:rsidRPr="00F0060F" w:rsidRDefault="000761DC" w:rsidP="00883826">
      <w:pPr>
        <w:pStyle w:val="Bulletlevel1"/>
      </w:pPr>
      <w:r w:rsidRPr="00F0060F">
        <w:rPr>
          <w:i/>
        </w:rPr>
        <w:t>Performing arts venues</w:t>
      </w:r>
      <w:r w:rsidR="00F0060F" w:rsidRPr="00F0060F">
        <w:t>—$1</w:t>
      </w:r>
      <w:r w:rsidR="004F7C28">
        <w:t>56.1</w:t>
      </w:r>
      <w:r w:rsidRPr="00F0060F">
        <w:t>m.</w:t>
      </w:r>
    </w:p>
    <w:bookmarkEnd w:id="7"/>
    <w:p w14:paraId="20D10412" w14:textId="4078DED3" w:rsidR="001D64AC" w:rsidRPr="00303AC1" w:rsidRDefault="001D64AC" w:rsidP="001D64AC">
      <w:pPr>
        <w:pStyle w:val="Tablefigureheading"/>
      </w:pPr>
      <w:r w:rsidRPr="00303AC1">
        <w:t xml:space="preserve">Figure </w:t>
      </w:r>
      <w:r w:rsidR="008C467D">
        <w:t>4</w:t>
      </w:r>
      <w:r w:rsidRPr="00303AC1">
        <w:t xml:space="preserve">. </w:t>
      </w:r>
      <w:r w:rsidR="008C467D" w:rsidRPr="00350E30">
        <w:t>State and territory government</w:t>
      </w:r>
      <w:r w:rsidR="008C467D" w:rsidRPr="00303AC1">
        <w:t xml:space="preserve"> </w:t>
      </w:r>
      <w:r w:rsidRPr="00303AC1">
        <w:t xml:space="preserve">recurrent cultural expenditure, by selected </w:t>
      </w:r>
      <w:r w:rsidRPr="00B47579">
        <w:t>ca</w:t>
      </w:r>
      <w:r w:rsidRPr="00D2512F">
        <w:t>tegories</w:t>
      </w:r>
      <w:r w:rsidR="00586CC5" w:rsidRPr="00B47579">
        <w:t xml:space="preserve"> </w:t>
      </w:r>
    </w:p>
    <w:p w14:paraId="0D95F0F2" w14:textId="12ADFA86" w:rsidR="00221CCC" w:rsidRDefault="00F21AFD" w:rsidP="001D64AC">
      <w:r>
        <w:rPr>
          <w:noProof/>
        </w:rPr>
        <w:drawing>
          <wp:inline distT="0" distB="0" distL="0" distR="0" wp14:anchorId="37709955" wp14:editId="2C7B696B">
            <wp:extent cx="5400675" cy="2446655"/>
            <wp:effectExtent l="0" t="0" r="0" b="0"/>
            <wp:docPr id="9" name="Chart 9" descr="Figure 4. State and territory government recurrent cultural expenditure, by selected categories.&#10;&#10;A bar chart compares recurrent expenditure across selected categories of Art museums, Other museums and cultural heritage, Libraries, Archives, Music, Performing arts venues, Film and video production and distribution, Arts education and Arts administration between the financial years of 2016-17, 2017-18, and 2019-20 for State and territory government.&#10;">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49358D" w14:textId="43E0D278" w:rsidR="008556F8" w:rsidRPr="005A2E9B" w:rsidRDefault="008556F8" w:rsidP="00883826">
      <w:r w:rsidRPr="005A2E9B">
        <w:t xml:space="preserve">The Victorian </w:t>
      </w:r>
      <w:r w:rsidR="008303C7" w:rsidRPr="005A2E9B">
        <w:t>G</w:t>
      </w:r>
      <w:r w:rsidRPr="005A2E9B">
        <w:t>overnment had the highest estimate of</w:t>
      </w:r>
      <w:r w:rsidR="00F0060F" w:rsidRPr="005A2E9B">
        <w:t xml:space="preserve"> recurrent expenditure with $503.8</w:t>
      </w:r>
      <w:r w:rsidRPr="005A2E9B">
        <w:t>m.</w:t>
      </w:r>
    </w:p>
    <w:p w14:paraId="2F98408F" w14:textId="77777777" w:rsidR="008556F8" w:rsidRPr="005A2E9B" w:rsidRDefault="008556F8" w:rsidP="00883826">
      <w:pPr>
        <w:pStyle w:val="bullets-arrows"/>
      </w:pPr>
      <w:r w:rsidRPr="005A2E9B">
        <w:t xml:space="preserve">The New South Wales Government had the highest recurrent expenditure on </w:t>
      </w:r>
      <w:r w:rsidRPr="005A2E9B">
        <w:rPr>
          <w:i/>
        </w:rPr>
        <w:t>Heritage</w:t>
      </w:r>
      <w:r w:rsidR="00F0060F" w:rsidRPr="005A2E9B">
        <w:t xml:space="preserve"> activities ($277.3</w:t>
      </w:r>
      <w:r w:rsidRPr="005A2E9B">
        <w:t>m).</w:t>
      </w:r>
    </w:p>
    <w:p w14:paraId="112456E1" w14:textId="50E375FC" w:rsidR="008556F8" w:rsidRPr="005A2E9B" w:rsidRDefault="008556F8" w:rsidP="001D64AC">
      <w:pPr>
        <w:pStyle w:val="bullets-arrows"/>
      </w:pPr>
      <w:r w:rsidRPr="005A2E9B">
        <w:lastRenderedPageBreak/>
        <w:t xml:space="preserve">Conversely, the Victorian Government had the highest recurrent expenditure on </w:t>
      </w:r>
      <w:r w:rsidRPr="005A2E9B">
        <w:rPr>
          <w:i/>
        </w:rPr>
        <w:t>Arts</w:t>
      </w:r>
      <w:r w:rsidR="00F0060F" w:rsidRPr="005A2E9B">
        <w:t xml:space="preserve"> activities ($227.8</w:t>
      </w:r>
      <w:r w:rsidRPr="005A2E9B">
        <w:t>m).</w:t>
      </w:r>
    </w:p>
    <w:p w14:paraId="3A25B427" w14:textId="77777777" w:rsidR="0079176A" w:rsidRDefault="0079176A" w:rsidP="0079176A">
      <w:pPr>
        <w:pStyle w:val="Tablefigureheading"/>
      </w:pPr>
      <w:bookmarkStart w:id="8" w:name="_Toc524532998"/>
      <w:r w:rsidRPr="00A95C6A">
        <w:t xml:space="preserve">Figure </w:t>
      </w:r>
      <w:r>
        <w:t>5</w:t>
      </w:r>
      <w:r w:rsidRPr="00A95C6A">
        <w:t>. State and territory government</w:t>
      </w:r>
      <w:r>
        <w:t>s</w:t>
      </w:r>
      <w:r w:rsidRPr="00A95C6A">
        <w:t xml:space="preserve"> recurrent cultural </w:t>
      </w:r>
      <w:r w:rsidRPr="001F3A8A">
        <w:t>expenditure(a), heritage and arts—201</w:t>
      </w:r>
      <w:r w:rsidR="00F0060F" w:rsidRPr="001F3A8A">
        <w:t>9</w:t>
      </w:r>
      <w:r w:rsidRPr="001F3A8A">
        <w:t>–</w:t>
      </w:r>
      <w:bookmarkEnd w:id="8"/>
      <w:r w:rsidR="00F0060F" w:rsidRPr="001F3A8A">
        <w:t>20</w:t>
      </w:r>
    </w:p>
    <w:p w14:paraId="537D21C5" w14:textId="0A2DA3F8" w:rsidR="0079176A" w:rsidRDefault="00A70CA4" w:rsidP="001D64AC">
      <w:r>
        <w:rPr>
          <w:noProof/>
        </w:rPr>
        <w:drawing>
          <wp:inline distT="0" distB="0" distL="0" distR="0" wp14:anchorId="13F80E47" wp14:editId="525D0F53">
            <wp:extent cx="4667250" cy="2094865"/>
            <wp:effectExtent l="0" t="0" r="0" b="635"/>
            <wp:docPr id="14" name="Chart 14" descr="Figure 5. State and territory governments recurrent cultural expenditure, heritage and arts—2019–20.&#10;&#10;A column graph compares total recurrent cultural expenditure across Australian state and territories between the financial years of 2016-17, 2017-18 and 2019-20.&#10;&#10;Care should be taken when comparing expenditure between state and territories due to different administrative arrangements.&#10;&#10;Total recurrent expenditure for 2019-20:&#10;New South Wales $447.6 million&#10;Victoria $503.8 million&#10;Queensland $373.9 million&#10;South Australia $206.4 million&#10;Western Australian $258.8 million&#10;Tasmania $88.5 million&#10;Northern Territory $67.0 million&#10;Australian Capital Territory $73.0 million.&#1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856819" w14:textId="66FB20E2" w:rsidR="007D1B34" w:rsidRPr="004576DC" w:rsidRDefault="007D1B34" w:rsidP="007D1B34">
      <w:pPr>
        <w:pStyle w:val="Sourcenote"/>
        <w:numPr>
          <w:ilvl w:val="0"/>
          <w:numId w:val="16"/>
        </w:numPr>
      </w:pPr>
      <w:r w:rsidRPr="00AC6FCD">
        <w:rPr>
          <w:sz w:val="18"/>
          <w:szCs w:val="18"/>
        </w:rPr>
        <w:t xml:space="preserve">Care should be taken when comparing </w:t>
      </w:r>
      <w:r w:rsidR="008D5A99" w:rsidRPr="00AC6FCD">
        <w:rPr>
          <w:sz w:val="18"/>
          <w:szCs w:val="18"/>
        </w:rPr>
        <w:t>expenditure</w:t>
      </w:r>
      <w:r w:rsidRPr="00AC6FCD">
        <w:rPr>
          <w:sz w:val="18"/>
          <w:szCs w:val="18"/>
        </w:rPr>
        <w:t xml:space="preserve"> between state</w:t>
      </w:r>
      <w:r w:rsidR="008303C7" w:rsidRPr="00AC6FCD">
        <w:rPr>
          <w:sz w:val="18"/>
          <w:szCs w:val="18"/>
        </w:rPr>
        <w:t>s</w:t>
      </w:r>
      <w:r w:rsidRPr="00AC6FCD">
        <w:rPr>
          <w:sz w:val="18"/>
          <w:szCs w:val="18"/>
        </w:rPr>
        <w:t xml:space="preserve"> and territories due to different administrative arrangements</w:t>
      </w:r>
      <w:r w:rsidRPr="004576DC">
        <w:t>.</w:t>
      </w:r>
    </w:p>
    <w:p w14:paraId="52F73F47" w14:textId="77777777" w:rsidR="00D35B94" w:rsidRPr="00D35B94" w:rsidRDefault="00D35B94" w:rsidP="00D35B94">
      <w:pPr>
        <w:pStyle w:val="Heading3"/>
      </w:pPr>
      <w:bookmarkStart w:id="9" w:name="_Hlk11224558"/>
      <w:bookmarkStart w:id="10" w:name="_Toc524532999"/>
      <w:r>
        <w:t>Capital expenditure</w:t>
      </w:r>
    </w:p>
    <w:p w14:paraId="72436979" w14:textId="7CBFFF87" w:rsidR="00B252E5" w:rsidRPr="00F0060F" w:rsidRDefault="000761DC" w:rsidP="00AD563C">
      <w:r w:rsidRPr="00F0060F">
        <w:t xml:space="preserve">Capital expenditure accounted for </w:t>
      </w:r>
      <w:r w:rsidR="00F0060F" w:rsidRPr="00F0060F">
        <w:t>26% ($697.4</w:t>
      </w:r>
      <w:r w:rsidR="00DB0E5E" w:rsidRPr="00F0060F">
        <w:t xml:space="preserve">m) of total </w:t>
      </w:r>
      <w:r w:rsidR="00BE3302">
        <w:t>s</w:t>
      </w:r>
      <w:r w:rsidR="00DB0E5E" w:rsidRPr="00F0060F">
        <w:t>tate</w:t>
      </w:r>
      <w:r w:rsidRPr="00F0060F">
        <w:t xml:space="preserve"> and territory funded cultural </w:t>
      </w:r>
      <w:r w:rsidR="00DB0E5E" w:rsidRPr="00F0060F">
        <w:t>spending.</w:t>
      </w:r>
      <w:r w:rsidR="00AD563C" w:rsidRPr="00F0060F">
        <w:t xml:space="preserve"> </w:t>
      </w:r>
    </w:p>
    <w:bookmarkEnd w:id="9"/>
    <w:p w14:paraId="1F324045" w14:textId="77777777" w:rsidR="00AD563C" w:rsidRPr="00F0060F" w:rsidRDefault="00AD563C" w:rsidP="00883826">
      <w:pPr>
        <w:pStyle w:val="bullets-arrows"/>
      </w:pPr>
      <w:r w:rsidRPr="00F0060F">
        <w:t xml:space="preserve">The largest two categories were </w:t>
      </w:r>
      <w:r w:rsidRPr="00F0060F">
        <w:rPr>
          <w:i/>
        </w:rPr>
        <w:t>Performing arts venues</w:t>
      </w:r>
      <w:r w:rsidRPr="00F0060F">
        <w:t xml:space="preserve"> ($2</w:t>
      </w:r>
      <w:r w:rsidR="00F0060F" w:rsidRPr="00F0060F">
        <w:t>55.8</w:t>
      </w:r>
      <w:r w:rsidRPr="00F0060F">
        <w:t xml:space="preserve">m) and </w:t>
      </w:r>
      <w:r w:rsidRPr="00F0060F">
        <w:rPr>
          <w:i/>
        </w:rPr>
        <w:t>Other museums and cultural heritage</w:t>
      </w:r>
      <w:r w:rsidR="00F0060F" w:rsidRPr="00F0060F">
        <w:t xml:space="preserve"> ($233.9</w:t>
      </w:r>
      <w:r w:rsidRPr="00F0060F">
        <w:t>m).</w:t>
      </w:r>
    </w:p>
    <w:p w14:paraId="65D84D8A" w14:textId="44C83AC2" w:rsidR="00AB2AF9" w:rsidRPr="00F0060F" w:rsidRDefault="00AD563C" w:rsidP="001D76B7">
      <w:r w:rsidRPr="00F0060F">
        <w:t xml:space="preserve">The New South Wales Government </w:t>
      </w:r>
      <w:r w:rsidR="00B252E5" w:rsidRPr="00F0060F">
        <w:t xml:space="preserve">contributed the </w:t>
      </w:r>
      <w:r w:rsidR="00C8498A">
        <w:t xml:space="preserve">most capital expenditure </w:t>
      </w:r>
      <w:r w:rsidRPr="00F0060F">
        <w:t>for</w:t>
      </w:r>
      <w:r w:rsidR="004F02D9" w:rsidRPr="00F0060F">
        <w:t xml:space="preserve"> both</w:t>
      </w:r>
      <w:r w:rsidR="008E57F4">
        <w:t xml:space="preserve"> categories of</w:t>
      </w:r>
      <w:r w:rsidRPr="00F0060F">
        <w:t xml:space="preserve"> </w:t>
      </w:r>
      <w:r w:rsidRPr="00F0060F">
        <w:rPr>
          <w:i/>
        </w:rPr>
        <w:t>Performing arts venues</w:t>
      </w:r>
      <w:r w:rsidR="00B252E5" w:rsidRPr="00F0060F">
        <w:rPr>
          <w:i/>
        </w:rPr>
        <w:t xml:space="preserve"> </w:t>
      </w:r>
      <w:r w:rsidR="00F0060F" w:rsidRPr="00F0060F">
        <w:t>($135.8</w:t>
      </w:r>
      <w:r w:rsidR="00B252E5" w:rsidRPr="00F0060F">
        <w:t xml:space="preserve">m or </w:t>
      </w:r>
      <w:r w:rsidR="00F0060F" w:rsidRPr="00F0060F">
        <w:t>53</w:t>
      </w:r>
      <w:r w:rsidR="00B252E5" w:rsidRPr="00F0060F">
        <w:t>%)</w:t>
      </w:r>
      <w:r w:rsidRPr="00F0060F">
        <w:rPr>
          <w:i/>
        </w:rPr>
        <w:t xml:space="preserve"> </w:t>
      </w:r>
      <w:r w:rsidRPr="00F0060F">
        <w:t xml:space="preserve">and </w:t>
      </w:r>
      <w:r w:rsidRPr="00F0060F">
        <w:rPr>
          <w:i/>
        </w:rPr>
        <w:t>Other museums and cultural heritage</w:t>
      </w:r>
      <w:r w:rsidR="00B252E5" w:rsidRPr="00F0060F">
        <w:rPr>
          <w:i/>
        </w:rPr>
        <w:t xml:space="preserve"> </w:t>
      </w:r>
      <w:r w:rsidR="00B252E5" w:rsidRPr="00BE3302">
        <w:rPr>
          <w:iCs/>
        </w:rPr>
        <w:t>(</w:t>
      </w:r>
      <w:r w:rsidR="00F0060F" w:rsidRPr="00F0060F">
        <w:t>$101.7m or 43</w:t>
      </w:r>
      <w:r w:rsidRPr="00F0060F">
        <w:t>%)</w:t>
      </w:r>
      <w:r w:rsidR="00B252E5" w:rsidRPr="00F0060F">
        <w:t>.</w:t>
      </w:r>
    </w:p>
    <w:p w14:paraId="362382FF" w14:textId="2104E48F" w:rsidR="00660B30" w:rsidRPr="00A95C6A" w:rsidRDefault="00660B30" w:rsidP="00660B30">
      <w:pPr>
        <w:pStyle w:val="Tablefigureheading"/>
      </w:pPr>
      <w:r w:rsidRPr="00A95C6A">
        <w:t xml:space="preserve">Figure </w:t>
      </w:r>
      <w:r>
        <w:t xml:space="preserve">6. </w:t>
      </w:r>
      <w:r w:rsidRPr="00A95C6A">
        <w:t xml:space="preserve">State and territory </w:t>
      </w:r>
      <w:r w:rsidR="00F0060F" w:rsidRPr="00A95C6A">
        <w:t>government</w:t>
      </w:r>
      <w:r w:rsidR="00F0060F">
        <w:t>s</w:t>
      </w:r>
      <w:r w:rsidRPr="00A95C6A">
        <w:t xml:space="preserve"> capital cultural expenditure(a), heritage and arts—201</w:t>
      </w:r>
      <w:r w:rsidR="00F0060F">
        <w:t>9</w:t>
      </w:r>
      <w:r w:rsidRPr="00A95C6A">
        <w:t>–</w:t>
      </w:r>
      <w:bookmarkEnd w:id="10"/>
      <w:r w:rsidR="00F0060F">
        <w:t>20</w:t>
      </w:r>
    </w:p>
    <w:p w14:paraId="0B653EA4" w14:textId="77777777" w:rsidR="00660B30" w:rsidRDefault="00F0060F" w:rsidP="001D64AC">
      <w:r>
        <w:rPr>
          <w:noProof/>
          <w:lang w:eastAsia="en-AU"/>
        </w:rPr>
        <w:drawing>
          <wp:inline distT="0" distB="0" distL="0" distR="0" wp14:anchorId="2BFCFC83" wp14:editId="26D37AAD">
            <wp:extent cx="4438650" cy="2340293"/>
            <wp:effectExtent l="0" t="0" r="0" b="3175"/>
            <wp:docPr id="12" name="Chart 12" descr="Figure 6. State and territory governments capital cultural expenditure, heritage and arts—2019–20.&#10;&#10;A column graph compares capital cultural expenditure in the categories of heritage and arts by Australian states and territories.&#10;&#10;Care should be taken when comparing expenditure between state and territories due to different administrative arrangements.&#10;&#10;Total capital expenditure for 2019-20:&#10;New South Wales $351.8 million&#10;Victoria $83.6 million&#10;Queensland $76.3 million&#10;South Australia $32.9 million&#10;Western Australian $116.8 million&#10;Tasmania $10.6 million&#10;Northern Territory $9.0 million&#10;Australian Capital Territory $16.4 million.&#10;">
              <a:extLst xmlns:a="http://schemas.openxmlformats.org/drawingml/2006/main">
                <a:ext uri="{FF2B5EF4-FFF2-40B4-BE49-F238E27FC236}">
                  <a16:creationId xmlns:a16="http://schemas.microsoft.com/office/drawing/2014/main" id="{918D610E-5EB2-4B27-81FC-2486220E8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20D06D" w14:textId="4B297610" w:rsidR="007D1B34" w:rsidRPr="00AC6FCD" w:rsidRDefault="007D1B34" w:rsidP="007D1B34">
      <w:pPr>
        <w:pStyle w:val="Sourcenote"/>
        <w:numPr>
          <w:ilvl w:val="0"/>
          <w:numId w:val="17"/>
        </w:numPr>
        <w:rPr>
          <w:sz w:val="18"/>
          <w:szCs w:val="18"/>
        </w:rPr>
      </w:pPr>
      <w:r w:rsidRPr="00AC6FCD">
        <w:rPr>
          <w:sz w:val="18"/>
          <w:szCs w:val="18"/>
        </w:rPr>
        <w:t xml:space="preserve">Care should be taken when comparing </w:t>
      </w:r>
      <w:r w:rsidR="00112309" w:rsidRPr="00AC6FCD">
        <w:rPr>
          <w:sz w:val="18"/>
          <w:szCs w:val="18"/>
        </w:rPr>
        <w:t>expenditure</w:t>
      </w:r>
      <w:r w:rsidRPr="00AC6FCD">
        <w:rPr>
          <w:sz w:val="18"/>
          <w:szCs w:val="18"/>
        </w:rPr>
        <w:t xml:space="preserve"> between state</w:t>
      </w:r>
      <w:r w:rsidR="008303C7" w:rsidRPr="00AC6FCD">
        <w:rPr>
          <w:sz w:val="18"/>
          <w:szCs w:val="18"/>
        </w:rPr>
        <w:t>s</w:t>
      </w:r>
      <w:r w:rsidRPr="00AC6FCD">
        <w:rPr>
          <w:sz w:val="18"/>
          <w:szCs w:val="18"/>
        </w:rPr>
        <w:t xml:space="preserve"> and territories due to different administrative arrangements.</w:t>
      </w:r>
    </w:p>
    <w:p w14:paraId="73E8BDEF" w14:textId="77777777" w:rsidR="00B252E5" w:rsidRPr="00F0060F" w:rsidRDefault="00B252E5" w:rsidP="00336D22">
      <w:r w:rsidRPr="00F0060F">
        <w:t xml:space="preserve">The </w:t>
      </w:r>
      <w:r w:rsidR="00AD563C" w:rsidRPr="00F0060F">
        <w:t xml:space="preserve">New South Wales Government had the highest capital expenditure on </w:t>
      </w:r>
      <w:r w:rsidR="00AD563C" w:rsidRPr="00F0060F">
        <w:rPr>
          <w:i/>
        </w:rPr>
        <w:t>Heritage</w:t>
      </w:r>
      <w:r w:rsidR="00AD563C" w:rsidRPr="00F0060F">
        <w:t xml:space="preserve"> activities ($</w:t>
      </w:r>
      <w:r w:rsidR="00F0060F" w:rsidRPr="00F0060F">
        <w:t>178.</w:t>
      </w:r>
      <w:r w:rsidRPr="00F0060F">
        <w:t>2</w:t>
      </w:r>
      <w:r w:rsidR="00AD563C" w:rsidRPr="00F0060F">
        <w:t>m) followed by Western Australia ($</w:t>
      </w:r>
      <w:r w:rsidR="00F0060F" w:rsidRPr="00F0060F">
        <w:t>107.8</w:t>
      </w:r>
      <w:r w:rsidR="00AD563C" w:rsidRPr="00F0060F">
        <w:t>m)</w:t>
      </w:r>
      <w:r w:rsidR="00090F6A">
        <w:t xml:space="preserve"> and Queensland ($45.2</w:t>
      </w:r>
      <w:r w:rsidR="00B36227" w:rsidRPr="00F0060F">
        <w:t>m).</w:t>
      </w:r>
    </w:p>
    <w:p w14:paraId="42CB7FF2" w14:textId="53C0FDBE" w:rsidR="007D1B34" w:rsidRPr="00F0060F" w:rsidRDefault="00AD563C" w:rsidP="00E70A45">
      <w:r w:rsidRPr="00F0060F">
        <w:t xml:space="preserve">The </w:t>
      </w:r>
      <w:r w:rsidR="00B252E5" w:rsidRPr="00F0060F">
        <w:t>New South Wales</w:t>
      </w:r>
      <w:r w:rsidRPr="00F0060F">
        <w:t xml:space="preserve"> Government </w:t>
      </w:r>
      <w:r w:rsidR="00B252E5" w:rsidRPr="00F0060F">
        <w:t xml:space="preserve">also </w:t>
      </w:r>
      <w:r w:rsidRPr="00F0060F">
        <w:t xml:space="preserve">had the highest estimate for capital expenditure on </w:t>
      </w:r>
      <w:r w:rsidRPr="00F0060F">
        <w:rPr>
          <w:i/>
        </w:rPr>
        <w:t>Arts</w:t>
      </w:r>
      <w:r w:rsidRPr="00F0060F">
        <w:t xml:space="preserve"> activities </w:t>
      </w:r>
      <w:r w:rsidRPr="007E3D94">
        <w:t>($</w:t>
      </w:r>
      <w:r w:rsidR="00F0060F" w:rsidRPr="007E3D94">
        <w:t>173.</w:t>
      </w:r>
      <w:r w:rsidR="007E3D94" w:rsidRPr="000750F4">
        <w:t>6</w:t>
      </w:r>
      <w:r w:rsidRPr="007E3D94">
        <w:t>m</w:t>
      </w:r>
      <w:r w:rsidRPr="00F0060F">
        <w:t>)</w:t>
      </w:r>
      <w:r w:rsidR="00F0060F" w:rsidRPr="00F0060F">
        <w:t>, followed by Victoria ($61</w:t>
      </w:r>
      <w:r w:rsidR="00E70A45" w:rsidRPr="00F0060F">
        <w:t>.5m).</w:t>
      </w:r>
    </w:p>
    <w:sectPr w:rsidR="007D1B34" w:rsidRPr="00F0060F" w:rsidSect="00842CA0">
      <w:type w:val="continuous"/>
      <w:pgSz w:w="11906" w:h="16838"/>
      <w:pgMar w:top="1418" w:right="1133"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1D4DE" w14:textId="77777777" w:rsidR="007C6DA6" w:rsidRDefault="007C6DA6" w:rsidP="002117E6">
      <w:pPr>
        <w:spacing w:after="0"/>
      </w:pPr>
      <w:r>
        <w:separator/>
      </w:r>
    </w:p>
  </w:endnote>
  <w:endnote w:type="continuationSeparator" w:id="0">
    <w:p w14:paraId="2D2C1CE2" w14:textId="77777777" w:rsidR="007C6DA6" w:rsidRDefault="007C6DA6" w:rsidP="002117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46681" w14:textId="77777777" w:rsidR="00292A6A" w:rsidRDefault="00292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5723A" w14:textId="33E1C649" w:rsidR="003C5AD9" w:rsidRPr="000D3D9D" w:rsidRDefault="003C5AD9" w:rsidP="00842CA0">
    <w:pPr>
      <w:pStyle w:val="Footer"/>
      <w:tabs>
        <w:tab w:val="clear" w:pos="9026"/>
        <w:tab w:val="right" w:pos="9333"/>
      </w:tabs>
      <w:rPr>
        <w:rStyle w:val="Hyperlink"/>
        <w:sz w:val="18"/>
        <w:szCs w:val="18"/>
      </w:rPr>
    </w:pPr>
    <w:r w:rsidRPr="0024033A">
      <w:rPr>
        <w:sz w:val="18"/>
        <w:szCs w:val="18"/>
      </w:rPr>
      <w:t>Cultu</w:t>
    </w:r>
    <w:r w:rsidR="00CD19D5">
      <w:rPr>
        <w:sz w:val="18"/>
        <w:szCs w:val="18"/>
      </w:rPr>
      <w:t>ral Funding by Government—2019</w:t>
    </w:r>
    <w:r>
      <w:t>–</w:t>
    </w:r>
    <w:r w:rsidR="00CD19D5">
      <w:rPr>
        <w:sz w:val="18"/>
        <w:szCs w:val="18"/>
      </w:rPr>
      <w:t>20</w:t>
    </w:r>
    <w:r w:rsidRPr="0024033A">
      <w:rPr>
        <w:sz w:val="18"/>
        <w:szCs w:val="18"/>
      </w:rPr>
      <w:t>—</w:t>
    </w:r>
    <w:r>
      <w:rPr>
        <w:sz w:val="18"/>
        <w:szCs w:val="18"/>
      </w:rPr>
      <w:t>State and territory government</w:t>
    </w:r>
    <w:r>
      <w:rPr>
        <w:sz w:val="18"/>
        <w:szCs w:val="18"/>
      </w:rPr>
      <w:tab/>
    </w:r>
    <w:sdt>
      <w:sdtPr>
        <w:rPr>
          <w:sz w:val="18"/>
          <w:szCs w:val="18"/>
        </w:rPr>
        <w:id w:val="-924028759"/>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2A5903">
          <w:rPr>
            <w:bCs/>
            <w:noProof/>
            <w:sz w:val="18"/>
            <w:szCs w:val="18"/>
          </w:rPr>
          <w:t>2</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2A5903">
          <w:rPr>
            <w:bCs/>
            <w:noProof/>
            <w:sz w:val="18"/>
            <w:szCs w:val="18"/>
          </w:rPr>
          <w:t>4</w:t>
        </w:r>
        <w:r w:rsidRPr="0037566A">
          <w:rPr>
            <w:bCs/>
            <w:sz w:val="18"/>
            <w:szCs w:val="18"/>
          </w:rPr>
          <w:fldChar w:fldCharType="end"/>
        </w:r>
      </w:sdtContent>
    </w:sdt>
  </w:p>
  <w:p w14:paraId="58FC0CF6" w14:textId="77777777" w:rsidR="003C5AD9" w:rsidRDefault="003C5AD9" w:rsidP="00842CA0">
    <w:pPr>
      <w:spacing w:after="0"/>
      <w:ind w:left="-1418"/>
    </w:pPr>
    <w:r>
      <w:rPr>
        <w:noProof/>
        <w:lang w:eastAsia="en-AU"/>
      </w:rPr>
      <w:drawing>
        <wp:inline distT="0" distB="0" distL="0" distR="0" wp14:anchorId="4B56FFD6" wp14:editId="63A18810">
          <wp:extent cx="7560000" cy="358181"/>
          <wp:effectExtent l="0" t="0" r="3175" b="3810"/>
          <wp:docPr id="7" name="Picture 7" descr="Purple Border " titl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1935" t="-12324" r="1078" b="19102"/>
                  <a:stretch/>
                </pic:blipFill>
                <pic:spPr bwMode="auto">
                  <a:xfrm>
                    <a:off x="0" y="0"/>
                    <a:ext cx="7560000" cy="358181"/>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636DA" w14:textId="2EF920D5" w:rsidR="00E91B89" w:rsidRPr="00567F7E" w:rsidRDefault="00567F7E" w:rsidP="00567F7E">
    <w:pPr>
      <w:pStyle w:val="Footer"/>
      <w:rPr>
        <w:noProof/>
        <w:sz w:val="18"/>
        <w:szCs w:val="18"/>
        <w:lang w:eastAsia="en-AU"/>
      </w:rPr>
    </w:pPr>
    <w:r w:rsidRPr="00E91B89">
      <w:rPr>
        <w:rStyle w:val="Hyperlink"/>
        <w:b w:val="0"/>
        <w:bCs/>
        <w:color w:val="auto"/>
        <w:sz w:val="18"/>
        <w:szCs w:val="18"/>
        <w:u w:val="none"/>
      </w:rPr>
      <w:t>Source</w:t>
    </w:r>
    <w:r w:rsidRPr="00567F7E">
      <w:rPr>
        <w:noProof/>
        <w:sz w:val="18"/>
        <w:szCs w:val="18"/>
        <w:lang w:eastAsia="en-AU"/>
      </w:rPr>
      <w:t xml:space="preserve">: </w:t>
    </w:r>
    <w:r w:rsidRPr="00567F7E">
      <w:rPr>
        <w:i/>
        <w:iCs/>
        <w:noProof/>
        <w:sz w:val="18"/>
        <w:szCs w:val="18"/>
        <w:lang w:eastAsia="en-AU"/>
      </w:rPr>
      <w:t>Cultural Funding by Government 2019</w:t>
    </w:r>
    <w:r>
      <w:t>–</w:t>
    </w:r>
    <w:r w:rsidRPr="00567F7E">
      <w:rPr>
        <w:i/>
        <w:iCs/>
        <w:noProof/>
        <w:sz w:val="18"/>
        <w:szCs w:val="18"/>
        <w:lang w:eastAsia="en-AU"/>
      </w:rPr>
      <w:t>20</w:t>
    </w:r>
    <w:r w:rsidRPr="00567F7E">
      <w:rPr>
        <w:noProof/>
        <w:sz w:val="18"/>
        <w:szCs w:val="18"/>
        <w:lang w:eastAsia="en-AU"/>
      </w:rPr>
      <w:t xml:space="preserve"> survey</w:t>
    </w:r>
  </w:p>
  <w:p w14:paraId="5922EF99" w14:textId="77D16E2B" w:rsidR="00567F7E" w:rsidRDefault="00E91B89" w:rsidP="00E91B89">
    <w:pPr>
      <w:pStyle w:val="Footer"/>
      <w:ind w:left="-1417"/>
    </w:pPr>
    <w:r>
      <w:rPr>
        <w:noProof/>
        <w:lang w:eastAsia="en-AU"/>
      </w:rPr>
      <w:drawing>
        <wp:inline distT="0" distB="0" distL="0" distR="0" wp14:anchorId="387C6AAC" wp14:editId="23DEA1FD">
          <wp:extent cx="7610168" cy="271145"/>
          <wp:effectExtent l="0" t="0" r="0" b="0"/>
          <wp:docPr id="3" name="Picture 3" descr="Purple Border " titl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1935" t="-12324" r="1078" b="19102"/>
                  <a:stretch/>
                </pic:blipFill>
                <pic:spPr bwMode="auto">
                  <a:xfrm>
                    <a:off x="0" y="0"/>
                    <a:ext cx="7631446" cy="271903"/>
                  </a:xfrm>
                  <a:prstGeom prst="rect">
                    <a:avLst/>
                  </a:prstGeom>
                  <a:noFill/>
                  <a:ln>
                    <a:noFill/>
                  </a:ln>
                  <a:extLst>
                    <a:ext uri="{53640926-AAD7-44D8-BBD7-CCE9431645EC}">
                      <a14:shadowObscured xmlns:a14="http://schemas.microsoft.com/office/drawing/2010/main"/>
                    </a:ext>
                  </a:extLst>
                </pic:spPr>
              </pic:pic>
            </a:graphicData>
          </a:graphic>
        </wp:inline>
      </w:drawing>
    </w:r>
  </w:p>
  <w:p w14:paraId="4499A3B8" w14:textId="4F144EE1" w:rsidR="003C5AD9" w:rsidRPr="00477982" w:rsidRDefault="003C5AD9" w:rsidP="00477982">
    <w:pPr>
      <w:pStyle w:val="Footer"/>
      <w:ind w:left="-1418"/>
      <w:rPr>
        <w:rStyle w:val="Hyperlink"/>
        <w:color w:val="auto"/>
        <w:u w:val="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64A19" w14:textId="77777777" w:rsidR="007C6DA6" w:rsidRDefault="007C6DA6" w:rsidP="002117E6">
      <w:pPr>
        <w:spacing w:after="0"/>
      </w:pPr>
      <w:r>
        <w:separator/>
      </w:r>
    </w:p>
  </w:footnote>
  <w:footnote w:type="continuationSeparator" w:id="0">
    <w:p w14:paraId="64A1F582" w14:textId="77777777" w:rsidR="007C6DA6" w:rsidRDefault="007C6DA6" w:rsidP="002117E6">
      <w:pPr>
        <w:spacing w:after="0"/>
      </w:pPr>
      <w:r>
        <w:continuationSeparator/>
      </w:r>
    </w:p>
  </w:footnote>
  <w:footnote w:id="1">
    <w:p w14:paraId="61992ADE" w14:textId="496AC803" w:rsidR="00090F6A" w:rsidRDefault="00090F6A">
      <w:pPr>
        <w:pStyle w:val="FootnoteText"/>
      </w:pPr>
      <w:r>
        <w:rPr>
          <w:rStyle w:val="FootnoteReference"/>
        </w:rPr>
        <w:footnoteRef/>
      </w:r>
      <w:r>
        <w:t xml:space="preserve"> </w:t>
      </w:r>
      <w:r w:rsidRPr="00EA06BD">
        <w:rPr>
          <w:i/>
          <w:iCs/>
          <w:sz w:val="18"/>
          <w:szCs w:val="18"/>
        </w:rPr>
        <w:t>Cultural Funding by Government</w:t>
      </w:r>
      <w:r>
        <w:rPr>
          <w:sz w:val="18"/>
          <w:szCs w:val="18"/>
        </w:rPr>
        <w:t xml:space="preserve"> survey not conducted in 2018–</w:t>
      </w:r>
      <w:r w:rsidRPr="00EA06BD">
        <w:rPr>
          <w:sz w:val="18"/>
          <w:szCs w:val="18"/>
        </w:rPr>
        <w:t>19</w:t>
      </w:r>
      <w:r w:rsidR="00283788">
        <w:rPr>
          <w:sz w:val="18"/>
          <w:szCs w:val="18"/>
        </w:rPr>
        <w:t xml:space="preserve">, </w:t>
      </w:r>
      <w:r w:rsidRPr="00EA06BD">
        <w:rPr>
          <w:sz w:val="18"/>
          <w:szCs w:val="18"/>
        </w:rPr>
        <w:t>as</w:t>
      </w:r>
      <w:r w:rsidR="00283788">
        <w:rPr>
          <w:sz w:val="18"/>
          <w:szCs w:val="18"/>
        </w:rPr>
        <w:t xml:space="preserve"> it </w:t>
      </w:r>
      <w:r w:rsidRPr="00EA06BD">
        <w:rPr>
          <w:sz w:val="18"/>
          <w:szCs w:val="18"/>
        </w:rPr>
        <w:t>changed to a biennial collection.</w:t>
      </w:r>
    </w:p>
  </w:footnote>
  <w:footnote w:id="2">
    <w:p w14:paraId="56C656AF" w14:textId="24CF4E93" w:rsidR="007270E3" w:rsidRPr="00F755DA" w:rsidRDefault="007270E3">
      <w:pPr>
        <w:pStyle w:val="FootnoteText"/>
      </w:pPr>
      <w:r>
        <w:rPr>
          <w:rStyle w:val="FootnoteReference"/>
        </w:rPr>
        <w:footnoteRef/>
      </w:r>
      <w:r>
        <w:t xml:space="preserve"> </w:t>
      </w:r>
      <w:r w:rsidR="00EB6044" w:rsidRPr="00AD7FB8">
        <w:rPr>
          <w:sz w:val="18"/>
          <w:szCs w:val="18"/>
        </w:rPr>
        <w:t xml:space="preserve">Additional </w:t>
      </w:r>
      <w:r w:rsidR="00B342B0" w:rsidRPr="00AD7FB8">
        <w:rPr>
          <w:sz w:val="18"/>
          <w:szCs w:val="18"/>
        </w:rPr>
        <w:t xml:space="preserve">$50.1m in </w:t>
      </w:r>
      <w:r w:rsidR="00283788" w:rsidRPr="00AD7FB8">
        <w:rPr>
          <w:sz w:val="18"/>
          <w:szCs w:val="18"/>
        </w:rPr>
        <w:t xml:space="preserve">COVID support funding reported: Victoria; $35.2m, South Australia; $7.6m, Tasmania; $4.3m, and ACT Government; $3.1m. Some state and territory governments unable to identify the ‘creative and cultural only’ COVID support funding for 2019–20. </w:t>
      </w:r>
      <w:r w:rsidR="00EB6044" w:rsidRPr="00AD7FB8">
        <w:rPr>
          <w:sz w:val="18"/>
          <w:szCs w:val="18"/>
        </w:rPr>
        <w:t>Queensland Government reallocated</w:t>
      </w:r>
      <w:r w:rsidR="00276263" w:rsidRPr="00AD7FB8">
        <w:rPr>
          <w:sz w:val="18"/>
          <w:szCs w:val="18"/>
        </w:rPr>
        <w:t xml:space="preserve"> and bought forward </w:t>
      </w:r>
      <w:r w:rsidR="00EB6044" w:rsidRPr="00AD7FB8">
        <w:rPr>
          <w:sz w:val="18"/>
          <w:szCs w:val="18"/>
        </w:rPr>
        <w:t>$12.5m in funding for COVID support</w:t>
      </w:r>
      <w:r w:rsidR="00B342B0" w:rsidRPr="00AD7FB8">
        <w:rPr>
          <w:sz w:val="18"/>
          <w:szCs w:val="18"/>
        </w:rPr>
        <w:t xml:space="preserve"> for 2019–20</w:t>
      </w:r>
      <w:r w:rsidR="00EB6044" w:rsidRPr="00AD7FB8">
        <w:rPr>
          <w:sz w:val="18"/>
          <w:szCs w:val="18"/>
        </w:rPr>
        <w:t xml:space="preserve">. </w:t>
      </w:r>
      <w:r w:rsidR="00283788" w:rsidRPr="00AD7FB8">
        <w:rPr>
          <w:sz w:val="18"/>
          <w:szCs w:val="18"/>
        </w:rPr>
        <w:t xml:space="preserve">All state and territory governments </w:t>
      </w:r>
      <w:r w:rsidR="00283788" w:rsidRPr="00256B5B">
        <w:rPr>
          <w:sz w:val="18"/>
          <w:szCs w:val="18"/>
        </w:rPr>
        <w:t>likely to report COVID support funding in</w:t>
      </w:r>
      <w:r w:rsidR="00276263">
        <w:rPr>
          <w:sz w:val="18"/>
          <w:szCs w:val="18"/>
        </w:rPr>
        <w:t xml:space="preserve"> </w:t>
      </w:r>
      <w:r w:rsidR="00283788" w:rsidRPr="00256B5B">
        <w:rPr>
          <w:sz w:val="18"/>
          <w:szCs w:val="18"/>
        </w:rPr>
        <w:t>2020–21 financial year.</w:t>
      </w:r>
    </w:p>
  </w:footnote>
  <w:footnote w:id="3">
    <w:p w14:paraId="2131E7FF" w14:textId="6C705F1A" w:rsidR="007526AC" w:rsidRDefault="007526AC" w:rsidP="007526AC">
      <w:pPr>
        <w:pStyle w:val="FootnoteText"/>
      </w:pPr>
      <w:r>
        <w:rPr>
          <w:rStyle w:val="FootnoteReference"/>
        </w:rPr>
        <w:footnoteRef/>
      </w:r>
      <w:r>
        <w:t xml:space="preserve"> </w:t>
      </w:r>
      <w:r w:rsidR="00EE13A6" w:rsidRPr="009C28E6">
        <w:t xml:space="preserve">Additional </w:t>
      </w:r>
      <w:r w:rsidRPr="009C28E6">
        <w:rPr>
          <w:sz w:val="18"/>
          <w:szCs w:val="18"/>
        </w:rPr>
        <w:t xml:space="preserve">COVID support </w:t>
      </w:r>
      <w:r w:rsidRPr="0085042D">
        <w:rPr>
          <w:sz w:val="18"/>
          <w:szCs w:val="18"/>
        </w:rPr>
        <w:t>funding included in Total recurrent and Total</w:t>
      </w:r>
      <w:r>
        <w:rPr>
          <w:sz w:val="18"/>
          <w:szCs w:val="18"/>
        </w:rPr>
        <w:t xml:space="preserve"> </w:t>
      </w:r>
      <w:r w:rsidRPr="0085042D">
        <w:rPr>
          <w:sz w:val="18"/>
          <w:szCs w:val="18"/>
        </w:rPr>
        <w:t>figures only</w:t>
      </w:r>
      <w:r w:rsidR="00EE13A6" w:rsidRPr="00EE13A6">
        <w:rPr>
          <w:sz w:val="18"/>
          <w:szCs w:val="18"/>
        </w:rPr>
        <w:t xml:space="preserve">, and </w:t>
      </w:r>
      <w:r w:rsidRPr="00EE13A6">
        <w:rPr>
          <w:sz w:val="18"/>
          <w:szCs w:val="18"/>
        </w:rPr>
        <w:t xml:space="preserve">not reported </w:t>
      </w:r>
      <w:r>
        <w:rPr>
          <w:sz w:val="18"/>
          <w:szCs w:val="18"/>
        </w:rPr>
        <w:t xml:space="preserve">by </w:t>
      </w:r>
      <w:r w:rsidRPr="0085042D">
        <w:rPr>
          <w:sz w:val="18"/>
          <w:szCs w:val="18"/>
        </w:rPr>
        <w:t>category.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0889E" w14:textId="77777777" w:rsidR="00292A6A" w:rsidRDefault="00292A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DA046" w14:textId="77777777" w:rsidR="003C5AD9" w:rsidRDefault="003C5AD9" w:rsidP="00477982">
    <w:pPr>
      <w:pStyle w:val="Header"/>
      <w:ind w:left="-1418"/>
    </w:pPr>
    <w:r>
      <w:rPr>
        <w:noProof/>
        <w:lang w:eastAsia="en-AU"/>
      </w:rPr>
      <w:drawing>
        <wp:inline distT="0" distB="0" distL="0" distR="0" wp14:anchorId="2E10B1AE" wp14:editId="517D3494">
          <wp:extent cx="7560000" cy="544479"/>
          <wp:effectExtent l="0" t="0" r="3175" b="8255"/>
          <wp:docPr id="6" name="Picture 6" descr="Purple Border" titl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1654" t="19214" r="1857"/>
                  <a:stretch/>
                </pic:blipFill>
                <pic:spPr bwMode="auto">
                  <a:xfrm>
                    <a:off x="0" y="0"/>
                    <a:ext cx="7560000" cy="544479"/>
                  </a:xfrm>
                  <a:prstGeom prst="rect">
                    <a:avLst/>
                  </a:prstGeom>
                  <a:noFill/>
                  <a:ln>
                    <a:noFill/>
                  </a:ln>
                  <a:extLst>
                    <a:ext uri="{53640926-AAD7-44D8-BBD7-CCE9431645EC}">
                      <a14:shadowObscured xmlns:a14="http://schemas.microsoft.com/office/drawing/2010/main"/>
                    </a:ext>
                  </a:extLst>
                </pic:spPr>
              </pic:pic>
            </a:graphicData>
          </a:graphic>
        </wp:inline>
      </w:drawing>
    </w:r>
  </w:p>
  <w:p w14:paraId="67CA6762" w14:textId="7F3349D9" w:rsidR="003C5AD9" w:rsidRDefault="003C5AD9" w:rsidP="00477982">
    <w:pPr>
      <w:pStyle w:val="Header"/>
      <w:tabs>
        <w:tab w:val="clear" w:pos="9026"/>
        <w:tab w:val="right" w:pos="9333"/>
      </w:tabs>
    </w:pPr>
    <w:r>
      <w:t>MCM Statistics Working Group</w:t>
    </w:r>
    <w:r w:rsidRPr="00A96536">
      <w:tab/>
    </w:r>
    <w:r w:rsidRPr="00A96536">
      <w:tab/>
    </w:r>
    <w:r w:rsidR="00292A6A">
      <w:t>August</w:t>
    </w:r>
    <w:r w:rsidR="00CD19D5">
      <w:t xml:space="preserve">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B4F9E" w14:textId="5E57226D" w:rsidR="00292A6A" w:rsidRDefault="00292A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B5F19"/>
    <w:multiLevelType w:val="hybridMultilevel"/>
    <w:tmpl w:val="0A6C144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192E75"/>
    <w:multiLevelType w:val="hybridMultilevel"/>
    <w:tmpl w:val="037E7A4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12D9E"/>
    <w:multiLevelType w:val="hybridMultilevel"/>
    <w:tmpl w:val="7900756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CC7040"/>
    <w:multiLevelType w:val="hybridMultilevel"/>
    <w:tmpl w:val="3D044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364723"/>
    <w:multiLevelType w:val="hybridMultilevel"/>
    <w:tmpl w:val="0F6034AE"/>
    <w:lvl w:ilvl="0" w:tplc="6612587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D6047D4"/>
    <w:multiLevelType w:val="hybridMultilevel"/>
    <w:tmpl w:val="872C1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937613"/>
    <w:multiLevelType w:val="hybridMultilevel"/>
    <w:tmpl w:val="2B48B512"/>
    <w:lvl w:ilvl="0" w:tplc="69AC7252">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0E0760B7"/>
    <w:multiLevelType w:val="hybridMultilevel"/>
    <w:tmpl w:val="2CE80F8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286EFC"/>
    <w:multiLevelType w:val="hybridMultilevel"/>
    <w:tmpl w:val="5D306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7C6A73"/>
    <w:multiLevelType w:val="hybridMultilevel"/>
    <w:tmpl w:val="528A0CE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2B508A"/>
    <w:multiLevelType w:val="hybridMultilevel"/>
    <w:tmpl w:val="F3CA4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2F2D20"/>
    <w:multiLevelType w:val="hybridMultilevel"/>
    <w:tmpl w:val="A16E6CF2"/>
    <w:lvl w:ilvl="0" w:tplc="0C09000B">
      <w:start w:val="1"/>
      <w:numFmt w:val="bullet"/>
      <w:lvlText w:val=""/>
      <w:lvlJc w:val="left"/>
      <w:pPr>
        <w:ind w:left="1080" w:hanging="360"/>
      </w:pPr>
      <w:rPr>
        <w:rFonts w:ascii="Wingdings" w:hAnsi="Wingdings"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9D86CEE"/>
    <w:multiLevelType w:val="hybridMultilevel"/>
    <w:tmpl w:val="7A101CF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6C331D"/>
    <w:multiLevelType w:val="hybridMultilevel"/>
    <w:tmpl w:val="168C81D6"/>
    <w:lvl w:ilvl="0" w:tplc="22A2214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F4C2344"/>
    <w:multiLevelType w:val="hybridMultilevel"/>
    <w:tmpl w:val="393E5CF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F25F0C"/>
    <w:multiLevelType w:val="hybridMultilevel"/>
    <w:tmpl w:val="5614A5C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1F7139D"/>
    <w:multiLevelType w:val="hybridMultilevel"/>
    <w:tmpl w:val="8D86E3C4"/>
    <w:lvl w:ilvl="0" w:tplc="55AAAE52">
      <w:start w:val="1"/>
      <w:numFmt w:val="bullet"/>
      <w:pStyle w:val="bullets-arrows"/>
      <w:lvlText w:val=""/>
      <w:lvlJc w:val="left"/>
      <w:pPr>
        <w:ind w:left="4680" w:hanging="360"/>
      </w:pPr>
      <w:rPr>
        <w:rFonts w:ascii="Wingdings" w:hAnsi="Wingdings" w:hint="default"/>
      </w:rPr>
    </w:lvl>
    <w:lvl w:ilvl="1" w:tplc="0C090003" w:tentative="1">
      <w:start w:val="1"/>
      <w:numFmt w:val="bullet"/>
      <w:lvlText w:val="o"/>
      <w:lvlJc w:val="left"/>
      <w:pPr>
        <w:ind w:left="5400" w:hanging="360"/>
      </w:pPr>
      <w:rPr>
        <w:rFonts w:ascii="Courier New" w:hAnsi="Courier New" w:cs="Courier New" w:hint="default"/>
      </w:rPr>
    </w:lvl>
    <w:lvl w:ilvl="2" w:tplc="0C090005" w:tentative="1">
      <w:start w:val="1"/>
      <w:numFmt w:val="bullet"/>
      <w:lvlText w:val=""/>
      <w:lvlJc w:val="left"/>
      <w:pPr>
        <w:ind w:left="6120" w:hanging="360"/>
      </w:pPr>
      <w:rPr>
        <w:rFonts w:ascii="Wingdings" w:hAnsi="Wingdings" w:hint="default"/>
      </w:rPr>
    </w:lvl>
    <w:lvl w:ilvl="3" w:tplc="0C090001" w:tentative="1">
      <w:start w:val="1"/>
      <w:numFmt w:val="bullet"/>
      <w:lvlText w:val=""/>
      <w:lvlJc w:val="left"/>
      <w:pPr>
        <w:ind w:left="6840" w:hanging="360"/>
      </w:pPr>
      <w:rPr>
        <w:rFonts w:ascii="Symbol" w:hAnsi="Symbol" w:hint="default"/>
      </w:rPr>
    </w:lvl>
    <w:lvl w:ilvl="4" w:tplc="0C090003" w:tentative="1">
      <w:start w:val="1"/>
      <w:numFmt w:val="bullet"/>
      <w:lvlText w:val="o"/>
      <w:lvlJc w:val="left"/>
      <w:pPr>
        <w:ind w:left="7560" w:hanging="360"/>
      </w:pPr>
      <w:rPr>
        <w:rFonts w:ascii="Courier New" w:hAnsi="Courier New" w:cs="Courier New" w:hint="default"/>
      </w:rPr>
    </w:lvl>
    <w:lvl w:ilvl="5" w:tplc="0C090005" w:tentative="1">
      <w:start w:val="1"/>
      <w:numFmt w:val="bullet"/>
      <w:lvlText w:val=""/>
      <w:lvlJc w:val="left"/>
      <w:pPr>
        <w:ind w:left="8280" w:hanging="360"/>
      </w:pPr>
      <w:rPr>
        <w:rFonts w:ascii="Wingdings" w:hAnsi="Wingdings" w:hint="default"/>
      </w:rPr>
    </w:lvl>
    <w:lvl w:ilvl="6" w:tplc="0C090001" w:tentative="1">
      <w:start w:val="1"/>
      <w:numFmt w:val="bullet"/>
      <w:lvlText w:val=""/>
      <w:lvlJc w:val="left"/>
      <w:pPr>
        <w:ind w:left="9000" w:hanging="360"/>
      </w:pPr>
      <w:rPr>
        <w:rFonts w:ascii="Symbol" w:hAnsi="Symbol" w:hint="default"/>
      </w:rPr>
    </w:lvl>
    <w:lvl w:ilvl="7" w:tplc="0C090003" w:tentative="1">
      <w:start w:val="1"/>
      <w:numFmt w:val="bullet"/>
      <w:lvlText w:val="o"/>
      <w:lvlJc w:val="left"/>
      <w:pPr>
        <w:ind w:left="9720" w:hanging="360"/>
      </w:pPr>
      <w:rPr>
        <w:rFonts w:ascii="Courier New" w:hAnsi="Courier New" w:cs="Courier New" w:hint="default"/>
      </w:rPr>
    </w:lvl>
    <w:lvl w:ilvl="8" w:tplc="0C090005" w:tentative="1">
      <w:start w:val="1"/>
      <w:numFmt w:val="bullet"/>
      <w:lvlText w:val=""/>
      <w:lvlJc w:val="left"/>
      <w:pPr>
        <w:ind w:left="10440" w:hanging="360"/>
      </w:pPr>
      <w:rPr>
        <w:rFonts w:ascii="Wingdings" w:hAnsi="Wingdings" w:hint="default"/>
      </w:rPr>
    </w:lvl>
  </w:abstractNum>
  <w:abstractNum w:abstractNumId="17" w15:restartNumberingAfterBreak="0">
    <w:nsid w:val="33E928F8"/>
    <w:multiLevelType w:val="hybridMultilevel"/>
    <w:tmpl w:val="E2C2ADA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466A52"/>
    <w:multiLevelType w:val="hybridMultilevel"/>
    <w:tmpl w:val="1A9AF4EE"/>
    <w:lvl w:ilvl="0" w:tplc="0C09000B">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4B3F70"/>
    <w:multiLevelType w:val="hybridMultilevel"/>
    <w:tmpl w:val="2EB41F5A"/>
    <w:lvl w:ilvl="0" w:tplc="43C08D60">
      <w:start w:val="1"/>
      <w:numFmt w:val="bullet"/>
      <w:pStyle w:val="Bulle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186565"/>
    <w:multiLevelType w:val="hybridMultilevel"/>
    <w:tmpl w:val="4908445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1C75CB"/>
    <w:multiLevelType w:val="hybridMultilevel"/>
    <w:tmpl w:val="2EAE3E1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7603F4"/>
    <w:multiLevelType w:val="hybridMultilevel"/>
    <w:tmpl w:val="BFDCFF6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8E143A"/>
    <w:multiLevelType w:val="hybridMultilevel"/>
    <w:tmpl w:val="5BC04524"/>
    <w:lvl w:ilvl="0" w:tplc="0C09000B">
      <w:start w:val="1"/>
      <w:numFmt w:val="bullet"/>
      <w:lvlText w:val=""/>
      <w:lvlJc w:val="left"/>
      <w:pPr>
        <w:ind w:left="765" w:hanging="360"/>
      </w:pPr>
      <w:rPr>
        <w:rFonts w:ascii="Wingdings" w:hAnsi="Wingding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4A4C7FA2"/>
    <w:multiLevelType w:val="hybridMultilevel"/>
    <w:tmpl w:val="8E8AD0A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F23298"/>
    <w:multiLevelType w:val="hybridMultilevel"/>
    <w:tmpl w:val="4ED0E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F63E41"/>
    <w:multiLevelType w:val="hybridMultilevel"/>
    <w:tmpl w:val="FBBCE46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7101825"/>
    <w:multiLevelType w:val="hybridMultilevel"/>
    <w:tmpl w:val="F062681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900987"/>
    <w:multiLevelType w:val="hybridMultilevel"/>
    <w:tmpl w:val="70B8BB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93E1F26"/>
    <w:multiLevelType w:val="hybridMultilevel"/>
    <w:tmpl w:val="1A685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6D0F69"/>
    <w:multiLevelType w:val="hybridMultilevel"/>
    <w:tmpl w:val="DD3AA83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6"/>
  </w:num>
  <w:num w:numId="4">
    <w:abstractNumId w:val="30"/>
  </w:num>
  <w:num w:numId="5">
    <w:abstractNumId w:val="9"/>
  </w:num>
  <w:num w:numId="6">
    <w:abstractNumId w:val="16"/>
  </w:num>
  <w:num w:numId="7">
    <w:abstractNumId w:val="2"/>
  </w:num>
  <w:num w:numId="8">
    <w:abstractNumId w:val="10"/>
  </w:num>
  <w:num w:numId="9">
    <w:abstractNumId w:val="4"/>
  </w:num>
  <w:num w:numId="10">
    <w:abstractNumId w:val="22"/>
  </w:num>
  <w:num w:numId="11">
    <w:abstractNumId w:val="12"/>
  </w:num>
  <w:num w:numId="12">
    <w:abstractNumId w:val="17"/>
  </w:num>
  <w:num w:numId="13">
    <w:abstractNumId w:val="7"/>
  </w:num>
  <w:num w:numId="14">
    <w:abstractNumId w:val="14"/>
  </w:num>
  <w:num w:numId="15">
    <w:abstractNumId w:val="26"/>
  </w:num>
  <w:num w:numId="16">
    <w:abstractNumId w:val="4"/>
    <w:lvlOverride w:ilvl="0">
      <w:startOverride w:val="1"/>
    </w:lvlOverride>
  </w:num>
  <w:num w:numId="17">
    <w:abstractNumId w:val="4"/>
    <w:lvlOverride w:ilvl="0">
      <w:startOverride w:val="1"/>
    </w:lvlOverride>
  </w:num>
  <w:num w:numId="18">
    <w:abstractNumId w:val="13"/>
  </w:num>
  <w:num w:numId="19">
    <w:abstractNumId w:val="21"/>
  </w:num>
  <w:num w:numId="20">
    <w:abstractNumId w:val="18"/>
  </w:num>
  <w:num w:numId="21">
    <w:abstractNumId w:val="1"/>
  </w:num>
  <w:num w:numId="22">
    <w:abstractNumId w:val="8"/>
  </w:num>
  <w:num w:numId="23">
    <w:abstractNumId w:val="3"/>
  </w:num>
  <w:num w:numId="24">
    <w:abstractNumId w:val="25"/>
  </w:num>
  <w:num w:numId="25">
    <w:abstractNumId w:val="31"/>
  </w:num>
  <w:num w:numId="26">
    <w:abstractNumId w:val="27"/>
  </w:num>
  <w:num w:numId="27">
    <w:abstractNumId w:val="20"/>
  </w:num>
  <w:num w:numId="28">
    <w:abstractNumId w:val="15"/>
  </w:num>
  <w:num w:numId="29">
    <w:abstractNumId w:val="28"/>
  </w:num>
  <w:num w:numId="30">
    <w:abstractNumId w:val="23"/>
  </w:num>
  <w:num w:numId="31">
    <w:abstractNumId w:val="0"/>
  </w:num>
  <w:num w:numId="32">
    <w:abstractNumId w:val="5"/>
  </w:num>
  <w:num w:numId="33">
    <w:abstractNumId w:val="19"/>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13E"/>
    <w:rsid w:val="0000288A"/>
    <w:rsid w:val="000056F7"/>
    <w:rsid w:val="00011EEB"/>
    <w:rsid w:val="000141FB"/>
    <w:rsid w:val="00023A67"/>
    <w:rsid w:val="00024E6D"/>
    <w:rsid w:val="00025017"/>
    <w:rsid w:val="000271D2"/>
    <w:rsid w:val="00027459"/>
    <w:rsid w:val="000302BC"/>
    <w:rsid w:val="000347B0"/>
    <w:rsid w:val="000610AF"/>
    <w:rsid w:val="000750F4"/>
    <w:rsid w:val="000761DC"/>
    <w:rsid w:val="0007783D"/>
    <w:rsid w:val="00077C6C"/>
    <w:rsid w:val="00090F6A"/>
    <w:rsid w:val="0009659E"/>
    <w:rsid w:val="000A7749"/>
    <w:rsid w:val="000B0931"/>
    <w:rsid w:val="000B5C55"/>
    <w:rsid w:val="000B7D44"/>
    <w:rsid w:val="000C6516"/>
    <w:rsid w:val="000C66BA"/>
    <w:rsid w:val="000C694D"/>
    <w:rsid w:val="000D421A"/>
    <w:rsid w:val="000E398B"/>
    <w:rsid w:val="001031A7"/>
    <w:rsid w:val="00107E09"/>
    <w:rsid w:val="00111A64"/>
    <w:rsid w:val="00112309"/>
    <w:rsid w:val="001471EA"/>
    <w:rsid w:val="001472FC"/>
    <w:rsid w:val="001736CC"/>
    <w:rsid w:val="00185BD8"/>
    <w:rsid w:val="00185E9F"/>
    <w:rsid w:val="0019701B"/>
    <w:rsid w:val="001A350B"/>
    <w:rsid w:val="001B67BE"/>
    <w:rsid w:val="001B7B69"/>
    <w:rsid w:val="001D26EC"/>
    <w:rsid w:val="001D64AC"/>
    <w:rsid w:val="001D76B7"/>
    <w:rsid w:val="001D7905"/>
    <w:rsid w:val="001E0555"/>
    <w:rsid w:val="001E7185"/>
    <w:rsid w:val="001F3A8A"/>
    <w:rsid w:val="00203386"/>
    <w:rsid w:val="002117E6"/>
    <w:rsid w:val="00221CCC"/>
    <w:rsid w:val="00227384"/>
    <w:rsid w:val="00233671"/>
    <w:rsid w:val="0024033A"/>
    <w:rsid w:val="00242B78"/>
    <w:rsid w:val="002503EE"/>
    <w:rsid w:val="00272FB1"/>
    <w:rsid w:val="00276263"/>
    <w:rsid w:val="00283788"/>
    <w:rsid w:val="00290FEC"/>
    <w:rsid w:val="00292A6A"/>
    <w:rsid w:val="00293DD6"/>
    <w:rsid w:val="00294F14"/>
    <w:rsid w:val="002A4338"/>
    <w:rsid w:val="002A5903"/>
    <w:rsid w:val="002C5369"/>
    <w:rsid w:val="002E2477"/>
    <w:rsid w:val="002E449F"/>
    <w:rsid w:val="002E5E65"/>
    <w:rsid w:val="002F3895"/>
    <w:rsid w:val="00302513"/>
    <w:rsid w:val="00327F06"/>
    <w:rsid w:val="00330F98"/>
    <w:rsid w:val="003347F1"/>
    <w:rsid w:val="00334D7B"/>
    <w:rsid w:val="00335334"/>
    <w:rsid w:val="00336D22"/>
    <w:rsid w:val="00336DDD"/>
    <w:rsid w:val="00340AF9"/>
    <w:rsid w:val="0034396E"/>
    <w:rsid w:val="0036093A"/>
    <w:rsid w:val="00360A41"/>
    <w:rsid w:val="00381364"/>
    <w:rsid w:val="0038641A"/>
    <w:rsid w:val="00386C67"/>
    <w:rsid w:val="003A17CA"/>
    <w:rsid w:val="003A2D94"/>
    <w:rsid w:val="003A4478"/>
    <w:rsid w:val="003A5C2C"/>
    <w:rsid w:val="003B2C38"/>
    <w:rsid w:val="003B5B1D"/>
    <w:rsid w:val="003C2B56"/>
    <w:rsid w:val="003C5AD9"/>
    <w:rsid w:val="003E747C"/>
    <w:rsid w:val="003F41FC"/>
    <w:rsid w:val="003F495D"/>
    <w:rsid w:val="00400E77"/>
    <w:rsid w:val="0041185C"/>
    <w:rsid w:val="00426F0B"/>
    <w:rsid w:val="00431A60"/>
    <w:rsid w:val="00435054"/>
    <w:rsid w:val="00436F4C"/>
    <w:rsid w:val="00441A51"/>
    <w:rsid w:val="00450D6E"/>
    <w:rsid w:val="00456F44"/>
    <w:rsid w:val="004576DC"/>
    <w:rsid w:val="00467552"/>
    <w:rsid w:val="004753FE"/>
    <w:rsid w:val="004755A2"/>
    <w:rsid w:val="00477982"/>
    <w:rsid w:val="004973ED"/>
    <w:rsid w:val="004A7AAF"/>
    <w:rsid w:val="004D6878"/>
    <w:rsid w:val="004F02D9"/>
    <w:rsid w:val="004F0AC6"/>
    <w:rsid w:val="004F2DCB"/>
    <w:rsid w:val="004F7C28"/>
    <w:rsid w:val="00507A8E"/>
    <w:rsid w:val="00524D1F"/>
    <w:rsid w:val="005262D2"/>
    <w:rsid w:val="00526687"/>
    <w:rsid w:val="00530E99"/>
    <w:rsid w:val="005377F7"/>
    <w:rsid w:val="00542695"/>
    <w:rsid w:val="00544465"/>
    <w:rsid w:val="0055499C"/>
    <w:rsid w:val="005607E8"/>
    <w:rsid w:val="00561190"/>
    <w:rsid w:val="005658F1"/>
    <w:rsid w:val="00565B47"/>
    <w:rsid w:val="00567F7E"/>
    <w:rsid w:val="005735F2"/>
    <w:rsid w:val="00575A5A"/>
    <w:rsid w:val="00582404"/>
    <w:rsid w:val="00586CC5"/>
    <w:rsid w:val="005932D0"/>
    <w:rsid w:val="00597F9B"/>
    <w:rsid w:val="005A2384"/>
    <w:rsid w:val="005A2E9B"/>
    <w:rsid w:val="005A4C7A"/>
    <w:rsid w:val="005B5587"/>
    <w:rsid w:val="005C0A99"/>
    <w:rsid w:val="005C608A"/>
    <w:rsid w:val="005C7EE7"/>
    <w:rsid w:val="005D197F"/>
    <w:rsid w:val="005D380F"/>
    <w:rsid w:val="005F23E0"/>
    <w:rsid w:val="006014C5"/>
    <w:rsid w:val="00604CC6"/>
    <w:rsid w:val="00606D51"/>
    <w:rsid w:val="0061446D"/>
    <w:rsid w:val="00625397"/>
    <w:rsid w:val="0062620A"/>
    <w:rsid w:val="006264F5"/>
    <w:rsid w:val="00640A4C"/>
    <w:rsid w:val="0064138E"/>
    <w:rsid w:val="00655CBA"/>
    <w:rsid w:val="00655DF4"/>
    <w:rsid w:val="006565F5"/>
    <w:rsid w:val="00660B30"/>
    <w:rsid w:val="00661DF5"/>
    <w:rsid w:val="006904B5"/>
    <w:rsid w:val="006A2F0E"/>
    <w:rsid w:val="006B4A1D"/>
    <w:rsid w:val="006C18BE"/>
    <w:rsid w:val="006C47CA"/>
    <w:rsid w:val="006D096B"/>
    <w:rsid w:val="006D4BB3"/>
    <w:rsid w:val="006D5CFF"/>
    <w:rsid w:val="006E038F"/>
    <w:rsid w:val="006F06FD"/>
    <w:rsid w:val="00705B86"/>
    <w:rsid w:val="00711CAD"/>
    <w:rsid w:val="00723C86"/>
    <w:rsid w:val="00725AAF"/>
    <w:rsid w:val="007270E3"/>
    <w:rsid w:val="007312EE"/>
    <w:rsid w:val="00734581"/>
    <w:rsid w:val="00750CD9"/>
    <w:rsid w:val="007526AC"/>
    <w:rsid w:val="00753BB6"/>
    <w:rsid w:val="00753D4A"/>
    <w:rsid w:val="007665C2"/>
    <w:rsid w:val="0079176A"/>
    <w:rsid w:val="007A2466"/>
    <w:rsid w:val="007A4B0F"/>
    <w:rsid w:val="007C6DA6"/>
    <w:rsid w:val="007D18A3"/>
    <w:rsid w:val="007D1B34"/>
    <w:rsid w:val="007D3063"/>
    <w:rsid w:val="007D4CF2"/>
    <w:rsid w:val="007E3D94"/>
    <w:rsid w:val="007E49C1"/>
    <w:rsid w:val="007F5636"/>
    <w:rsid w:val="008002A0"/>
    <w:rsid w:val="008169A6"/>
    <w:rsid w:val="0082186E"/>
    <w:rsid w:val="008303C7"/>
    <w:rsid w:val="00834A94"/>
    <w:rsid w:val="00834DE8"/>
    <w:rsid w:val="00842CA0"/>
    <w:rsid w:val="008456D6"/>
    <w:rsid w:val="008556F8"/>
    <w:rsid w:val="00863811"/>
    <w:rsid w:val="008646E6"/>
    <w:rsid w:val="00866475"/>
    <w:rsid w:val="00880D08"/>
    <w:rsid w:val="00883826"/>
    <w:rsid w:val="008A4B1F"/>
    <w:rsid w:val="008B4A85"/>
    <w:rsid w:val="008B767F"/>
    <w:rsid w:val="008C415E"/>
    <w:rsid w:val="008C467D"/>
    <w:rsid w:val="008C502E"/>
    <w:rsid w:val="008D4E53"/>
    <w:rsid w:val="008D5A99"/>
    <w:rsid w:val="008E57F4"/>
    <w:rsid w:val="008F58B4"/>
    <w:rsid w:val="008F5F11"/>
    <w:rsid w:val="008F66DA"/>
    <w:rsid w:val="008F7FA4"/>
    <w:rsid w:val="00903111"/>
    <w:rsid w:val="009127A5"/>
    <w:rsid w:val="009313D2"/>
    <w:rsid w:val="0093312F"/>
    <w:rsid w:val="00936F5F"/>
    <w:rsid w:val="0094124E"/>
    <w:rsid w:val="00950ACB"/>
    <w:rsid w:val="00951ACD"/>
    <w:rsid w:val="00955A9C"/>
    <w:rsid w:val="009654E0"/>
    <w:rsid w:val="00972787"/>
    <w:rsid w:val="00984698"/>
    <w:rsid w:val="00995E82"/>
    <w:rsid w:val="0099672C"/>
    <w:rsid w:val="009A124D"/>
    <w:rsid w:val="009B3076"/>
    <w:rsid w:val="009B7EF0"/>
    <w:rsid w:val="009C133A"/>
    <w:rsid w:val="009C1F78"/>
    <w:rsid w:val="009C28E6"/>
    <w:rsid w:val="009C5744"/>
    <w:rsid w:val="009E0573"/>
    <w:rsid w:val="009E12E4"/>
    <w:rsid w:val="009F4363"/>
    <w:rsid w:val="009F75CE"/>
    <w:rsid w:val="00A05AF4"/>
    <w:rsid w:val="00A12888"/>
    <w:rsid w:val="00A22246"/>
    <w:rsid w:val="00A241FE"/>
    <w:rsid w:val="00A245C6"/>
    <w:rsid w:val="00A24672"/>
    <w:rsid w:val="00A309EC"/>
    <w:rsid w:val="00A35CD0"/>
    <w:rsid w:val="00A4434A"/>
    <w:rsid w:val="00A50797"/>
    <w:rsid w:val="00A52A3C"/>
    <w:rsid w:val="00A57CD7"/>
    <w:rsid w:val="00A606B1"/>
    <w:rsid w:val="00A70CA4"/>
    <w:rsid w:val="00A77D0B"/>
    <w:rsid w:val="00A84608"/>
    <w:rsid w:val="00AA38E6"/>
    <w:rsid w:val="00AB2AF9"/>
    <w:rsid w:val="00AB6098"/>
    <w:rsid w:val="00AC082C"/>
    <w:rsid w:val="00AC0B64"/>
    <w:rsid w:val="00AC3512"/>
    <w:rsid w:val="00AC459D"/>
    <w:rsid w:val="00AC6FCD"/>
    <w:rsid w:val="00AD563C"/>
    <w:rsid w:val="00AD7FB8"/>
    <w:rsid w:val="00AE0BE1"/>
    <w:rsid w:val="00AE4F02"/>
    <w:rsid w:val="00AF5FC0"/>
    <w:rsid w:val="00B049A4"/>
    <w:rsid w:val="00B04E5C"/>
    <w:rsid w:val="00B06DFC"/>
    <w:rsid w:val="00B1045C"/>
    <w:rsid w:val="00B252E5"/>
    <w:rsid w:val="00B342B0"/>
    <w:rsid w:val="00B36227"/>
    <w:rsid w:val="00B40560"/>
    <w:rsid w:val="00B43C56"/>
    <w:rsid w:val="00B44158"/>
    <w:rsid w:val="00B47579"/>
    <w:rsid w:val="00B55747"/>
    <w:rsid w:val="00B621F0"/>
    <w:rsid w:val="00B654DF"/>
    <w:rsid w:val="00B704AE"/>
    <w:rsid w:val="00B933C5"/>
    <w:rsid w:val="00B96893"/>
    <w:rsid w:val="00BA05DC"/>
    <w:rsid w:val="00BA0A5A"/>
    <w:rsid w:val="00BA1263"/>
    <w:rsid w:val="00BA7F94"/>
    <w:rsid w:val="00BB40C9"/>
    <w:rsid w:val="00BC0D30"/>
    <w:rsid w:val="00BC19F0"/>
    <w:rsid w:val="00BC329E"/>
    <w:rsid w:val="00BC7D72"/>
    <w:rsid w:val="00BD4A9E"/>
    <w:rsid w:val="00BD597E"/>
    <w:rsid w:val="00BD790C"/>
    <w:rsid w:val="00BD7E26"/>
    <w:rsid w:val="00BE1F34"/>
    <w:rsid w:val="00BE3302"/>
    <w:rsid w:val="00BE7628"/>
    <w:rsid w:val="00BE7E66"/>
    <w:rsid w:val="00C16794"/>
    <w:rsid w:val="00C2406A"/>
    <w:rsid w:val="00C240E2"/>
    <w:rsid w:val="00C26752"/>
    <w:rsid w:val="00C27A57"/>
    <w:rsid w:val="00C33554"/>
    <w:rsid w:val="00C451EE"/>
    <w:rsid w:val="00C55F55"/>
    <w:rsid w:val="00C70A7C"/>
    <w:rsid w:val="00C8498A"/>
    <w:rsid w:val="00C9064C"/>
    <w:rsid w:val="00C90C6F"/>
    <w:rsid w:val="00C9283F"/>
    <w:rsid w:val="00CB00B4"/>
    <w:rsid w:val="00CC5BA5"/>
    <w:rsid w:val="00CC75CC"/>
    <w:rsid w:val="00CD19D5"/>
    <w:rsid w:val="00CF5E24"/>
    <w:rsid w:val="00CF71C0"/>
    <w:rsid w:val="00D03AE2"/>
    <w:rsid w:val="00D10A0D"/>
    <w:rsid w:val="00D2512F"/>
    <w:rsid w:val="00D35B94"/>
    <w:rsid w:val="00D468DA"/>
    <w:rsid w:val="00D47936"/>
    <w:rsid w:val="00D626E0"/>
    <w:rsid w:val="00D64033"/>
    <w:rsid w:val="00D65173"/>
    <w:rsid w:val="00D76B2F"/>
    <w:rsid w:val="00D82A33"/>
    <w:rsid w:val="00D9161E"/>
    <w:rsid w:val="00D92957"/>
    <w:rsid w:val="00DB0E5E"/>
    <w:rsid w:val="00DB2D17"/>
    <w:rsid w:val="00DB4FA3"/>
    <w:rsid w:val="00DC2DFA"/>
    <w:rsid w:val="00DC60EA"/>
    <w:rsid w:val="00DC6A98"/>
    <w:rsid w:val="00DD5D52"/>
    <w:rsid w:val="00DE3678"/>
    <w:rsid w:val="00DE4008"/>
    <w:rsid w:val="00DF3729"/>
    <w:rsid w:val="00E34E34"/>
    <w:rsid w:val="00E46077"/>
    <w:rsid w:val="00E54D63"/>
    <w:rsid w:val="00E57BCF"/>
    <w:rsid w:val="00E57FD4"/>
    <w:rsid w:val="00E70A45"/>
    <w:rsid w:val="00E76D65"/>
    <w:rsid w:val="00E91B89"/>
    <w:rsid w:val="00E92EB5"/>
    <w:rsid w:val="00E968BE"/>
    <w:rsid w:val="00E97404"/>
    <w:rsid w:val="00E978C6"/>
    <w:rsid w:val="00EA2F26"/>
    <w:rsid w:val="00EA4193"/>
    <w:rsid w:val="00EA5BA4"/>
    <w:rsid w:val="00EA6D34"/>
    <w:rsid w:val="00EA7D8E"/>
    <w:rsid w:val="00EB40A5"/>
    <w:rsid w:val="00EB6044"/>
    <w:rsid w:val="00EC2D82"/>
    <w:rsid w:val="00ED243D"/>
    <w:rsid w:val="00ED41F7"/>
    <w:rsid w:val="00ED7D65"/>
    <w:rsid w:val="00EE13A6"/>
    <w:rsid w:val="00EE4583"/>
    <w:rsid w:val="00EF213E"/>
    <w:rsid w:val="00EF61B4"/>
    <w:rsid w:val="00F0060F"/>
    <w:rsid w:val="00F0528A"/>
    <w:rsid w:val="00F10D90"/>
    <w:rsid w:val="00F13BF0"/>
    <w:rsid w:val="00F14A16"/>
    <w:rsid w:val="00F21AFD"/>
    <w:rsid w:val="00F311B5"/>
    <w:rsid w:val="00F31503"/>
    <w:rsid w:val="00F351C8"/>
    <w:rsid w:val="00F3567E"/>
    <w:rsid w:val="00F408EE"/>
    <w:rsid w:val="00F45E7E"/>
    <w:rsid w:val="00F56262"/>
    <w:rsid w:val="00F7051B"/>
    <w:rsid w:val="00F72739"/>
    <w:rsid w:val="00F73B65"/>
    <w:rsid w:val="00F755DA"/>
    <w:rsid w:val="00FA2DCD"/>
    <w:rsid w:val="00FA4008"/>
    <w:rsid w:val="00FB5717"/>
    <w:rsid w:val="00FB6821"/>
    <w:rsid w:val="00FC16F3"/>
    <w:rsid w:val="00FC5A45"/>
    <w:rsid w:val="00FE6CBA"/>
    <w:rsid w:val="00FF6F45"/>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37908F"/>
  <w15:docId w15:val="{88D9DF28-60F7-4394-9A46-80519EE3F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552"/>
    <w:pPr>
      <w:spacing w:after="200" w:line="240" w:lineRule="auto"/>
    </w:pPr>
  </w:style>
  <w:style w:type="paragraph" w:styleId="Heading1">
    <w:name w:val="heading 1"/>
    <w:basedOn w:val="Normal"/>
    <w:next w:val="Normal"/>
    <w:link w:val="Heading1Char"/>
    <w:uiPriority w:val="9"/>
    <w:qFormat/>
    <w:rsid w:val="00DC6A98"/>
    <w:pPr>
      <w:keepNext/>
      <w:spacing w:before="360" w:after="240"/>
      <w:outlineLvl w:val="0"/>
    </w:pPr>
    <w:rPr>
      <w:rFonts w:asciiTheme="majorHAnsi" w:eastAsiaTheme="majorEastAsia" w:hAnsiTheme="majorHAnsi" w:cstheme="majorBidi"/>
      <w:b/>
      <w:sz w:val="48"/>
      <w:szCs w:val="32"/>
      <w:lang w:eastAsia="en-US"/>
    </w:rPr>
  </w:style>
  <w:style w:type="paragraph" w:styleId="Heading2">
    <w:name w:val="heading 2"/>
    <w:basedOn w:val="Normal"/>
    <w:next w:val="Normal"/>
    <w:link w:val="Heading2Char"/>
    <w:uiPriority w:val="9"/>
    <w:unhideWhenUsed/>
    <w:qFormat/>
    <w:rsid w:val="00242B78"/>
    <w:pPr>
      <w:keepNext/>
      <w:outlineLvl w:val="1"/>
    </w:pPr>
    <w:rPr>
      <w:rFonts w:asciiTheme="majorHAnsi" w:eastAsiaTheme="majorEastAsia" w:hAnsiTheme="majorHAnsi" w:cstheme="majorBidi"/>
      <w:b/>
      <w:color w:val="554B87"/>
      <w:sz w:val="36"/>
      <w:szCs w:val="26"/>
      <w:lang w:eastAsia="en-US"/>
    </w:rPr>
  </w:style>
  <w:style w:type="paragraph" w:styleId="Heading3">
    <w:name w:val="heading 3"/>
    <w:basedOn w:val="Normal"/>
    <w:next w:val="Normal"/>
    <w:link w:val="Heading3Char"/>
    <w:uiPriority w:val="9"/>
    <w:unhideWhenUsed/>
    <w:qFormat/>
    <w:rsid w:val="00242B78"/>
    <w:pPr>
      <w:keepNext/>
      <w:spacing w:after="120"/>
      <w:outlineLvl w:val="2"/>
    </w:pPr>
    <w:rPr>
      <w:rFonts w:asciiTheme="majorHAnsi" w:eastAsiaTheme="majorEastAsia" w:hAnsiTheme="majorHAnsi" w:cstheme="majorBidi"/>
      <w:b/>
      <w:color w:val="554B87"/>
      <w:sz w:val="30"/>
      <w:szCs w:val="24"/>
      <w:lang w:eastAsia="en-US"/>
    </w:rPr>
  </w:style>
  <w:style w:type="paragraph" w:styleId="Heading4">
    <w:name w:val="heading 4"/>
    <w:basedOn w:val="Normal"/>
    <w:next w:val="Normal"/>
    <w:link w:val="Heading4Char"/>
    <w:uiPriority w:val="9"/>
    <w:unhideWhenUsed/>
    <w:qFormat/>
    <w:rsid w:val="00242B78"/>
    <w:pPr>
      <w:keepNext/>
      <w:keepLines/>
      <w:spacing w:after="120"/>
      <w:outlineLvl w:val="3"/>
    </w:pPr>
    <w:rPr>
      <w:rFonts w:asciiTheme="majorHAnsi" w:eastAsiaTheme="majorEastAsia" w:hAnsiTheme="majorHAnsi" w:cstheme="majorBidi"/>
      <w:b/>
      <w:bCs/>
      <w:color w:val="554B87"/>
      <w:sz w:val="24"/>
      <w:szCs w:val="24"/>
    </w:rPr>
  </w:style>
  <w:style w:type="paragraph" w:styleId="Heading5">
    <w:name w:val="heading 5"/>
    <w:basedOn w:val="Normal"/>
    <w:next w:val="Normal"/>
    <w:link w:val="Heading5Char"/>
    <w:uiPriority w:val="9"/>
    <w:unhideWhenUsed/>
    <w:qFormat/>
    <w:rsid w:val="00242B78"/>
    <w:pPr>
      <w:keepNext/>
      <w:keepLines/>
      <w:spacing w:after="60"/>
      <w:outlineLvl w:val="4"/>
    </w:pPr>
    <w:rPr>
      <w:rFonts w:asciiTheme="majorHAnsi" w:eastAsiaTheme="majorEastAsia" w:hAnsiTheme="majorHAnsi" w:cstheme="majorBidi"/>
      <w:b/>
      <w:color w:val="554B87"/>
    </w:rPr>
  </w:style>
  <w:style w:type="paragraph" w:styleId="Heading6">
    <w:name w:val="heading 6"/>
    <w:basedOn w:val="Normal"/>
    <w:next w:val="Normal"/>
    <w:link w:val="Heading6Char"/>
    <w:uiPriority w:val="9"/>
    <w:unhideWhenUsed/>
    <w:qFormat/>
    <w:rsid w:val="00242B78"/>
    <w:pPr>
      <w:keepNext/>
      <w:keepLines/>
      <w:spacing w:after="60"/>
      <w:outlineLvl w:val="5"/>
    </w:pPr>
    <w:rPr>
      <w:rFonts w:asciiTheme="majorHAnsi" w:eastAsiaTheme="majorEastAsia" w:hAnsiTheme="majorHAnsi" w:cstheme="majorBidi"/>
      <w:b/>
      <w:i/>
      <w:iCs/>
      <w:color w:val="554B87"/>
    </w:rPr>
  </w:style>
  <w:style w:type="paragraph" w:styleId="Heading7">
    <w:name w:val="heading 7"/>
    <w:basedOn w:val="Normal"/>
    <w:next w:val="Normal"/>
    <w:link w:val="Heading7Char"/>
    <w:uiPriority w:val="9"/>
    <w:unhideWhenUsed/>
    <w:qFormat/>
    <w:rsid w:val="00242B78"/>
    <w:pPr>
      <w:keepNext/>
      <w:keepLines/>
      <w:spacing w:before="40" w:after="0"/>
      <w:outlineLvl w:val="6"/>
    </w:pPr>
    <w:rPr>
      <w:rFonts w:asciiTheme="majorHAnsi" w:eastAsiaTheme="majorEastAsia" w:hAnsiTheme="majorHAnsi" w:cstheme="majorBidi"/>
      <w:b/>
      <w:i/>
      <w:iCs/>
      <w:color w:val="554B87"/>
    </w:rPr>
  </w:style>
  <w:style w:type="paragraph" w:styleId="Heading8">
    <w:name w:val="heading 8"/>
    <w:basedOn w:val="Normal"/>
    <w:next w:val="Normal"/>
    <w:link w:val="Heading8Char"/>
    <w:uiPriority w:val="9"/>
    <w:unhideWhenUsed/>
    <w:qFormat/>
    <w:rsid w:val="00242B78"/>
    <w:pPr>
      <w:keepNext/>
      <w:keepLines/>
      <w:spacing w:before="40" w:after="0"/>
      <w:outlineLvl w:val="7"/>
    </w:pPr>
    <w:rPr>
      <w:rFonts w:asciiTheme="majorHAnsi" w:eastAsiaTheme="majorEastAsia" w:hAnsiTheme="majorHAnsi" w:cstheme="majorBidi"/>
      <w:b/>
      <w:color w:val="554B87"/>
      <w:sz w:val="21"/>
      <w:szCs w:val="21"/>
    </w:rPr>
  </w:style>
  <w:style w:type="paragraph" w:styleId="Heading9">
    <w:name w:val="heading 9"/>
    <w:basedOn w:val="Normal"/>
    <w:next w:val="Normal"/>
    <w:link w:val="Heading9Char"/>
    <w:uiPriority w:val="9"/>
    <w:unhideWhenUsed/>
    <w:qFormat/>
    <w:rsid w:val="00242B78"/>
    <w:pPr>
      <w:keepNext/>
      <w:keepLines/>
      <w:spacing w:before="40" w:after="0"/>
      <w:outlineLvl w:val="8"/>
    </w:pPr>
    <w:rPr>
      <w:rFonts w:asciiTheme="majorHAnsi" w:eastAsiaTheme="majorEastAsia" w:hAnsiTheme="majorHAnsi" w:cstheme="majorBidi"/>
      <w:b/>
      <w:i/>
      <w:iCs/>
      <w:color w:val="554B8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A98"/>
    <w:rPr>
      <w:rFonts w:asciiTheme="majorHAnsi" w:eastAsiaTheme="majorEastAsia" w:hAnsiTheme="majorHAnsi" w:cstheme="majorBidi"/>
      <w:b/>
      <w:sz w:val="48"/>
      <w:szCs w:val="32"/>
      <w:lang w:eastAsia="en-US"/>
    </w:rPr>
  </w:style>
  <w:style w:type="character" w:customStyle="1" w:styleId="Heading2Char">
    <w:name w:val="Heading 2 Char"/>
    <w:basedOn w:val="DefaultParagraphFont"/>
    <w:link w:val="Heading2"/>
    <w:uiPriority w:val="9"/>
    <w:rsid w:val="00242B78"/>
    <w:rPr>
      <w:rFonts w:asciiTheme="majorHAnsi" w:eastAsiaTheme="majorEastAsia" w:hAnsiTheme="majorHAnsi" w:cstheme="majorBidi"/>
      <w:b/>
      <w:color w:val="554B87"/>
      <w:sz w:val="36"/>
      <w:szCs w:val="26"/>
      <w:lang w:eastAsia="en-US"/>
    </w:rPr>
  </w:style>
  <w:style w:type="character" w:customStyle="1" w:styleId="Heading3Char">
    <w:name w:val="Heading 3 Char"/>
    <w:basedOn w:val="DefaultParagraphFont"/>
    <w:link w:val="Heading3"/>
    <w:uiPriority w:val="9"/>
    <w:rsid w:val="00242B78"/>
    <w:rPr>
      <w:rFonts w:asciiTheme="majorHAnsi" w:eastAsiaTheme="majorEastAsia" w:hAnsiTheme="majorHAnsi" w:cstheme="majorBidi"/>
      <w:b/>
      <w:color w:val="554B87"/>
      <w:sz w:val="30"/>
      <w:szCs w:val="24"/>
      <w:lang w:eastAsia="en-US"/>
    </w:rPr>
  </w:style>
  <w:style w:type="character" w:styleId="Hyperlink">
    <w:name w:val="Hyperlink"/>
    <w:basedOn w:val="DefaultParagraphFont"/>
    <w:uiPriority w:val="99"/>
    <w:unhideWhenUsed/>
    <w:rsid w:val="00F56262"/>
    <w:rPr>
      <w:b/>
      <w:color w:val="554B87"/>
      <w:u w:val="single"/>
    </w:rPr>
  </w:style>
  <w:style w:type="paragraph" w:customStyle="1" w:styleId="Bulletlevel1">
    <w:name w:val="Bullet level 1"/>
    <w:basedOn w:val="bullets-arrows"/>
    <w:qFormat/>
    <w:rsid w:val="00883826"/>
    <w:pPr>
      <w:numPr>
        <w:numId w:val="33"/>
      </w:numPr>
      <w:ind w:left="567" w:hanging="567"/>
    </w:pPr>
  </w:style>
  <w:style w:type="paragraph" w:styleId="Quote">
    <w:name w:val="Quote"/>
    <w:basedOn w:val="Normal"/>
    <w:next w:val="Normal"/>
    <w:link w:val="QuoteChar"/>
    <w:uiPriority w:val="29"/>
    <w:qFormat/>
    <w:rsid w:val="00467552"/>
    <w:pPr>
      <w:ind w:left="567"/>
    </w:pPr>
    <w:rPr>
      <w:rFonts w:eastAsiaTheme="minorHAnsi"/>
      <w:b/>
      <w:i/>
      <w:iCs/>
      <w:color w:val="554B87"/>
      <w:lang w:eastAsia="en-US"/>
    </w:rPr>
  </w:style>
  <w:style w:type="character" w:customStyle="1" w:styleId="QuoteChar">
    <w:name w:val="Quote Char"/>
    <w:basedOn w:val="DefaultParagraphFont"/>
    <w:link w:val="Quote"/>
    <w:uiPriority w:val="29"/>
    <w:rsid w:val="00467552"/>
    <w:rPr>
      <w:rFonts w:eastAsiaTheme="minorHAnsi"/>
      <w:b/>
      <w:i/>
      <w:iCs/>
      <w:color w:val="554B87"/>
      <w:lang w:eastAsia="en-US"/>
    </w:rPr>
  </w:style>
  <w:style w:type="paragraph" w:styleId="Header">
    <w:name w:val="header"/>
    <w:basedOn w:val="Normal"/>
    <w:link w:val="HeaderChar"/>
    <w:uiPriority w:val="99"/>
    <w:unhideWhenUsed/>
    <w:rsid w:val="002117E6"/>
    <w:pPr>
      <w:tabs>
        <w:tab w:val="center" w:pos="4513"/>
        <w:tab w:val="right" w:pos="9026"/>
      </w:tabs>
      <w:spacing w:after="0"/>
    </w:pPr>
  </w:style>
  <w:style w:type="character" w:customStyle="1" w:styleId="HeaderChar">
    <w:name w:val="Header Char"/>
    <w:basedOn w:val="DefaultParagraphFont"/>
    <w:link w:val="Header"/>
    <w:uiPriority w:val="99"/>
    <w:rsid w:val="002117E6"/>
  </w:style>
  <w:style w:type="paragraph" w:styleId="Footer">
    <w:name w:val="footer"/>
    <w:basedOn w:val="Normal"/>
    <w:link w:val="FooterChar"/>
    <w:uiPriority w:val="99"/>
    <w:unhideWhenUsed/>
    <w:rsid w:val="002117E6"/>
    <w:pPr>
      <w:tabs>
        <w:tab w:val="center" w:pos="4513"/>
        <w:tab w:val="right" w:pos="9026"/>
      </w:tabs>
      <w:spacing w:after="0"/>
    </w:pPr>
  </w:style>
  <w:style w:type="character" w:customStyle="1" w:styleId="FooterChar">
    <w:name w:val="Footer Char"/>
    <w:basedOn w:val="DefaultParagraphFont"/>
    <w:link w:val="Footer"/>
    <w:uiPriority w:val="99"/>
    <w:rsid w:val="002117E6"/>
  </w:style>
  <w:style w:type="character" w:customStyle="1" w:styleId="Heading4Char">
    <w:name w:val="Heading 4 Char"/>
    <w:basedOn w:val="DefaultParagraphFont"/>
    <w:link w:val="Heading4"/>
    <w:uiPriority w:val="9"/>
    <w:rsid w:val="00242B78"/>
    <w:rPr>
      <w:rFonts w:asciiTheme="majorHAnsi" w:eastAsiaTheme="majorEastAsia" w:hAnsiTheme="majorHAnsi" w:cstheme="majorBidi"/>
      <w:b/>
      <w:bCs/>
      <w:color w:val="554B87"/>
      <w:sz w:val="24"/>
      <w:szCs w:val="24"/>
    </w:rPr>
  </w:style>
  <w:style w:type="character" w:customStyle="1" w:styleId="Heading5Char">
    <w:name w:val="Heading 5 Char"/>
    <w:basedOn w:val="DefaultParagraphFont"/>
    <w:link w:val="Heading5"/>
    <w:uiPriority w:val="9"/>
    <w:rsid w:val="00242B78"/>
    <w:rPr>
      <w:rFonts w:asciiTheme="majorHAnsi" w:eastAsiaTheme="majorEastAsia" w:hAnsiTheme="majorHAnsi" w:cstheme="majorBidi"/>
      <w:b/>
      <w:color w:val="554B87"/>
    </w:rPr>
  </w:style>
  <w:style w:type="table" w:styleId="TableGrid">
    <w:name w:val="Table Grid"/>
    <w:basedOn w:val="TableNormal"/>
    <w:uiPriority w:val="39"/>
    <w:rsid w:val="002117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8B767F"/>
    <w:pPr>
      <w:keepNext/>
      <w:spacing w:after="0"/>
    </w:pPr>
    <w:rPr>
      <w:rFonts w:asciiTheme="majorHAnsi" w:eastAsiaTheme="minorHAnsi" w:hAnsiTheme="majorHAnsi"/>
      <w:b/>
      <w:color w:val="554B87"/>
      <w:lang w:eastAsia="en-US"/>
    </w:rPr>
  </w:style>
  <w:style w:type="paragraph" w:customStyle="1" w:styleId="Tabletextcentred">
    <w:name w:val="Table text centred"/>
    <w:basedOn w:val="Normal"/>
    <w:next w:val="NoSpacing"/>
    <w:rsid w:val="002117E6"/>
    <w:pPr>
      <w:spacing w:after="0"/>
      <w:jc w:val="center"/>
    </w:pPr>
    <w:rPr>
      <w:rFonts w:eastAsia="Times New Roman" w:cs="Times New Roman"/>
      <w:szCs w:val="20"/>
      <w:lang w:eastAsia="en-US"/>
    </w:rPr>
  </w:style>
  <w:style w:type="paragraph" w:customStyle="1" w:styleId="Tablerowcolumnheadingcentred">
    <w:name w:val="Table row/column heading centred"/>
    <w:basedOn w:val="Normal"/>
    <w:next w:val="Normal"/>
    <w:rsid w:val="002117E6"/>
    <w:pPr>
      <w:spacing w:after="0"/>
      <w:jc w:val="center"/>
    </w:pPr>
    <w:rPr>
      <w:rFonts w:eastAsia="Times New Roman" w:cs="Times New Roman"/>
      <w:b/>
      <w:bCs/>
      <w:szCs w:val="20"/>
      <w:lang w:eastAsia="en-US"/>
    </w:rPr>
  </w:style>
  <w:style w:type="paragraph" w:customStyle="1" w:styleId="Tabletext">
    <w:name w:val="Table text"/>
    <w:basedOn w:val="Tabletextcentred"/>
    <w:qFormat/>
    <w:rsid w:val="002117E6"/>
    <w:pPr>
      <w:jc w:val="left"/>
    </w:pPr>
  </w:style>
  <w:style w:type="paragraph" w:styleId="NoSpacing">
    <w:name w:val="No Spacing"/>
    <w:uiPriority w:val="1"/>
    <w:qFormat/>
    <w:rsid w:val="002117E6"/>
    <w:pPr>
      <w:spacing w:after="0" w:line="240" w:lineRule="auto"/>
    </w:pPr>
  </w:style>
  <w:style w:type="paragraph" w:customStyle="1" w:styleId="Tablerowcolumnheading">
    <w:name w:val="Table row/column heading"/>
    <w:basedOn w:val="Normal"/>
    <w:next w:val="Normal"/>
    <w:rsid w:val="002117E6"/>
    <w:pPr>
      <w:spacing w:after="0"/>
    </w:pPr>
    <w:rPr>
      <w:rFonts w:eastAsia="Times New Roman" w:cs="Times New Roman"/>
      <w:b/>
      <w:bCs/>
      <w:szCs w:val="20"/>
      <w:lang w:eastAsia="en-US"/>
    </w:rPr>
  </w:style>
  <w:style w:type="paragraph" w:customStyle="1" w:styleId="Checkboxemptybulletpoint">
    <w:name w:val="Check box empty bullet point"/>
    <w:basedOn w:val="Bulletlevel1"/>
    <w:qFormat/>
    <w:rsid w:val="002117E6"/>
    <w:pPr>
      <w:numPr>
        <w:numId w:val="2"/>
      </w:numPr>
      <w:spacing w:after="0"/>
      <w:ind w:left="567" w:hanging="567"/>
    </w:pPr>
  </w:style>
  <w:style w:type="character" w:customStyle="1" w:styleId="Heading6Char">
    <w:name w:val="Heading 6 Char"/>
    <w:basedOn w:val="DefaultParagraphFont"/>
    <w:link w:val="Heading6"/>
    <w:uiPriority w:val="9"/>
    <w:rsid w:val="00242B78"/>
    <w:rPr>
      <w:rFonts w:asciiTheme="majorHAnsi" w:eastAsiaTheme="majorEastAsia" w:hAnsiTheme="majorHAnsi" w:cstheme="majorBidi"/>
      <w:b/>
      <w:i/>
      <w:iCs/>
      <w:color w:val="554B87"/>
    </w:rPr>
  </w:style>
  <w:style w:type="character" w:customStyle="1" w:styleId="Heading7Char">
    <w:name w:val="Heading 7 Char"/>
    <w:basedOn w:val="DefaultParagraphFont"/>
    <w:link w:val="Heading7"/>
    <w:uiPriority w:val="9"/>
    <w:rsid w:val="00242B78"/>
    <w:rPr>
      <w:rFonts w:asciiTheme="majorHAnsi" w:eastAsiaTheme="majorEastAsia" w:hAnsiTheme="majorHAnsi" w:cstheme="majorBidi"/>
      <w:b/>
      <w:i/>
      <w:iCs/>
      <w:color w:val="554B87"/>
    </w:rPr>
  </w:style>
  <w:style w:type="character" w:customStyle="1" w:styleId="Heading8Char">
    <w:name w:val="Heading 8 Char"/>
    <w:basedOn w:val="DefaultParagraphFont"/>
    <w:link w:val="Heading8"/>
    <w:uiPriority w:val="9"/>
    <w:rsid w:val="00242B78"/>
    <w:rPr>
      <w:rFonts w:asciiTheme="majorHAnsi" w:eastAsiaTheme="majorEastAsia" w:hAnsiTheme="majorHAnsi" w:cstheme="majorBidi"/>
      <w:b/>
      <w:color w:val="554B87"/>
      <w:sz w:val="21"/>
      <w:szCs w:val="21"/>
    </w:rPr>
  </w:style>
  <w:style w:type="character" w:customStyle="1" w:styleId="Heading9Char">
    <w:name w:val="Heading 9 Char"/>
    <w:basedOn w:val="DefaultParagraphFont"/>
    <w:link w:val="Heading9"/>
    <w:uiPriority w:val="9"/>
    <w:rsid w:val="00242B78"/>
    <w:rPr>
      <w:rFonts w:asciiTheme="majorHAnsi" w:eastAsiaTheme="majorEastAsia" w:hAnsiTheme="majorHAnsi" w:cstheme="majorBidi"/>
      <w:b/>
      <w:i/>
      <w:iCs/>
      <w:color w:val="554B87"/>
      <w:szCs w:val="21"/>
    </w:rPr>
  </w:style>
  <w:style w:type="character" w:styleId="PlaceholderText">
    <w:name w:val="Placeholder Text"/>
    <w:basedOn w:val="DefaultParagraphFont"/>
    <w:uiPriority w:val="99"/>
    <w:semiHidden/>
    <w:rsid w:val="0064138E"/>
    <w:rPr>
      <w:color w:val="808080"/>
    </w:rPr>
  </w:style>
  <w:style w:type="character" w:styleId="FollowedHyperlink">
    <w:name w:val="FollowedHyperlink"/>
    <w:basedOn w:val="DefaultParagraphFont"/>
    <w:uiPriority w:val="99"/>
    <w:semiHidden/>
    <w:unhideWhenUsed/>
    <w:rsid w:val="009B7EF0"/>
    <w:rPr>
      <w:color w:val="155589" w:themeColor="followedHyperlink"/>
      <w:u w:val="single"/>
    </w:rPr>
  </w:style>
  <w:style w:type="character" w:customStyle="1" w:styleId="UnresolvedMention1">
    <w:name w:val="Unresolved Mention1"/>
    <w:basedOn w:val="DefaultParagraphFont"/>
    <w:uiPriority w:val="99"/>
    <w:semiHidden/>
    <w:unhideWhenUsed/>
    <w:rsid w:val="0094124E"/>
    <w:rPr>
      <w:color w:val="808080"/>
      <w:shd w:val="clear" w:color="auto" w:fill="E6E6E6"/>
    </w:rPr>
  </w:style>
  <w:style w:type="paragraph" w:customStyle="1" w:styleId="Heading2-notshowing">
    <w:name w:val="Heading 2 - not showing"/>
    <w:basedOn w:val="Heading2"/>
    <w:qFormat/>
    <w:rsid w:val="00D03AE2"/>
    <w:pPr>
      <w:spacing w:after="120"/>
    </w:pPr>
    <w:rPr>
      <w:sz w:val="32"/>
    </w:rPr>
  </w:style>
  <w:style w:type="paragraph" w:customStyle="1" w:styleId="Heading3-notshowing">
    <w:name w:val="Heading 3 - not showing"/>
    <w:basedOn w:val="Heading3"/>
    <w:qFormat/>
    <w:rsid w:val="00D03AE2"/>
    <w:rPr>
      <w:sz w:val="28"/>
    </w:rPr>
  </w:style>
  <w:style w:type="paragraph" w:styleId="TOC1">
    <w:name w:val="toc 1"/>
    <w:basedOn w:val="Normal"/>
    <w:next w:val="Normal"/>
    <w:autoRedefine/>
    <w:uiPriority w:val="39"/>
    <w:unhideWhenUsed/>
    <w:rsid w:val="004755A2"/>
    <w:pPr>
      <w:tabs>
        <w:tab w:val="right" w:leader="dot" w:pos="9072"/>
      </w:tabs>
      <w:spacing w:before="120" w:after="0"/>
    </w:pPr>
    <w:rPr>
      <w:b/>
      <w:sz w:val="24"/>
    </w:rPr>
  </w:style>
  <w:style w:type="paragraph" w:styleId="TOC2">
    <w:name w:val="toc 2"/>
    <w:basedOn w:val="Normal"/>
    <w:next w:val="Normal"/>
    <w:autoRedefine/>
    <w:uiPriority w:val="39"/>
    <w:unhideWhenUsed/>
    <w:rsid w:val="00705B86"/>
    <w:pPr>
      <w:tabs>
        <w:tab w:val="right" w:leader="dot" w:pos="9072"/>
      </w:tabs>
      <w:spacing w:after="0"/>
      <w:ind w:left="567"/>
    </w:pPr>
  </w:style>
  <w:style w:type="paragraph" w:styleId="TOC3">
    <w:name w:val="toc 3"/>
    <w:basedOn w:val="Normal"/>
    <w:next w:val="Normal"/>
    <w:autoRedefine/>
    <w:uiPriority w:val="39"/>
    <w:unhideWhenUsed/>
    <w:rsid w:val="00705B86"/>
    <w:pPr>
      <w:tabs>
        <w:tab w:val="right" w:leader="dot" w:pos="9072"/>
      </w:tabs>
      <w:spacing w:after="0"/>
      <w:ind w:left="1134"/>
    </w:pPr>
  </w:style>
  <w:style w:type="paragraph" w:styleId="TOC4">
    <w:name w:val="toc 4"/>
    <w:basedOn w:val="Normal"/>
    <w:next w:val="Normal"/>
    <w:autoRedefine/>
    <w:uiPriority w:val="39"/>
    <w:unhideWhenUsed/>
    <w:rsid w:val="00705B86"/>
    <w:pPr>
      <w:tabs>
        <w:tab w:val="right" w:leader="dot" w:pos="9072"/>
      </w:tabs>
      <w:spacing w:after="0"/>
    </w:pPr>
  </w:style>
  <w:style w:type="paragraph" w:customStyle="1" w:styleId="Sourcenote">
    <w:name w:val="Source / note"/>
    <w:basedOn w:val="Normal"/>
    <w:next w:val="Normal"/>
    <w:qFormat/>
    <w:rsid w:val="00C16794"/>
    <w:rPr>
      <w:sz w:val="20"/>
      <w:szCs w:val="20"/>
    </w:rPr>
  </w:style>
  <w:style w:type="paragraph" w:styleId="ListParagraph">
    <w:name w:val="List Paragraph"/>
    <w:basedOn w:val="Normal"/>
    <w:uiPriority w:val="34"/>
    <w:qFormat/>
    <w:rsid w:val="00883826"/>
    <w:pPr>
      <w:numPr>
        <w:numId w:val="3"/>
      </w:numPr>
      <w:ind w:left="567" w:hanging="567"/>
      <w:contextualSpacing/>
    </w:pPr>
  </w:style>
  <w:style w:type="paragraph" w:styleId="FootnoteText">
    <w:name w:val="footnote text"/>
    <w:basedOn w:val="Normal"/>
    <w:link w:val="FootnoteTextChar"/>
    <w:uiPriority w:val="99"/>
    <w:semiHidden/>
    <w:unhideWhenUsed/>
    <w:rsid w:val="003B5B1D"/>
    <w:pPr>
      <w:spacing w:after="0"/>
    </w:pPr>
    <w:rPr>
      <w:sz w:val="20"/>
      <w:szCs w:val="20"/>
    </w:rPr>
  </w:style>
  <w:style w:type="character" w:customStyle="1" w:styleId="FootnoteTextChar">
    <w:name w:val="Footnote Text Char"/>
    <w:basedOn w:val="DefaultParagraphFont"/>
    <w:link w:val="FootnoteText"/>
    <w:uiPriority w:val="99"/>
    <w:semiHidden/>
    <w:rsid w:val="003B5B1D"/>
    <w:rPr>
      <w:sz w:val="20"/>
      <w:szCs w:val="20"/>
    </w:rPr>
  </w:style>
  <w:style w:type="character" w:styleId="FootnoteReference">
    <w:name w:val="footnote reference"/>
    <w:basedOn w:val="DefaultParagraphFont"/>
    <w:uiPriority w:val="99"/>
    <w:semiHidden/>
    <w:unhideWhenUsed/>
    <w:rsid w:val="003B5B1D"/>
    <w:rPr>
      <w:vertAlign w:val="superscript"/>
    </w:rPr>
  </w:style>
  <w:style w:type="character" w:customStyle="1" w:styleId="superscriptfootnotereference">
    <w:name w:val="superscript footnote reference"/>
    <w:basedOn w:val="FootnoteReference"/>
    <w:uiPriority w:val="1"/>
    <w:qFormat/>
    <w:rsid w:val="003B5B1D"/>
    <w:rPr>
      <w:vertAlign w:val="superscript"/>
    </w:rPr>
  </w:style>
  <w:style w:type="paragraph" w:styleId="BalloonText">
    <w:name w:val="Balloon Text"/>
    <w:basedOn w:val="Normal"/>
    <w:link w:val="BalloonTextChar"/>
    <w:uiPriority w:val="99"/>
    <w:semiHidden/>
    <w:unhideWhenUsed/>
    <w:rsid w:val="00336D2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D22"/>
    <w:rPr>
      <w:rFonts w:ascii="Segoe UI" w:hAnsi="Segoe UI" w:cs="Segoe UI"/>
      <w:sz w:val="18"/>
      <w:szCs w:val="18"/>
    </w:rPr>
  </w:style>
  <w:style w:type="paragraph" w:customStyle="1" w:styleId="bullets-arrows">
    <w:name w:val="bullets - arrows"/>
    <w:basedOn w:val="ListParagraph"/>
    <w:qFormat/>
    <w:rsid w:val="00883826"/>
    <w:pPr>
      <w:numPr>
        <w:numId w:val="6"/>
      </w:numPr>
      <w:spacing w:before="240"/>
      <w:ind w:left="567" w:hanging="567"/>
    </w:pPr>
  </w:style>
  <w:style w:type="character" w:styleId="CommentReference">
    <w:name w:val="annotation reference"/>
    <w:basedOn w:val="DefaultParagraphFont"/>
    <w:uiPriority w:val="99"/>
    <w:semiHidden/>
    <w:unhideWhenUsed/>
    <w:rsid w:val="008303C7"/>
    <w:rPr>
      <w:sz w:val="16"/>
      <w:szCs w:val="16"/>
    </w:rPr>
  </w:style>
  <w:style w:type="paragraph" w:styleId="CommentText">
    <w:name w:val="annotation text"/>
    <w:basedOn w:val="Normal"/>
    <w:link w:val="CommentTextChar"/>
    <w:uiPriority w:val="99"/>
    <w:semiHidden/>
    <w:unhideWhenUsed/>
    <w:rsid w:val="008303C7"/>
    <w:rPr>
      <w:sz w:val="20"/>
      <w:szCs w:val="20"/>
    </w:rPr>
  </w:style>
  <w:style w:type="character" w:customStyle="1" w:styleId="CommentTextChar">
    <w:name w:val="Comment Text Char"/>
    <w:basedOn w:val="DefaultParagraphFont"/>
    <w:link w:val="CommentText"/>
    <w:uiPriority w:val="99"/>
    <w:semiHidden/>
    <w:rsid w:val="008303C7"/>
    <w:rPr>
      <w:sz w:val="20"/>
      <w:szCs w:val="20"/>
    </w:rPr>
  </w:style>
  <w:style w:type="paragraph" w:styleId="CommentSubject">
    <w:name w:val="annotation subject"/>
    <w:basedOn w:val="CommentText"/>
    <w:next w:val="CommentText"/>
    <w:link w:val="CommentSubjectChar"/>
    <w:uiPriority w:val="99"/>
    <w:semiHidden/>
    <w:unhideWhenUsed/>
    <w:rsid w:val="008303C7"/>
    <w:rPr>
      <w:b/>
      <w:bCs/>
    </w:rPr>
  </w:style>
  <w:style w:type="character" w:customStyle="1" w:styleId="CommentSubjectChar">
    <w:name w:val="Comment Subject Char"/>
    <w:basedOn w:val="CommentTextChar"/>
    <w:link w:val="CommentSubject"/>
    <w:uiPriority w:val="99"/>
    <w:semiHidden/>
    <w:rsid w:val="008303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3734609">
      <w:bodyDiv w:val="1"/>
      <w:marLeft w:val="0"/>
      <w:marRight w:val="0"/>
      <w:marTop w:val="0"/>
      <w:marBottom w:val="0"/>
      <w:divBdr>
        <w:top w:val="none" w:sz="0" w:space="0" w:color="auto"/>
        <w:left w:val="none" w:sz="0" w:space="0" w:color="auto"/>
        <w:bottom w:val="none" w:sz="0" w:space="0" w:color="auto"/>
        <w:right w:val="none" w:sz="0" w:space="0" w:color="auto"/>
      </w:divBdr>
    </w:div>
    <w:div w:id="101823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6.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orp\absdfs\workgroup\ECEDGSA\Culture\Cultural%20Funding\2019-20%20Survey\Working\Total%20States%20and%20Territories%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ocal_tejain\Temp\notes45E87D\2407_CF%20Analysis%202019_20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local_tejain\Temp\notes45E87D\2407_CF%20Analysis%202019_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04133760936596E-2"/>
          <c:y val="0.10801062711197798"/>
          <c:w val="0.8937442441018898"/>
          <c:h val="0.78630050217711234"/>
        </c:manualLayout>
      </c:layout>
      <c:barChart>
        <c:barDir val="col"/>
        <c:grouping val="clustered"/>
        <c:varyColors val="0"/>
        <c:ser>
          <c:idx val="0"/>
          <c:order val="0"/>
          <c:tx>
            <c:strRef>
              <c:f>'Total States-Analysis_1'!$B$39</c:f>
              <c:strCache>
                <c:ptCount val="1"/>
                <c:pt idx="0">
                  <c:v>2016-17</c:v>
                </c:pt>
              </c:strCache>
            </c:strRef>
          </c:tx>
          <c:spPr>
            <a:solidFill>
              <a:srgbClr val="646464"/>
            </a:solidFill>
            <a:ln>
              <a:solidFill>
                <a:srgbClr val="646464"/>
              </a:solidFill>
            </a:ln>
            <a:effectLst/>
          </c:spPr>
          <c:invertIfNegative val="0"/>
          <c:cat>
            <c:strRef>
              <c:f>'Total States-Analysis_1'!$A$40:$A$47</c:f>
              <c:strCache>
                <c:ptCount val="8"/>
                <c:pt idx="0">
                  <c:v>NSW</c:v>
                </c:pt>
                <c:pt idx="1">
                  <c:v>Vic.</c:v>
                </c:pt>
                <c:pt idx="2">
                  <c:v>Qld</c:v>
                </c:pt>
                <c:pt idx="3">
                  <c:v>SA</c:v>
                </c:pt>
                <c:pt idx="4">
                  <c:v>WA</c:v>
                </c:pt>
                <c:pt idx="5">
                  <c:v>Tas.</c:v>
                </c:pt>
                <c:pt idx="6">
                  <c:v>NT</c:v>
                </c:pt>
                <c:pt idx="7">
                  <c:v>ACT</c:v>
                </c:pt>
              </c:strCache>
            </c:strRef>
          </c:cat>
          <c:val>
            <c:numRef>
              <c:f>'Total States-Analysis_1'!$B$40:$B$47</c:f>
              <c:numCache>
                <c:formatCode>#,##0.0</c:formatCode>
                <c:ptCount val="8"/>
                <c:pt idx="0">
                  <c:v>478.7</c:v>
                </c:pt>
                <c:pt idx="1">
                  <c:v>492.6</c:v>
                </c:pt>
                <c:pt idx="2">
                  <c:v>367.1</c:v>
                </c:pt>
                <c:pt idx="3">
                  <c:v>200.5</c:v>
                </c:pt>
                <c:pt idx="4">
                  <c:v>293.8</c:v>
                </c:pt>
                <c:pt idx="5">
                  <c:v>83.974000000000004</c:v>
                </c:pt>
                <c:pt idx="6">
                  <c:v>60</c:v>
                </c:pt>
                <c:pt idx="7">
                  <c:v>64.900000000000006</c:v>
                </c:pt>
              </c:numCache>
            </c:numRef>
          </c:val>
          <c:extLst>
            <c:ext xmlns:c16="http://schemas.microsoft.com/office/drawing/2014/chart" uri="{C3380CC4-5D6E-409C-BE32-E72D297353CC}">
              <c16:uniqueId val="{00000000-E568-4D20-A8B9-E9D13325D9F9}"/>
            </c:ext>
          </c:extLst>
        </c:ser>
        <c:ser>
          <c:idx val="1"/>
          <c:order val="1"/>
          <c:tx>
            <c:strRef>
              <c:f>'Total States-Analysis_1'!$C$39</c:f>
              <c:strCache>
                <c:ptCount val="1"/>
                <c:pt idx="0">
                  <c:v>2017-18</c:v>
                </c:pt>
              </c:strCache>
            </c:strRef>
          </c:tx>
          <c:spPr>
            <a:solidFill>
              <a:srgbClr val="0F293A"/>
            </a:solidFill>
            <a:ln>
              <a:solidFill>
                <a:srgbClr val="0F293A"/>
              </a:solidFill>
            </a:ln>
            <a:effectLst/>
          </c:spPr>
          <c:invertIfNegative val="0"/>
          <c:cat>
            <c:strRef>
              <c:f>'Total States-Analysis_1'!$A$40:$A$47</c:f>
              <c:strCache>
                <c:ptCount val="8"/>
                <c:pt idx="0">
                  <c:v>NSW</c:v>
                </c:pt>
                <c:pt idx="1">
                  <c:v>Vic.</c:v>
                </c:pt>
                <c:pt idx="2">
                  <c:v>Qld</c:v>
                </c:pt>
                <c:pt idx="3">
                  <c:v>SA</c:v>
                </c:pt>
                <c:pt idx="4">
                  <c:v>WA</c:v>
                </c:pt>
                <c:pt idx="5">
                  <c:v>Tas.</c:v>
                </c:pt>
                <c:pt idx="6">
                  <c:v>NT</c:v>
                </c:pt>
                <c:pt idx="7">
                  <c:v>ACT</c:v>
                </c:pt>
              </c:strCache>
            </c:strRef>
          </c:cat>
          <c:val>
            <c:numRef>
              <c:f>'Total States-Analysis_1'!$C$40:$C$47</c:f>
              <c:numCache>
                <c:formatCode>#,##0.0</c:formatCode>
                <c:ptCount val="8"/>
                <c:pt idx="0">
                  <c:v>627</c:v>
                </c:pt>
                <c:pt idx="1">
                  <c:v>547.1</c:v>
                </c:pt>
                <c:pt idx="2">
                  <c:v>415.8</c:v>
                </c:pt>
                <c:pt idx="3">
                  <c:v>253.7</c:v>
                </c:pt>
                <c:pt idx="4">
                  <c:v>296.8</c:v>
                </c:pt>
                <c:pt idx="5">
                  <c:v>96.6</c:v>
                </c:pt>
                <c:pt idx="6">
                  <c:v>74.2</c:v>
                </c:pt>
                <c:pt idx="7">
                  <c:v>79.5</c:v>
                </c:pt>
              </c:numCache>
            </c:numRef>
          </c:val>
          <c:extLst>
            <c:ext xmlns:c16="http://schemas.microsoft.com/office/drawing/2014/chart" uri="{C3380CC4-5D6E-409C-BE32-E72D297353CC}">
              <c16:uniqueId val="{00000001-E568-4D20-A8B9-E9D13325D9F9}"/>
            </c:ext>
          </c:extLst>
        </c:ser>
        <c:ser>
          <c:idx val="2"/>
          <c:order val="2"/>
          <c:tx>
            <c:strRef>
              <c:f>'Total States-Analysis_1'!$D$39</c:f>
              <c:strCache>
                <c:ptCount val="1"/>
                <c:pt idx="0">
                  <c:v>2019-20</c:v>
                </c:pt>
              </c:strCache>
            </c:strRef>
          </c:tx>
          <c:spPr>
            <a:solidFill>
              <a:srgbClr val="513AC4"/>
            </a:solidFill>
            <a:ln>
              <a:solidFill>
                <a:srgbClr val="513AC4"/>
              </a:solidFill>
            </a:ln>
            <a:effectLst/>
          </c:spPr>
          <c:invertIfNegative val="0"/>
          <c:cat>
            <c:strRef>
              <c:f>'Total States-Analysis_1'!$A$40:$A$47</c:f>
              <c:strCache>
                <c:ptCount val="8"/>
                <c:pt idx="0">
                  <c:v>NSW</c:v>
                </c:pt>
                <c:pt idx="1">
                  <c:v>Vic.</c:v>
                </c:pt>
                <c:pt idx="2">
                  <c:v>Qld</c:v>
                </c:pt>
                <c:pt idx="3">
                  <c:v>SA</c:v>
                </c:pt>
                <c:pt idx="4">
                  <c:v>WA</c:v>
                </c:pt>
                <c:pt idx="5">
                  <c:v>Tas.</c:v>
                </c:pt>
                <c:pt idx="6">
                  <c:v>NT</c:v>
                </c:pt>
                <c:pt idx="7">
                  <c:v>ACT</c:v>
                </c:pt>
              </c:strCache>
            </c:strRef>
          </c:cat>
          <c:val>
            <c:numRef>
              <c:f>'Total States-Analysis_1'!$D$40:$D$47</c:f>
              <c:numCache>
                <c:formatCode>#,##0.0</c:formatCode>
                <c:ptCount val="8"/>
                <c:pt idx="0">
                  <c:v>799.41895666999994</c:v>
                </c:pt>
                <c:pt idx="1">
                  <c:v>587.33799999999997</c:v>
                </c:pt>
                <c:pt idx="2">
                  <c:v>450.22399999999999</c:v>
                </c:pt>
                <c:pt idx="3">
                  <c:v>239.31200000000001</c:v>
                </c:pt>
                <c:pt idx="4">
                  <c:v>375.64600000000002</c:v>
                </c:pt>
                <c:pt idx="5">
                  <c:v>99.135999999999996</c:v>
                </c:pt>
                <c:pt idx="6">
                  <c:v>75.962999999999994</c:v>
                </c:pt>
                <c:pt idx="7">
                  <c:v>89.448103000000003</c:v>
                </c:pt>
              </c:numCache>
            </c:numRef>
          </c:val>
          <c:extLst>
            <c:ext xmlns:c16="http://schemas.microsoft.com/office/drawing/2014/chart" uri="{C3380CC4-5D6E-409C-BE32-E72D297353CC}">
              <c16:uniqueId val="{00000002-E568-4D20-A8B9-E9D13325D9F9}"/>
            </c:ext>
          </c:extLst>
        </c:ser>
        <c:dLbls>
          <c:showLegendKey val="0"/>
          <c:showVal val="0"/>
          <c:showCatName val="0"/>
          <c:showSerName val="0"/>
          <c:showPercent val="0"/>
          <c:showBubbleSize val="0"/>
        </c:dLbls>
        <c:gapWidth val="100"/>
        <c:overlap val="-10"/>
        <c:axId val="222835072"/>
        <c:axId val="222836608"/>
      </c:barChart>
      <c:catAx>
        <c:axId val="222835072"/>
        <c:scaling>
          <c:orientation val="minMax"/>
        </c:scaling>
        <c:delete val="0"/>
        <c:axPos val="b"/>
        <c:numFmt formatCode="General" sourceLinked="1"/>
        <c:majorTickMark val="none"/>
        <c:minorTickMark val="none"/>
        <c:tickLblPos val="nextTo"/>
        <c:spPr>
          <a:noFill/>
          <a:ln w="9525" cap="flat" cmpd="sng" algn="ctr">
            <a:solidFill>
              <a:srgbClr val="646464"/>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2836608"/>
        <c:crosses val="autoZero"/>
        <c:auto val="1"/>
        <c:lblAlgn val="ctr"/>
        <c:lblOffset val="100"/>
        <c:noMultiLvlLbl val="0"/>
      </c:catAx>
      <c:valAx>
        <c:axId val="22283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800" b="0" i="0" u="none" strike="noStrike" kern="1200" baseline="0">
                    <a:solidFill>
                      <a:schemeClr val="tx1"/>
                    </a:solidFill>
                    <a:latin typeface="+mn-lt"/>
                    <a:ea typeface="+mn-ea"/>
                    <a:cs typeface="+mn-cs"/>
                  </a:defRPr>
                </a:pPr>
                <a:r>
                  <a:rPr lang="en-AU"/>
                  <a:t>$m</a:t>
                </a:r>
              </a:p>
            </c:rich>
          </c:tx>
          <c:layout>
            <c:manualLayout>
              <c:xMode val="edge"/>
              <c:yMode val="edge"/>
              <c:x val="1.1915397301565945E-2"/>
              <c:y val="1.271981627296586E-2"/>
            </c:manualLayout>
          </c:layout>
          <c:overlay val="0"/>
          <c:spPr>
            <a:noFill/>
            <a:ln>
              <a:noFill/>
            </a:ln>
            <a:effectLst/>
          </c:spPr>
          <c:txPr>
            <a:bodyPr rot="0" spcFirstLastPara="1" vertOverflow="ellipsis" wrap="square" anchor="t" anchorCtr="0"/>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rgbClr val="646464"/>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2835072"/>
        <c:crosses val="autoZero"/>
        <c:crossBetween val="between"/>
      </c:valAx>
      <c:spPr>
        <a:noFill/>
        <a:ln>
          <a:noFill/>
        </a:ln>
        <a:effectLst/>
      </c:spPr>
    </c:plotArea>
    <c:legend>
      <c:legendPos val="tr"/>
      <c:layout>
        <c:manualLayout>
          <c:xMode val="edge"/>
          <c:yMode val="edge"/>
          <c:x val="0.80289317026861007"/>
          <c:y val="0.16412593511614482"/>
          <c:w val="0.15110665388534239"/>
          <c:h val="0.200322331003476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04133760936596E-2"/>
          <c:y val="0.10801062711197798"/>
          <c:w val="0.92060062315153779"/>
          <c:h val="0.76647054534849812"/>
        </c:manualLayout>
      </c:layout>
      <c:barChart>
        <c:barDir val="col"/>
        <c:grouping val="clustered"/>
        <c:varyColors val="0"/>
        <c:ser>
          <c:idx val="0"/>
          <c:order val="0"/>
          <c:tx>
            <c:strRef>
              <c:f>'Total States-Analysis'!$B$55</c:f>
              <c:strCache>
                <c:ptCount val="1"/>
                <c:pt idx="0">
                  <c:v>2016-17</c:v>
                </c:pt>
              </c:strCache>
            </c:strRef>
          </c:tx>
          <c:spPr>
            <a:solidFill>
              <a:srgbClr val="646464"/>
            </a:solidFill>
            <a:ln>
              <a:solidFill>
                <a:srgbClr val="646464"/>
              </a:solidFill>
            </a:ln>
            <a:effectLst/>
          </c:spPr>
          <c:invertIfNegative val="0"/>
          <c:cat>
            <c:strRef>
              <c:f>'Total States-Analysis'!$A$56:$A$59</c:f>
              <c:strCache>
                <c:ptCount val="4"/>
                <c:pt idx="0">
                  <c:v>Art museums</c:v>
                </c:pt>
                <c:pt idx="1">
                  <c:v>Other museums &amp; cultural heritage</c:v>
                </c:pt>
                <c:pt idx="2">
                  <c:v>Libraries</c:v>
                </c:pt>
                <c:pt idx="3">
                  <c:v>Archives</c:v>
                </c:pt>
              </c:strCache>
            </c:strRef>
          </c:cat>
          <c:val>
            <c:numRef>
              <c:f>'Total States-Analysis'!$B$56:$B$59</c:f>
              <c:numCache>
                <c:formatCode>#,##0.0</c:formatCode>
                <c:ptCount val="4"/>
                <c:pt idx="0">
                  <c:v>194.47200000000001</c:v>
                </c:pt>
                <c:pt idx="1">
                  <c:v>470.71300000000002</c:v>
                </c:pt>
                <c:pt idx="2">
                  <c:v>411.3</c:v>
                </c:pt>
                <c:pt idx="3">
                  <c:v>61.124000000000002</c:v>
                </c:pt>
              </c:numCache>
            </c:numRef>
          </c:val>
          <c:extLst>
            <c:ext xmlns:c16="http://schemas.microsoft.com/office/drawing/2014/chart" uri="{C3380CC4-5D6E-409C-BE32-E72D297353CC}">
              <c16:uniqueId val="{00000000-B3CF-4F70-BAF1-853274DEE1AA}"/>
            </c:ext>
          </c:extLst>
        </c:ser>
        <c:ser>
          <c:idx val="1"/>
          <c:order val="1"/>
          <c:tx>
            <c:strRef>
              <c:f>'Total States-Analysis'!$C$55</c:f>
              <c:strCache>
                <c:ptCount val="1"/>
                <c:pt idx="0">
                  <c:v>2017-18</c:v>
                </c:pt>
              </c:strCache>
            </c:strRef>
          </c:tx>
          <c:spPr>
            <a:solidFill>
              <a:srgbClr val="0F293A"/>
            </a:solidFill>
            <a:ln>
              <a:solidFill>
                <a:srgbClr val="0F293A"/>
              </a:solidFill>
            </a:ln>
            <a:effectLst/>
          </c:spPr>
          <c:invertIfNegative val="0"/>
          <c:cat>
            <c:strRef>
              <c:f>'Total States-Analysis'!$A$56:$A$59</c:f>
              <c:strCache>
                <c:ptCount val="4"/>
                <c:pt idx="0">
                  <c:v>Art museums</c:v>
                </c:pt>
                <c:pt idx="1">
                  <c:v>Other museums &amp; cultural heritage</c:v>
                </c:pt>
                <c:pt idx="2">
                  <c:v>Libraries</c:v>
                </c:pt>
                <c:pt idx="3">
                  <c:v>Archives</c:v>
                </c:pt>
              </c:strCache>
            </c:strRef>
          </c:cat>
          <c:val>
            <c:numRef>
              <c:f>'Total States-Analysis'!$C$56:$C$59</c:f>
              <c:numCache>
                <c:formatCode>#,##0.0</c:formatCode>
                <c:ptCount val="4"/>
                <c:pt idx="0">
                  <c:v>216.435</c:v>
                </c:pt>
                <c:pt idx="1">
                  <c:v>565.81700000000001</c:v>
                </c:pt>
                <c:pt idx="2">
                  <c:v>460.67399999999998</c:v>
                </c:pt>
                <c:pt idx="3">
                  <c:v>56.502000000000002</c:v>
                </c:pt>
              </c:numCache>
            </c:numRef>
          </c:val>
          <c:extLst>
            <c:ext xmlns:c16="http://schemas.microsoft.com/office/drawing/2014/chart" uri="{C3380CC4-5D6E-409C-BE32-E72D297353CC}">
              <c16:uniqueId val="{00000001-B3CF-4F70-BAF1-853274DEE1AA}"/>
            </c:ext>
          </c:extLst>
        </c:ser>
        <c:ser>
          <c:idx val="2"/>
          <c:order val="2"/>
          <c:tx>
            <c:strRef>
              <c:f>'Total States-Analysis'!$D$55</c:f>
              <c:strCache>
                <c:ptCount val="1"/>
                <c:pt idx="0">
                  <c:v>2019-20</c:v>
                </c:pt>
              </c:strCache>
            </c:strRef>
          </c:tx>
          <c:spPr>
            <a:solidFill>
              <a:srgbClr val="513AC4"/>
            </a:solidFill>
            <a:ln>
              <a:solidFill>
                <a:srgbClr val="513AC4"/>
              </a:solidFill>
            </a:ln>
            <a:effectLst/>
          </c:spPr>
          <c:invertIfNegative val="0"/>
          <c:cat>
            <c:strRef>
              <c:f>'Total States-Analysis'!$A$56:$A$59</c:f>
              <c:strCache>
                <c:ptCount val="4"/>
                <c:pt idx="0">
                  <c:v>Art museums</c:v>
                </c:pt>
                <c:pt idx="1">
                  <c:v>Other museums &amp; cultural heritage</c:v>
                </c:pt>
                <c:pt idx="2">
                  <c:v>Libraries</c:v>
                </c:pt>
                <c:pt idx="3">
                  <c:v>Archives</c:v>
                </c:pt>
              </c:strCache>
            </c:strRef>
          </c:cat>
          <c:val>
            <c:numRef>
              <c:f>'Total States-Analysis'!$D$56:$D$59</c:f>
              <c:numCache>
                <c:formatCode>#,##0.0</c:formatCode>
                <c:ptCount val="4"/>
                <c:pt idx="0">
                  <c:v>307.10000000000002</c:v>
                </c:pt>
                <c:pt idx="1">
                  <c:v>597.5</c:v>
                </c:pt>
                <c:pt idx="2">
                  <c:v>484.1</c:v>
                </c:pt>
                <c:pt idx="3">
                  <c:v>69.400000000000006</c:v>
                </c:pt>
              </c:numCache>
            </c:numRef>
          </c:val>
          <c:extLst>
            <c:ext xmlns:c16="http://schemas.microsoft.com/office/drawing/2014/chart" uri="{C3380CC4-5D6E-409C-BE32-E72D297353CC}">
              <c16:uniqueId val="{00000002-B3CF-4F70-BAF1-853274DEE1AA}"/>
            </c:ext>
          </c:extLst>
        </c:ser>
        <c:dLbls>
          <c:showLegendKey val="0"/>
          <c:showVal val="0"/>
          <c:showCatName val="0"/>
          <c:showSerName val="0"/>
          <c:showPercent val="0"/>
          <c:showBubbleSize val="0"/>
        </c:dLbls>
        <c:gapWidth val="100"/>
        <c:overlap val="-10"/>
        <c:axId val="226432512"/>
        <c:axId val="226434048"/>
      </c:barChart>
      <c:catAx>
        <c:axId val="226432512"/>
        <c:scaling>
          <c:orientation val="minMax"/>
        </c:scaling>
        <c:delete val="0"/>
        <c:axPos val="b"/>
        <c:numFmt formatCode="General" sourceLinked="1"/>
        <c:majorTickMark val="none"/>
        <c:minorTickMark val="none"/>
        <c:tickLblPos val="nextTo"/>
        <c:spPr>
          <a:noFill/>
          <a:ln w="9525" cap="flat" cmpd="sng" algn="ctr">
            <a:solidFill>
              <a:srgbClr val="646464"/>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6434048"/>
        <c:crosses val="autoZero"/>
        <c:auto val="1"/>
        <c:lblAlgn val="ctr"/>
        <c:lblOffset val="100"/>
        <c:noMultiLvlLbl val="0"/>
      </c:catAx>
      <c:valAx>
        <c:axId val="226434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800" b="0" i="0" u="none" strike="noStrike" kern="1200" baseline="0">
                    <a:solidFill>
                      <a:schemeClr val="tx1"/>
                    </a:solidFill>
                    <a:latin typeface="+mn-lt"/>
                    <a:ea typeface="+mn-ea"/>
                    <a:cs typeface="+mn-cs"/>
                  </a:defRPr>
                </a:pPr>
                <a:r>
                  <a:rPr lang="en-AU"/>
                  <a:t>$m</a:t>
                </a:r>
              </a:p>
            </c:rich>
          </c:tx>
          <c:layout>
            <c:manualLayout>
              <c:xMode val="edge"/>
              <c:yMode val="edge"/>
              <c:x val="1.1915397301565945E-2"/>
              <c:y val="1.271981627296586E-2"/>
            </c:manualLayout>
          </c:layout>
          <c:overlay val="0"/>
          <c:spPr>
            <a:noFill/>
            <a:ln>
              <a:noFill/>
            </a:ln>
            <a:effectLst/>
          </c:spPr>
          <c:txPr>
            <a:bodyPr rot="0" spcFirstLastPara="1" vertOverflow="ellipsis" wrap="square" anchor="t" anchorCtr="0"/>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rgbClr val="646464"/>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6432512"/>
        <c:crosses val="autoZero"/>
        <c:crossBetween val="between"/>
      </c:valAx>
      <c:spPr>
        <a:noFill/>
        <a:ln>
          <a:noFill/>
        </a:ln>
        <a:effectLst/>
      </c:spPr>
    </c:plotArea>
    <c:legend>
      <c:legendPos val="tr"/>
      <c:layout>
        <c:manualLayout>
          <c:xMode val="edge"/>
          <c:yMode val="edge"/>
          <c:x val="0.82819466316710399"/>
          <c:y val="0.12717689066313537"/>
          <c:w val="0.15110665388534239"/>
          <c:h val="0.1539901390524404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04133760936596E-2"/>
          <c:y val="0.10801062711197798"/>
          <c:w val="0.92060062315153779"/>
          <c:h val="0.71091498979294254"/>
        </c:manualLayout>
      </c:layout>
      <c:barChart>
        <c:barDir val="col"/>
        <c:grouping val="clustered"/>
        <c:varyColors val="0"/>
        <c:ser>
          <c:idx val="0"/>
          <c:order val="0"/>
          <c:tx>
            <c:strRef>
              <c:f>'Total States-Analysis_1'!$B$74</c:f>
              <c:strCache>
                <c:ptCount val="1"/>
                <c:pt idx="0">
                  <c:v>2016-17</c:v>
                </c:pt>
              </c:strCache>
            </c:strRef>
          </c:tx>
          <c:spPr>
            <a:solidFill>
              <a:srgbClr val="646464"/>
            </a:solidFill>
            <a:ln>
              <a:solidFill>
                <a:srgbClr val="646464"/>
              </a:solidFill>
            </a:ln>
            <a:effectLst/>
          </c:spPr>
          <c:invertIfNegative val="0"/>
          <c:cat>
            <c:strRef>
              <c:f>'Total States-Analysis_1'!$A$75:$A$81</c:f>
              <c:strCache>
                <c:ptCount val="7"/>
                <c:pt idx="0">
                  <c:v>Music </c:v>
                </c:pt>
                <c:pt idx="1">
                  <c:v>Performing arts venues</c:v>
                </c:pt>
                <c:pt idx="2">
                  <c:v>Visual arts &amp; crafts</c:v>
                </c:pt>
                <c:pt idx="3">
                  <c:v>Film &amp; video production &amp; distribution</c:v>
                </c:pt>
                <c:pt idx="4">
                  <c:v>Arts education</c:v>
                </c:pt>
                <c:pt idx="5">
                  <c:v>Multi-arts festivals</c:v>
                </c:pt>
                <c:pt idx="6">
                  <c:v>Arts administration</c:v>
                </c:pt>
              </c:strCache>
            </c:strRef>
          </c:cat>
          <c:val>
            <c:numRef>
              <c:f>'Total States-Analysis_1'!$B$75:$B$81</c:f>
              <c:numCache>
                <c:formatCode>0.0</c:formatCode>
                <c:ptCount val="7"/>
                <c:pt idx="0">
                  <c:v>49.686999999999998</c:v>
                </c:pt>
                <c:pt idx="1">
                  <c:v>217.25899999999999</c:v>
                </c:pt>
                <c:pt idx="2">
                  <c:v>53.271999999999998</c:v>
                </c:pt>
                <c:pt idx="3">
                  <c:v>86.444999999999993</c:v>
                </c:pt>
                <c:pt idx="4">
                  <c:v>107.15</c:v>
                </c:pt>
                <c:pt idx="5">
                  <c:v>56.865000000000002</c:v>
                </c:pt>
                <c:pt idx="6">
                  <c:v>87.244</c:v>
                </c:pt>
              </c:numCache>
            </c:numRef>
          </c:val>
          <c:extLst>
            <c:ext xmlns:c16="http://schemas.microsoft.com/office/drawing/2014/chart" uri="{C3380CC4-5D6E-409C-BE32-E72D297353CC}">
              <c16:uniqueId val="{00000000-4CB2-4B5C-A7B6-D8D0E63763B2}"/>
            </c:ext>
          </c:extLst>
        </c:ser>
        <c:ser>
          <c:idx val="1"/>
          <c:order val="1"/>
          <c:tx>
            <c:strRef>
              <c:f>'Total States-Analysis_1'!$C$74</c:f>
              <c:strCache>
                <c:ptCount val="1"/>
                <c:pt idx="0">
                  <c:v>2017-18</c:v>
                </c:pt>
              </c:strCache>
            </c:strRef>
          </c:tx>
          <c:spPr>
            <a:solidFill>
              <a:srgbClr val="0F293A"/>
            </a:solidFill>
            <a:ln>
              <a:solidFill>
                <a:srgbClr val="0F293A"/>
              </a:solidFill>
            </a:ln>
            <a:effectLst/>
          </c:spPr>
          <c:invertIfNegative val="0"/>
          <c:cat>
            <c:strRef>
              <c:f>'Total States-Analysis_1'!$A$75:$A$81</c:f>
              <c:strCache>
                <c:ptCount val="7"/>
                <c:pt idx="0">
                  <c:v>Music </c:v>
                </c:pt>
                <c:pt idx="1">
                  <c:v>Performing arts venues</c:v>
                </c:pt>
                <c:pt idx="2">
                  <c:v>Visual arts &amp; crafts</c:v>
                </c:pt>
                <c:pt idx="3">
                  <c:v>Film &amp; video production &amp; distribution</c:v>
                </c:pt>
                <c:pt idx="4">
                  <c:v>Arts education</c:v>
                </c:pt>
                <c:pt idx="5">
                  <c:v>Multi-arts festivals</c:v>
                </c:pt>
                <c:pt idx="6">
                  <c:v>Arts administration</c:v>
                </c:pt>
              </c:strCache>
            </c:strRef>
          </c:cat>
          <c:val>
            <c:numRef>
              <c:f>'Total States-Analysis_1'!$C$75:$C$81</c:f>
              <c:numCache>
                <c:formatCode>0.0</c:formatCode>
                <c:ptCount val="7"/>
                <c:pt idx="0">
                  <c:v>65.811999999999998</c:v>
                </c:pt>
                <c:pt idx="1">
                  <c:v>355.87099999999998</c:v>
                </c:pt>
                <c:pt idx="2">
                  <c:v>52.313000000000002</c:v>
                </c:pt>
                <c:pt idx="3">
                  <c:v>102.485</c:v>
                </c:pt>
                <c:pt idx="4">
                  <c:v>118.495</c:v>
                </c:pt>
                <c:pt idx="5">
                  <c:v>67.316000000000003</c:v>
                </c:pt>
                <c:pt idx="6">
                  <c:v>82.346999999999994</c:v>
                </c:pt>
              </c:numCache>
            </c:numRef>
          </c:val>
          <c:extLst>
            <c:ext xmlns:c16="http://schemas.microsoft.com/office/drawing/2014/chart" uri="{C3380CC4-5D6E-409C-BE32-E72D297353CC}">
              <c16:uniqueId val="{00000001-4CB2-4B5C-A7B6-D8D0E63763B2}"/>
            </c:ext>
          </c:extLst>
        </c:ser>
        <c:ser>
          <c:idx val="2"/>
          <c:order val="2"/>
          <c:tx>
            <c:strRef>
              <c:f>'Total States-Analysis_1'!$D$74</c:f>
              <c:strCache>
                <c:ptCount val="1"/>
                <c:pt idx="0">
                  <c:v>2019-20</c:v>
                </c:pt>
              </c:strCache>
            </c:strRef>
          </c:tx>
          <c:spPr>
            <a:solidFill>
              <a:srgbClr val="513AC4"/>
            </a:solidFill>
            <a:ln>
              <a:solidFill>
                <a:srgbClr val="513AC4"/>
              </a:solidFill>
            </a:ln>
            <a:effectLst/>
          </c:spPr>
          <c:invertIfNegative val="0"/>
          <c:cat>
            <c:strRef>
              <c:f>'Total States-Analysis_1'!$A$75:$A$81</c:f>
              <c:strCache>
                <c:ptCount val="7"/>
                <c:pt idx="0">
                  <c:v>Music </c:v>
                </c:pt>
                <c:pt idx="1">
                  <c:v>Performing arts venues</c:v>
                </c:pt>
                <c:pt idx="2">
                  <c:v>Visual arts &amp; crafts</c:v>
                </c:pt>
                <c:pt idx="3">
                  <c:v>Film &amp; video production &amp; distribution</c:v>
                </c:pt>
                <c:pt idx="4">
                  <c:v>Arts education</c:v>
                </c:pt>
                <c:pt idx="5">
                  <c:v>Multi-arts festivals</c:v>
                </c:pt>
                <c:pt idx="6">
                  <c:v>Arts administration</c:v>
                </c:pt>
              </c:strCache>
            </c:strRef>
          </c:cat>
          <c:val>
            <c:numRef>
              <c:f>'Total States-Analysis_1'!$D$75:$D$81</c:f>
              <c:numCache>
                <c:formatCode>0.0</c:formatCode>
                <c:ptCount val="7"/>
                <c:pt idx="0">
                  <c:v>77.400000000000006</c:v>
                </c:pt>
                <c:pt idx="1">
                  <c:v>411.9</c:v>
                </c:pt>
                <c:pt idx="2">
                  <c:v>50.1</c:v>
                </c:pt>
                <c:pt idx="3">
                  <c:v>138.1</c:v>
                </c:pt>
                <c:pt idx="4">
                  <c:v>136.19999999999999</c:v>
                </c:pt>
                <c:pt idx="5">
                  <c:v>56</c:v>
                </c:pt>
                <c:pt idx="6">
                  <c:v>116.7</c:v>
                </c:pt>
              </c:numCache>
            </c:numRef>
          </c:val>
          <c:extLst>
            <c:ext xmlns:c16="http://schemas.microsoft.com/office/drawing/2014/chart" uri="{C3380CC4-5D6E-409C-BE32-E72D297353CC}">
              <c16:uniqueId val="{00000002-4CB2-4B5C-A7B6-D8D0E63763B2}"/>
            </c:ext>
          </c:extLst>
        </c:ser>
        <c:dLbls>
          <c:showLegendKey val="0"/>
          <c:showVal val="0"/>
          <c:showCatName val="0"/>
          <c:showSerName val="0"/>
          <c:showPercent val="0"/>
          <c:showBubbleSize val="0"/>
        </c:dLbls>
        <c:gapWidth val="100"/>
        <c:overlap val="-10"/>
        <c:axId val="226482816"/>
        <c:axId val="226484608"/>
      </c:barChart>
      <c:catAx>
        <c:axId val="226482816"/>
        <c:scaling>
          <c:orientation val="minMax"/>
        </c:scaling>
        <c:delete val="0"/>
        <c:axPos val="b"/>
        <c:numFmt formatCode="General" sourceLinked="1"/>
        <c:majorTickMark val="none"/>
        <c:minorTickMark val="none"/>
        <c:tickLblPos val="nextTo"/>
        <c:spPr>
          <a:noFill/>
          <a:ln w="9525" cap="flat" cmpd="sng" algn="ctr">
            <a:solidFill>
              <a:srgbClr val="646464"/>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6484608"/>
        <c:crosses val="autoZero"/>
        <c:auto val="1"/>
        <c:lblAlgn val="ctr"/>
        <c:lblOffset val="100"/>
        <c:noMultiLvlLbl val="0"/>
      </c:catAx>
      <c:valAx>
        <c:axId val="22648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800" b="0" i="0" u="none" strike="noStrike" kern="1200" baseline="0">
                    <a:solidFill>
                      <a:schemeClr val="tx1"/>
                    </a:solidFill>
                    <a:latin typeface="+mn-lt"/>
                    <a:ea typeface="+mn-ea"/>
                    <a:cs typeface="+mn-cs"/>
                  </a:defRPr>
                </a:pPr>
                <a:r>
                  <a:rPr lang="en-AU"/>
                  <a:t>$m</a:t>
                </a:r>
              </a:p>
            </c:rich>
          </c:tx>
          <c:layout>
            <c:manualLayout>
              <c:xMode val="edge"/>
              <c:yMode val="edge"/>
              <c:x val="1.1915397301565945E-2"/>
              <c:y val="1.271981627296586E-2"/>
            </c:manualLayout>
          </c:layout>
          <c:overlay val="0"/>
          <c:spPr>
            <a:noFill/>
            <a:ln>
              <a:noFill/>
            </a:ln>
            <a:effectLst/>
          </c:spPr>
          <c:txPr>
            <a:bodyPr rot="0" spcFirstLastPara="1" vertOverflow="ellipsis" wrap="square" anchor="t" anchorCtr="0"/>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rgbClr val="646464"/>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6482816"/>
        <c:crosses val="autoZero"/>
        <c:crossBetween val="between"/>
      </c:valAx>
      <c:spPr>
        <a:noFill/>
        <a:ln>
          <a:noFill/>
        </a:ln>
        <a:effectLst/>
      </c:spPr>
    </c:plotArea>
    <c:legend>
      <c:legendPos val="tr"/>
      <c:layout>
        <c:manualLayout>
          <c:xMode val="edge"/>
          <c:yMode val="edge"/>
          <c:x val="0.78178004388795663"/>
          <c:y val="0.10928532501456413"/>
          <c:w val="0.15110665388534239"/>
          <c:h val="0.2218184466201867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2807249458781"/>
          <c:y val="6.8014727325750965E-2"/>
          <c:w val="0.67202939632545933"/>
          <c:h val="0.81040354330708664"/>
        </c:manualLayout>
      </c:layout>
      <c:barChart>
        <c:barDir val="bar"/>
        <c:grouping val="clustered"/>
        <c:varyColors val="0"/>
        <c:ser>
          <c:idx val="0"/>
          <c:order val="0"/>
          <c:tx>
            <c:strRef>
              <c:f>'Total States-Analysis_1'!$B$89</c:f>
              <c:strCache>
                <c:ptCount val="1"/>
                <c:pt idx="0">
                  <c:v>2019-20</c:v>
                </c:pt>
              </c:strCache>
            </c:strRef>
          </c:tx>
          <c:spPr>
            <a:solidFill>
              <a:srgbClr val="513AC4"/>
            </a:solidFill>
            <a:ln>
              <a:solidFill>
                <a:srgbClr val="513AC4"/>
              </a:solidFill>
            </a:ln>
            <a:effectLst/>
          </c:spPr>
          <c:invertIfNegative val="0"/>
          <c:cat>
            <c:strRef>
              <c:f>'Total States-Analysis_1'!$A$90:$A$98</c:f>
              <c:strCache>
                <c:ptCount val="9"/>
                <c:pt idx="0">
                  <c:v>Arts administration</c:v>
                </c:pt>
                <c:pt idx="1">
                  <c:v>Arts education</c:v>
                </c:pt>
                <c:pt idx="2">
                  <c:v>Film &amp; video production &amp; distribution</c:v>
                </c:pt>
                <c:pt idx="3">
                  <c:v>Performing arts venues</c:v>
                </c:pt>
                <c:pt idx="4">
                  <c:v>Music </c:v>
                </c:pt>
                <c:pt idx="5">
                  <c:v>Archives</c:v>
                </c:pt>
                <c:pt idx="6">
                  <c:v>Libraries</c:v>
                </c:pt>
                <c:pt idx="7">
                  <c:v>Other museums &amp; cultural heritage</c:v>
                </c:pt>
                <c:pt idx="8">
                  <c:v>Art museums</c:v>
                </c:pt>
              </c:strCache>
            </c:strRef>
          </c:cat>
          <c:val>
            <c:numRef>
              <c:f>'Total States-Analysis_1'!$B$90:$B$98</c:f>
              <c:numCache>
                <c:formatCode>#,##0.0</c:formatCode>
                <c:ptCount val="9"/>
                <c:pt idx="0">
                  <c:v>87.8</c:v>
                </c:pt>
                <c:pt idx="1">
                  <c:v>136.1</c:v>
                </c:pt>
                <c:pt idx="2">
                  <c:v>109.7</c:v>
                </c:pt>
                <c:pt idx="3">
                  <c:v>156.1</c:v>
                </c:pt>
                <c:pt idx="4">
                  <c:v>70.3</c:v>
                </c:pt>
                <c:pt idx="5">
                  <c:v>61.8</c:v>
                </c:pt>
                <c:pt idx="6">
                  <c:v>440.6</c:v>
                </c:pt>
                <c:pt idx="7">
                  <c:v>363.6</c:v>
                </c:pt>
                <c:pt idx="8">
                  <c:v>224.4</c:v>
                </c:pt>
              </c:numCache>
            </c:numRef>
          </c:val>
          <c:extLst>
            <c:ext xmlns:c16="http://schemas.microsoft.com/office/drawing/2014/chart" uri="{C3380CC4-5D6E-409C-BE32-E72D297353CC}">
              <c16:uniqueId val="{00000000-D6B8-4C0A-A93F-5C0480C95C12}"/>
            </c:ext>
          </c:extLst>
        </c:ser>
        <c:ser>
          <c:idx val="1"/>
          <c:order val="1"/>
          <c:tx>
            <c:strRef>
              <c:f>'Total States-Analysis_1'!$C$89</c:f>
              <c:strCache>
                <c:ptCount val="1"/>
                <c:pt idx="0">
                  <c:v>2017-18</c:v>
                </c:pt>
              </c:strCache>
            </c:strRef>
          </c:tx>
          <c:spPr>
            <a:solidFill>
              <a:srgbClr val="0F293A"/>
            </a:solidFill>
            <a:ln>
              <a:solidFill>
                <a:srgbClr val="0F293A"/>
              </a:solidFill>
            </a:ln>
            <a:effectLst/>
          </c:spPr>
          <c:invertIfNegative val="0"/>
          <c:cat>
            <c:strRef>
              <c:f>'Total States-Analysis_1'!$A$90:$A$98</c:f>
              <c:strCache>
                <c:ptCount val="9"/>
                <c:pt idx="0">
                  <c:v>Arts administration</c:v>
                </c:pt>
                <c:pt idx="1">
                  <c:v>Arts education</c:v>
                </c:pt>
                <c:pt idx="2">
                  <c:v>Film &amp; video production &amp; distribution</c:v>
                </c:pt>
                <c:pt idx="3">
                  <c:v>Performing arts venues</c:v>
                </c:pt>
                <c:pt idx="4">
                  <c:v>Music </c:v>
                </c:pt>
                <c:pt idx="5">
                  <c:v>Archives</c:v>
                </c:pt>
                <c:pt idx="6">
                  <c:v>Libraries</c:v>
                </c:pt>
                <c:pt idx="7">
                  <c:v>Other museums &amp; cultural heritage</c:v>
                </c:pt>
                <c:pt idx="8">
                  <c:v>Art museums</c:v>
                </c:pt>
              </c:strCache>
            </c:strRef>
          </c:cat>
          <c:val>
            <c:numRef>
              <c:f>'Total States-Analysis_1'!$C$90:$C$98</c:f>
              <c:numCache>
                <c:formatCode>0.0</c:formatCode>
                <c:ptCount val="9"/>
                <c:pt idx="0">
                  <c:v>80.695999999999998</c:v>
                </c:pt>
                <c:pt idx="1">
                  <c:v>118.48399999999999</c:v>
                </c:pt>
                <c:pt idx="2">
                  <c:v>99.74</c:v>
                </c:pt>
                <c:pt idx="3">
                  <c:v>135.535</c:v>
                </c:pt>
                <c:pt idx="4">
                  <c:v>65.613</c:v>
                </c:pt>
                <c:pt idx="5">
                  <c:v>50.154000000000003</c:v>
                </c:pt>
                <c:pt idx="6">
                  <c:v>381.20699999999999</c:v>
                </c:pt>
                <c:pt idx="7">
                  <c:v>367.12700000000001</c:v>
                </c:pt>
                <c:pt idx="8">
                  <c:v>195.63</c:v>
                </c:pt>
              </c:numCache>
            </c:numRef>
          </c:val>
          <c:extLst>
            <c:ext xmlns:c16="http://schemas.microsoft.com/office/drawing/2014/chart" uri="{C3380CC4-5D6E-409C-BE32-E72D297353CC}">
              <c16:uniqueId val="{00000001-D6B8-4C0A-A93F-5C0480C95C12}"/>
            </c:ext>
          </c:extLst>
        </c:ser>
        <c:ser>
          <c:idx val="2"/>
          <c:order val="2"/>
          <c:tx>
            <c:strRef>
              <c:f>'Total States-Analysis_1'!$D$89</c:f>
              <c:strCache>
                <c:ptCount val="1"/>
                <c:pt idx="0">
                  <c:v>2016-17</c:v>
                </c:pt>
              </c:strCache>
            </c:strRef>
          </c:tx>
          <c:spPr>
            <a:solidFill>
              <a:srgbClr val="646464"/>
            </a:solidFill>
            <a:ln>
              <a:solidFill>
                <a:srgbClr val="646464"/>
              </a:solidFill>
            </a:ln>
            <a:effectLst/>
          </c:spPr>
          <c:invertIfNegative val="0"/>
          <c:cat>
            <c:strRef>
              <c:f>'Total States-Analysis_1'!$A$90:$A$98</c:f>
              <c:strCache>
                <c:ptCount val="9"/>
                <c:pt idx="0">
                  <c:v>Arts administration</c:v>
                </c:pt>
                <c:pt idx="1">
                  <c:v>Arts education</c:v>
                </c:pt>
                <c:pt idx="2">
                  <c:v>Film &amp; video production &amp; distribution</c:v>
                </c:pt>
                <c:pt idx="3">
                  <c:v>Performing arts venues</c:v>
                </c:pt>
                <c:pt idx="4">
                  <c:v>Music </c:v>
                </c:pt>
                <c:pt idx="5">
                  <c:v>Archives</c:v>
                </c:pt>
                <c:pt idx="6">
                  <c:v>Libraries</c:v>
                </c:pt>
                <c:pt idx="7">
                  <c:v>Other museums &amp; cultural heritage</c:v>
                </c:pt>
                <c:pt idx="8">
                  <c:v>Art museums</c:v>
                </c:pt>
              </c:strCache>
            </c:strRef>
          </c:cat>
          <c:val>
            <c:numRef>
              <c:f>'Total States-Analysis_1'!$D$90:$D$98</c:f>
              <c:numCache>
                <c:formatCode>0.0</c:formatCode>
                <c:ptCount val="9"/>
                <c:pt idx="0">
                  <c:v>86.22</c:v>
                </c:pt>
                <c:pt idx="1">
                  <c:v>106.974</c:v>
                </c:pt>
                <c:pt idx="2">
                  <c:v>85.262</c:v>
                </c:pt>
                <c:pt idx="3">
                  <c:v>168.40700000000001</c:v>
                </c:pt>
                <c:pt idx="4">
                  <c:v>46.18</c:v>
                </c:pt>
                <c:pt idx="5">
                  <c:v>55.337000000000003</c:v>
                </c:pt>
                <c:pt idx="6">
                  <c:v>356.12400000000002</c:v>
                </c:pt>
                <c:pt idx="7">
                  <c:v>347.75299999999999</c:v>
                </c:pt>
                <c:pt idx="8">
                  <c:v>175.28399999999999</c:v>
                </c:pt>
              </c:numCache>
            </c:numRef>
          </c:val>
          <c:extLst>
            <c:ext xmlns:c16="http://schemas.microsoft.com/office/drawing/2014/chart" uri="{C3380CC4-5D6E-409C-BE32-E72D297353CC}">
              <c16:uniqueId val="{00000002-D6B8-4C0A-A93F-5C0480C95C12}"/>
            </c:ext>
          </c:extLst>
        </c:ser>
        <c:dLbls>
          <c:showLegendKey val="0"/>
          <c:showVal val="0"/>
          <c:showCatName val="0"/>
          <c:showSerName val="0"/>
          <c:showPercent val="0"/>
          <c:showBubbleSize val="0"/>
        </c:dLbls>
        <c:gapWidth val="182"/>
        <c:axId val="226545664"/>
        <c:axId val="226547200"/>
      </c:barChart>
      <c:catAx>
        <c:axId val="226545664"/>
        <c:scaling>
          <c:orientation val="minMax"/>
        </c:scaling>
        <c:delete val="0"/>
        <c:axPos val="l"/>
        <c:numFmt formatCode="General" sourceLinked="1"/>
        <c:majorTickMark val="none"/>
        <c:minorTickMark val="none"/>
        <c:tickLblPos val="nextTo"/>
        <c:spPr>
          <a:noFill/>
          <a:ln w="9525" cap="flat" cmpd="sng" algn="ctr">
            <a:solidFill>
              <a:srgbClr val="646464"/>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6547200"/>
        <c:crosses val="autoZero"/>
        <c:auto val="1"/>
        <c:lblAlgn val="ctr"/>
        <c:lblOffset val="100"/>
        <c:noMultiLvlLbl val="0"/>
      </c:catAx>
      <c:valAx>
        <c:axId val="226547200"/>
        <c:scaling>
          <c:orientation val="minMax"/>
          <c:max val="4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AU">
                    <a:latin typeface="+mn-lt"/>
                  </a:rPr>
                  <a:t>$m</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rgbClr val="646464"/>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6545664"/>
        <c:crosses val="autoZero"/>
        <c:crossBetween val="between"/>
        <c:majorUnit val="50"/>
      </c:valAx>
      <c:spPr>
        <a:noFill/>
        <a:ln>
          <a:noFill/>
        </a:ln>
        <a:effectLst/>
      </c:spPr>
    </c:plotArea>
    <c:legend>
      <c:legendPos val="tr"/>
      <c:layout>
        <c:manualLayout>
          <c:xMode val="edge"/>
          <c:yMode val="edge"/>
          <c:x val="0.84978462801030286"/>
          <c:y val="0.53886975214896726"/>
          <c:w val="0.10484670394461562"/>
          <c:h val="0.137459171770195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baseline="0">
          <a:latin typeface="Helv"/>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04133760936596E-2"/>
          <c:y val="0.10801062711197798"/>
          <c:w val="0.92060062315153779"/>
          <c:h val="0.79424832312627591"/>
        </c:manualLayout>
      </c:layout>
      <c:barChart>
        <c:barDir val="col"/>
        <c:grouping val="clustered"/>
        <c:varyColors val="0"/>
        <c:ser>
          <c:idx val="0"/>
          <c:order val="0"/>
          <c:tx>
            <c:strRef>
              <c:f>'Total States'!$B$107</c:f>
              <c:strCache>
                <c:ptCount val="1"/>
                <c:pt idx="0">
                  <c:v>Heritage</c:v>
                </c:pt>
              </c:strCache>
            </c:strRef>
          </c:tx>
          <c:spPr>
            <a:solidFill>
              <a:srgbClr val="646464"/>
            </a:solidFill>
            <a:ln>
              <a:solidFill>
                <a:srgbClr val="646464"/>
              </a:solidFill>
            </a:ln>
            <a:effectLst/>
          </c:spPr>
          <c:invertIfNegative val="0"/>
          <c:cat>
            <c:strRef>
              <c:f>'Total States'!$A$108:$A$115</c:f>
              <c:strCache>
                <c:ptCount val="8"/>
                <c:pt idx="0">
                  <c:v>NSW</c:v>
                </c:pt>
                <c:pt idx="1">
                  <c:v>Vic.</c:v>
                </c:pt>
                <c:pt idx="2">
                  <c:v>Qld</c:v>
                </c:pt>
                <c:pt idx="3">
                  <c:v>SA</c:v>
                </c:pt>
                <c:pt idx="4">
                  <c:v>WA</c:v>
                </c:pt>
                <c:pt idx="5">
                  <c:v>Tas.</c:v>
                </c:pt>
                <c:pt idx="6">
                  <c:v>NT</c:v>
                </c:pt>
                <c:pt idx="7">
                  <c:v>ACT</c:v>
                </c:pt>
              </c:strCache>
            </c:strRef>
          </c:cat>
          <c:val>
            <c:numRef>
              <c:f>'Total States'!$B$108:$B$115</c:f>
              <c:numCache>
                <c:formatCode>0.0</c:formatCode>
                <c:ptCount val="8"/>
                <c:pt idx="0">
                  <c:v>277.31395666999998</c:v>
                </c:pt>
                <c:pt idx="1">
                  <c:v>240.77099999999999</c:v>
                </c:pt>
                <c:pt idx="2">
                  <c:v>207.93100000000001</c:v>
                </c:pt>
                <c:pt idx="3">
                  <c:v>90.608000000000004</c:v>
                </c:pt>
                <c:pt idx="4">
                  <c:v>149.52699999999999</c:v>
                </c:pt>
                <c:pt idx="5">
                  <c:v>63.869</c:v>
                </c:pt>
                <c:pt idx="6">
                  <c:v>29.623999999999999</c:v>
                </c:pt>
                <c:pt idx="7">
                  <c:v>30.768999999999998</c:v>
                </c:pt>
              </c:numCache>
            </c:numRef>
          </c:val>
          <c:extLst>
            <c:ext xmlns:c16="http://schemas.microsoft.com/office/drawing/2014/chart" uri="{C3380CC4-5D6E-409C-BE32-E72D297353CC}">
              <c16:uniqueId val="{00000000-FE85-4B2E-BCE4-120ACC7D63DB}"/>
            </c:ext>
          </c:extLst>
        </c:ser>
        <c:ser>
          <c:idx val="1"/>
          <c:order val="1"/>
          <c:tx>
            <c:strRef>
              <c:f>'Total States'!$C$107</c:f>
              <c:strCache>
                <c:ptCount val="1"/>
                <c:pt idx="0">
                  <c:v>Arts</c:v>
                </c:pt>
              </c:strCache>
            </c:strRef>
          </c:tx>
          <c:spPr>
            <a:solidFill>
              <a:srgbClr val="0F293A"/>
            </a:solidFill>
            <a:ln>
              <a:solidFill>
                <a:srgbClr val="0F293A"/>
              </a:solidFill>
            </a:ln>
            <a:effectLst/>
          </c:spPr>
          <c:invertIfNegative val="0"/>
          <c:cat>
            <c:strRef>
              <c:f>'Total States'!$A$108:$A$115</c:f>
              <c:strCache>
                <c:ptCount val="8"/>
                <c:pt idx="0">
                  <c:v>NSW</c:v>
                </c:pt>
                <c:pt idx="1">
                  <c:v>Vic.</c:v>
                </c:pt>
                <c:pt idx="2">
                  <c:v>Qld</c:v>
                </c:pt>
                <c:pt idx="3">
                  <c:v>SA</c:v>
                </c:pt>
                <c:pt idx="4">
                  <c:v>WA</c:v>
                </c:pt>
                <c:pt idx="5">
                  <c:v>Tas.</c:v>
                </c:pt>
                <c:pt idx="6">
                  <c:v>NT</c:v>
                </c:pt>
                <c:pt idx="7">
                  <c:v>ACT</c:v>
                </c:pt>
              </c:strCache>
            </c:strRef>
          </c:cat>
          <c:val>
            <c:numRef>
              <c:f>'Total States'!$C$108:$C$115</c:f>
              <c:numCache>
                <c:formatCode>0.0</c:formatCode>
                <c:ptCount val="8"/>
                <c:pt idx="0">
                  <c:v>170.31399999999999</c:v>
                </c:pt>
                <c:pt idx="1">
                  <c:v>227.84700000000001</c:v>
                </c:pt>
                <c:pt idx="2">
                  <c:v>165.96</c:v>
                </c:pt>
                <c:pt idx="3">
                  <c:v>108.233</c:v>
                </c:pt>
                <c:pt idx="4">
                  <c:v>109.271</c:v>
                </c:pt>
                <c:pt idx="5">
                  <c:v>20.382000000000001</c:v>
                </c:pt>
                <c:pt idx="6">
                  <c:v>37.372</c:v>
                </c:pt>
                <c:pt idx="7">
                  <c:v>39.130000000000003</c:v>
                </c:pt>
              </c:numCache>
            </c:numRef>
          </c:val>
          <c:extLst>
            <c:ext xmlns:c16="http://schemas.microsoft.com/office/drawing/2014/chart" uri="{C3380CC4-5D6E-409C-BE32-E72D297353CC}">
              <c16:uniqueId val="{00000001-FE85-4B2E-BCE4-120ACC7D63DB}"/>
            </c:ext>
          </c:extLst>
        </c:ser>
        <c:ser>
          <c:idx val="2"/>
          <c:order val="2"/>
          <c:tx>
            <c:strRef>
              <c:f>'Total States'!$D$107</c:f>
              <c:strCache>
                <c:ptCount val="1"/>
                <c:pt idx="0">
                  <c:v>Total</c:v>
                </c:pt>
              </c:strCache>
            </c:strRef>
          </c:tx>
          <c:spPr>
            <a:solidFill>
              <a:srgbClr val="513AC4"/>
            </a:solidFill>
            <a:ln>
              <a:solidFill>
                <a:srgbClr val="513AC4"/>
              </a:solidFill>
            </a:ln>
            <a:effectLst/>
          </c:spPr>
          <c:invertIfNegative val="0"/>
          <c:cat>
            <c:strRef>
              <c:f>'Total States'!$A$108:$A$115</c:f>
              <c:strCache>
                <c:ptCount val="8"/>
                <c:pt idx="0">
                  <c:v>NSW</c:v>
                </c:pt>
                <c:pt idx="1">
                  <c:v>Vic.</c:v>
                </c:pt>
                <c:pt idx="2">
                  <c:v>Qld</c:v>
                </c:pt>
                <c:pt idx="3">
                  <c:v>SA</c:v>
                </c:pt>
                <c:pt idx="4">
                  <c:v>WA</c:v>
                </c:pt>
                <c:pt idx="5">
                  <c:v>Tas.</c:v>
                </c:pt>
                <c:pt idx="6">
                  <c:v>NT</c:v>
                </c:pt>
                <c:pt idx="7">
                  <c:v>ACT</c:v>
                </c:pt>
              </c:strCache>
            </c:strRef>
          </c:cat>
          <c:val>
            <c:numRef>
              <c:f>'Total States'!$D$108:$D$115</c:f>
              <c:numCache>
                <c:formatCode>#,##0.0</c:formatCode>
                <c:ptCount val="8"/>
                <c:pt idx="0">
                  <c:v>447.62795667</c:v>
                </c:pt>
                <c:pt idx="1">
                  <c:v>503.78800000000001</c:v>
                </c:pt>
                <c:pt idx="2">
                  <c:v>373.89100000000002</c:v>
                </c:pt>
                <c:pt idx="3">
                  <c:v>206.40600000000001</c:v>
                </c:pt>
                <c:pt idx="4">
                  <c:v>258.798</c:v>
                </c:pt>
                <c:pt idx="5">
                  <c:v>88.531000000000006</c:v>
                </c:pt>
                <c:pt idx="6">
                  <c:v>66.995999999999995</c:v>
                </c:pt>
                <c:pt idx="7">
                  <c:v>73.031103000000002</c:v>
                </c:pt>
              </c:numCache>
            </c:numRef>
          </c:val>
          <c:extLst>
            <c:ext xmlns:c16="http://schemas.microsoft.com/office/drawing/2014/chart" uri="{C3380CC4-5D6E-409C-BE32-E72D297353CC}">
              <c16:uniqueId val="{00000002-FE85-4B2E-BCE4-120ACC7D63DB}"/>
            </c:ext>
          </c:extLst>
        </c:ser>
        <c:dLbls>
          <c:showLegendKey val="0"/>
          <c:showVal val="0"/>
          <c:showCatName val="0"/>
          <c:showSerName val="0"/>
          <c:showPercent val="0"/>
          <c:showBubbleSize val="0"/>
        </c:dLbls>
        <c:gapWidth val="100"/>
        <c:overlap val="-10"/>
        <c:axId val="222672000"/>
        <c:axId val="222673536"/>
      </c:barChart>
      <c:catAx>
        <c:axId val="222672000"/>
        <c:scaling>
          <c:orientation val="minMax"/>
        </c:scaling>
        <c:delete val="0"/>
        <c:axPos val="b"/>
        <c:numFmt formatCode="General" sourceLinked="1"/>
        <c:majorTickMark val="none"/>
        <c:minorTickMark val="none"/>
        <c:tickLblPos val="nextTo"/>
        <c:spPr>
          <a:noFill/>
          <a:ln w="9525" cap="flat" cmpd="sng" algn="ctr">
            <a:solidFill>
              <a:srgbClr val="646464"/>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2673536"/>
        <c:crosses val="autoZero"/>
        <c:auto val="1"/>
        <c:lblAlgn val="ctr"/>
        <c:lblOffset val="100"/>
        <c:noMultiLvlLbl val="0"/>
      </c:catAx>
      <c:valAx>
        <c:axId val="222673536"/>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800" b="0" i="0" u="none" strike="noStrike" kern="1200" baseline="0">
                    <a:solidFill>
                      <a:schemeClr val="tx1"/>
                    </a:solidFill>
                    <a:latin typeface="+mn-lt"/>
                    <a:ea typeface="+mn-ea"/>
                    <a:cs typeface="+mn-cs"/>
                  </a:defRPr>
                </a:pPr>
                <a:r>
                  <a:rPr lang="en-AU"/>
                  <a:t>$m</a:t>
                </a:r>
              </a:p>
            </c:rich>
          </c:tx>
          <c:layout>
            <c:manualLayout>
              <c:xMode val="edge"/>
              <c:yMode val="edge"/>
              <c:x val="1.1915397301565945E-2"/>
              <c:y val="1.271981627296586E-2"/>
            </c:manualLayout>
          </c:layout>
          <c:overlay val="0"/>
          <c:spPr>
            <a:noFill/>
            <a:ln>
              <a:noFill/>
            </a:ln>
            <a:effectLst/>
          </c:spPr>
          <c:txPr>
            <a:bodyPr rot="0" spcFirstLastPara="1" vertOverflow="ellipsis" wrap="square" anchor="t" anchorCtr="0"/>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rgbClr val="646464"/>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2672000"/>
        <c:crosses val="autoZero"/>
        <c:crossBetween val="between"/>
      </c:valAx>
      <c:spPr>
        <a:noFill/>
        <a:ln>
          <a:noFill/>
        </a:ln>
        <a:effectLst/>
      </c:spPr>
    </c:plotArea>
    <c:legend>
      <c:legendPos val="tr"/>
      <c:layout>
        <c:manualLayout>
          <c:xMode val="edge"/>
          <c:yMode val="edge"/>
          <c:x val="0.82570044172265944"/>
          <c:y val="0.16267062555343662"/>
          <c:w val="0.15110665388534239"/>
          <c:h val="0.218636045759511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04133760936596E-2"/>
          <c:y val="0.10801062711197798"/>
          <c:w val="0.92060062315153779"/>
          <c:h val="0.79424832312627591"/>
        </c:manualLayout>
      </c:layout>
      <c:barChart>
        <c:barDir val="col"/>
        <c:grouping val="clustered"/>
        <c:varyColors val="0"/>
        <c:ser>
          <c:idx val="0"/>
          <c:order val="0"/>
          <c:tx>
            <c:strRef>
              <c:f>'Total States 2019-20'!$B$121</c:f>
              <c:strCache>
                <c:ptCount val="1"/>
                <c:pt idx="0">
                  <c:v>Heritage</c:v>
                </c:pt>
              </c:strCache>
            </c:strRef>
          </c:tx>
          <c:spPr>
            <a:solidFill>
              <a:srgbClr val="646464"/>
            </a:solidFill>
            <a:ln>
              <a:solidFill>
                <a:srgbClr val="646464"/>
              </a:solidFill>
            </a:ln>
            <a:effectLst/>
          </c:spPr>
          <c:invertIfNegative val="0"/>
          <c:cat>
            <c:strRef>
              <c:f>'Total States 2019-20'!$A$122:$A$129</c:f>
              <c:strCache>
                <c:ptCount val="8"/>
                <c:pt idx="0">
                  <c:v>NSW</c:v>
                </c:pt>
                <c:pt idx="1">
                  <c:v>Vic.</c:v>
                </c:pt>
                <c:pt idx="2">
                  <c:v>Qld</c:v>
                </c:pt>
                <c:pt idx="3">
                  <c:v>SA</c:v>
                </c:pt>
                <c:pt idx="4">
                  <c:v>WA</c:v>
                </c:pt>
                <c:pt idx="5">
                  <c:v>Tas.</c:v>
                </c:pt>
                <c:pt idx="6">
                  <c:v>NT</c:v>
                </c:pt>
                <c:pt idx="7">
                  <c:v>ACT</c:v>
                </c:pt>
              </c:strCache>
            </c:strRef>
          </c:cat>
          <c:val>
            <c:numRef>
              <c:f>'Total States 2019-20'!$B$122:$B$129</c:f>
              <c:numCache>
                <c:formatCode>0.0</c:formatCode>
                <c:ptCount val="8"/>
                <c:pt idx="0">
                  <c:v>178.24</c:v>
                </c:pt>
                <c:pt idx="1">
                  <c:v>22.027999999999999</c:v>
                </c:pt>
                <c:pt idx="2">
                  <c:v>45.21</c:v>
                </c:pt>
                <c:pt idx="3">
                  <c:v>0.94399999999999995</c:v>
                </c:pt>
                <c:pt idx="4">
                  <c:v>107.788</c:v>
                </c:pt>
                <c:pt idx="5">
                  <c:v>1.573</c:v>
                </c:pt>
                <c:pt idx="6">
                  <c:v>7.48</c:v>
                </c:pt>
                <c:pt idx="7">
                  <c:v>4.3609999999999998</c:v>
                </c:pt>
              </c:numCache>
            </c:numRef>
          </c:val>
          <c:extLst>
            <c:ext xmlns:c16="http://schemas.microsoft.com/office/drawing/2014/chart" uri="{C3380CC4-5D6E-409C-BE32-E72D297353CC}">
              <c16:uniqueId val="{00000000-D5BF-418B-9C18-4630ED5CADBE}"/>
            </c:ext>
          </c:extLst>
        </c:ser>
        <c:ser>
          <c:idx val="1"/>
          <c:order val="1"/>
          <c:tx>
            <c:strRef>
              <c:f>'Total States 2019-20'!$C$121</c:f>
              <c:strCache>
                <c:ptCount val="1"/>
                <c:pt idx="0">
                  <c:v>Arts</c:v>
                </c:pt>
              </c:strCache>
            </c:strRef>
          </c:tx>
          <c:spPr>
            <a:solidFill>
              <a:srgbClr val="0F293A"/>
            </a:solidFill>
            <a:ln>
              <a:solidFill>
                <a:srgbClr val="0F293A"/>
              </a:solidFill>
            </a:ln>
            <a:effectLst/>
          </c:spPr>
          <c:invertIfNegative val="0"/>
          <c:cat>
            <c:strRef>
              <c:f>'Total States 2019-20'!$A$122:$A$129</c:f>
              <c:strCache>
                <c:ptCount val="8"/>
                <c:pt idx="0">
                  <c:v>NSW</c:v>
                </c:pt>
                <c:pt idx="1">
                  <c:v>Vic.</c:v>
                </c:pt>
                <c:pt idx="2">
                  <c:v>Qld</c:v>
                </c:pt>
                <c:pt idx="3">
                  <c:v>SA</c:v>
                </c:pt>
                <c:pt idx="4">
                  <c:v>WA</c:v>
                </c:pt>
                <c:pt idx="5">
                  <c:v>Tas.</c:v>
                </c:pt>
                <c:pt idx="6">
                  <c:v>NT</c:v>
                </c:pt>
                <c:pt idx="7">
                  <c:v>ACT</c:v>
                </c:pt>
              </c:strCache>
            </c:strRef>
          </c:cat>
          <c:val>
            <c:numRef>
              <c:f>'Total States 2019-20'!$C$122:$C$129</c:f>
              <c:numCache>
                <c:formatCode>0.0</c:formatCode>
                <c:ptCount val="8"/>
                <c:pt idx="0">
                  <c:v>173.55099999999999</c:v>
                </c:pt>
                <c:pt idx="1">
                  <c:v>61.521999999999998</c:v>
                </c:pt>
                <c:pt idx="2">
                  <c:v>31.123000000000001</c:v>
                </c:pt>
                <c:pt idx="3">
                  <c:v>31.962</c:v>
                </c:pt>
                <c:pt idx="4">
                  <c:v>9.06</c:v>
                </c:pt>
                <c:pt idx="5">
                  <c:v>9.032</c:v>
                </c:pt>
                <c:pt idx="6">
                  <c:v>1.4870000000000001</c:v>
                </c:pt>
                <c:pt idx="7">
                  <c:v>12.055999999999999</c:v>
                </c:pt>
              </c:numCache>
            </c:numRef>
          </c:val>
          <c:extLst>
            <c:ext xmlns:c16="http://schemas.microsoft.com/office/drawing/2014/chart" uri="{C3380CC4-5D6E-409C-BE32-E72D297353CC}">
              <c16:uniqueId val="{00000001-D5BF-418B-9C18-4630ED5CADBE}"/>
            </c:ext>
          </c:extLst>
        </c:ser>
        <c:ser>
          <c:idx val="2"/>
          <c:order val="2"/>
          <c:tx>
            <c:strRef>
              <c:f>'Total States 2019-20'!$D$121</c:f>
              <c:strCache>
                <c:ptCount val="1"/>
                <c:pt idx="0">
                  <c:v>Total</c:v>
                </c:pt>
              </c:strCache>
            </c:strRef>
          </c:tx>
          <c:spPr>
            <a:solidFill>
              <a:srgbClr val="513AC4"/>
            </a:solidFill>
            <a:ln>
              <a:solidFill>
                <a:srgbClr val="513AC4"/>
              </a:solidFill>
            </a:ln>
            <a:effectLst/>
          </c:spPr>
          <c:invertIfNegative val="0"/>
          <c:cat>
            <c:strRef>
              <c:f>'Total States 2019-20'!$A$122:$A$129</c:f>
              <c:strCache>
                <c:ptCount val="8"/>
                <c:pt idx="0">
                  <c:v>NSW</c:v>
                </c:pt>
                <c:pt idx="1">
                  <c:v>Vic.</c:v>
                </c:pt>
                <c:pt idx="2">
                  <c:v>Qld</c:v>
                </c:pt>
                <c:pt idx="3">
                  <c:v>SA</c:v>
                </c:pt>
                <c:pt idx="4">
                  <c:v>WA</c:v>
                </c:pt>
                <c:pt idx="5">
                  <c:v>Tas.</c:v>
                </c:pt>
                <c:pt idx="6">
                  <c:v>NT</c:v>
                </c:pt>
                <c:pt idx="7">
                  <c:v>ACT</c:v>
                </c:pt>
              </c:strCache>
            </c:strRef>
          </c:cat>
          <c:val>
            <c:numRef>
              <c:f>'Total States 2019-20'!$D$122:$D$129</c:f>
              <c:numCache>
                <c:formatCode>0.0</c:formatCode>
                <c:ptCount val="8"/>
                <c:pt idx="0">
                  <c:v>351.791</c:v>
                </c:pt>
                <c:pt idx="1">
                  <c:v>83.55</c:v>
                </c:pt>
                <c:pt idx="2">
                  <c:v>76.332999999999998</c:v>
                </c:pt>
                <c:pt idx="3">
                  <c:v>32.905999999999999</c:v>
                </c:pt>
                <c:pt idx="4">
                  <c:v>116.848</c:v>
                </c:pt>
                <c:pt idx="5">
                  <c:v>10.605</c:v>
                </c:pt>
                <c:pt idx="6">
                  <c:v>8.9670000000000005</c:v>
                </c:pt>
                <c:pt idx="7">
                  <c:v>16.417000000000002</c:v>
                </c:pt>
              </c:numCache>
            </c:numRef>
          </c:val>
          <c:extLst>
            <c:ext xmlns:c16="http://schemas.microsoft.com/office/drawing/2014/chart" uri="{C3380CC4-5D6E-409C-BE32-E72D297353CC}">
              <c16:uniqueId val="{00000002-D5BF-418B-9C18-4630ED5CADBE}"/>
            </c:ext>
          </c:extLst>
        </c:ser>
        <c:dLbls>
          <c:showLegendKey val="0"/>
          <c:showVal val="0"/>
          <c:showCatName val="0"/>
          <c:showSerName val="0"/>
          <c:showPercent val="0"/>
          <c:showBubbleSize val="0"/>
        </c:dLbls>
        <c:gapWidth val="100"/>
        <c:overlap val="-10"/>
        <c:axId val="226605312"/>
        <c:axId val="226607104"/>
      </c:barChart>
      <c:catAx>
        <c:axId val="226605312"/>
        <c:scaling>
          <c:orientation val="minMax"/>
        </c:scaling>
        <c:delete val="0"/>
        <c:axPos val="b"/>
        <c:numFmt formatCode="General" sourceLinked="1"/>
        <c:majorTickMark val="none"/>
        <c:minorTickMark val="none"/>
        <c:tickLblPos val="nextTo"/>
        <c:spPr>
          <a:noFill/>
          <a:ln w="9525" cap="flat" cmpd="sng" algn="ctr">
            <a:solidFill>
              <a:srgbClr val="646464"/>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6607104"/>
        <c:crosses val="autoZero"/>
        <c:auto val="1"/>
        <c:lblAlgn val="ctr"/>
        <c:lblOffset val="100"/>
        <c:noMultiLvlLbl val="0"/>
      </c:catAx>
      <c:valAx>
        <c:axId val="226607104"/>
        <c:scaling>
          <c:orientation val="minMax"/>
          <c:max val="4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800" b="0" i="0" u="none" strike="noStrike" kern="1200" baseline="0">
                    <a:solidFill>
                      <a:schemeClr val="tx1"/>
                    </a:solidFill>
                    <a:latin typeface="+mn-lt"/>
                    <a:ea typeface="+mn-ea"/>
                    <a:cs typeface="+mn-cs"/>
                  </a:defRPr>
                </a:pPr>
                <a:r>
                  <a:rPr lang="en-AU"/>
                  <a:t>$m</a:t>
                </a:r>
              </a:p>
            </c:rich>
          </c:tx>
          <c:layout>
            <c:manualLayout>
              <c:xMode val="edge"/>
              <c:yMode val="edge"/>
              <c:x val="1.1915397301565945E-2"/>
              <c:y val="1.271981627296586E-2"/>
            </c:manualLayout>
          </c:layout>
          <c:overlay val="0"/>
          <c:spPr>
            <a:noFill/>
            <a:ln>
              <a:noFill/>
            </a:ln>
            <a:effectLst/>
          </c:spPr>
          <c:txPr>
            <a:bodyPr rot="0" spcFirstLastPara="1" vertOverflow="ellipsis" wrap="square" anchor="t" anchorCtr="0"/>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rgbClr val="646464"/>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26605312"/>
        <c:crosses val="autoZero"/>
        <c:crossBetween val="between"/>
      </c:valAx>
      <c:spPr>
        <a:noFill/>
        <a:ln>
          <a:noFill/>
        </a:ln>
        <a:effectLst/>
      </c:spPr>
    </c:plotArea>
    <c:legend>
      <c:legendPos val="tr"/>
      <c:layout>
        <c:manualLayout>
          <c:xMode val="edge"/>
          <c:yMode val="edge"/>
          <c:x val="0.77551214896421206"/>
          <c:y val="0.11174777508306712"/>
          <c:w val="0.15110665388534239"/>
          <c:h val="0.1656102021786217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oCA">
      <a:dk1>
        <a:srgbClr val="000000"/>
      </a:dk1>
      <a:lt1>
        <a:srgbClr val="FFFFFF"/>
      </a:lt1>
      <a:dk2>
        <a:srgbClr val="155589"/>
      </a:dk2>
      <a:lt2>
        <a:srgbClr val="E4E4E4"/>
      </a:lt2>
      <a:accent1>
        <a:srgbClr val="77D1F5"/>
      </a:accent1>
      <a:accent2>
        <a:srgbClr val="4EB2B5"/>
      </a:accent2>
      <a:accent3>
        <a:srgbClr val="959ACD"/>
      </a:accent3>
      <a:accent4>
        <a:srgbClr val="1177AD"/>
      </a:accent4>
      <a:accent5>
        <a:srgbClr val="BADB98"/>
      </a:accent5>
      <a:accent6>
        <a:srgbClr val="626E81"/>
      </a:accent6>
      <a:hlink>
        <a:srgbClr val="155589"/>
      </a:hlink>
      <a:folHlink>
        <a:srgbClr val="155589"/>
      </a:folHlink>
    </a:clrScheme>
    <a:fontScheme name="DoCA">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8DFF0E8D596C459BF6924D447E3E9E" ma:contentTypeVersion="0" ma:contentTypeDescription="Create a new document." ma:contentTypeScope="" ma:versionID="bb3dd3da83ee067048d483c7eaa6ef8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2A4504-C9CB-453C-8761-1105EED3AE2B}">
  <ds:schemaRefs>
    <ds:schemaRef ds:uri="http://schemas.microsoft.com/sharepoint/v3/contenttype/forms"/>
  </ds:schemaRefs>
</ds:datastoreItem>
</file>

<file path=customXml/itemProps2.xml><?xml version="1.0" encoding="utf-8"?>
<ds:datastoreItem xmlns:ds="http://schemas.openxmlformats.org/officeDocument/2006/customXml" ds:itemID="{6341CC56-E6C3-4D29-BCD7-A348BAABA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A4C6C4D-A819-48C5-AF4C-3AE2797AF4E6}">
  <ds:schemaRefs>
    <ds:schemaRef ds:uri="http://schemas.openxmlformats.org/officeDocument/2006/bibliography"/>
  </ds:schemaRefs>
</ds:datastoreItem>
</file>

<file path=customXml/itemProps4.xml><?xml version="1.0" encoding="utf-8"?>
<ds:datastoreItem xmlns:ds="http://schemas.openxmlformats.org/officeDocument/2006/customXml" ds:itemID="{846A7B9E-5BD0-4F63-8F8D-1187124C6A1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Cultural Funding by Government—2017-18—state and territory government</vt:lpstr>
    </vt:vector>
  </TitlesOfParts>
  <Company>Department of Communications and the Arts</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Funding by Government—2017-18—state and territory government</dc:title>
  <dc:subject/>
  <dc:creator>Department of Communications and the Arts</dc:creator>
  <cp:keywords/>
  <dc:description>22 November 2018</dc:description>
  <cp:lastModifiedBy>Tammie Butterick</cp:lastModifiedBy>
  <cp:revision>9</cp:revision>
  <cp:lastPrinted>2021-06-20T23:07:00Z</cp:lastPrinted>
  <dcterms:created xsi:type="dcterms:W3CDTF">2021-07-24T11:04:00Z</dcterms:created>
  <dcterms:modified xsi:type="dcterms:W3CDTF">2021-07-25T05:36:00Z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0x010100878DFF0E8D596C459BF6924D447E3E9E</vt:lpwstr>
  </property>
  <property fmtid="{D5CDD505-2E9C-101B-9397-08002B2CF9AE}" pid="3" name="TrimRevisionNumber">
    <vt:i4>15</vt:i4>
  </property>
  <property fmtid="{D5CDD505-2E9C-101B-9397-08002B2CF9AE}" pid="4" name="MSIP_Label_c8e5a7ee-c283-40b0-98eb-fa437df4c031_Enabled">
    <vt:lpwstr>true</vt:lpwstr>
  </property>
  <property fmtid="{D5CDD505-2E9C-101B-9397-08002B2CF9AE}" pid="5" name="MSIP_Label_c8e5a7ee-c283-40b0-98eb-fa437df4c031_SetDate">
    <vt:lpwstr>2021-06-21T02:32:33Z</vt:lpwstr>
  </property>
  <property fmtid="{D5CDD505-2E9C-101B-9397-08002B2CF9AE}" pid="6" name="MSIP_Label_c8e5a7ee-c283-40b0-98eb-fa437df4c031_Method">
    <vt:lpwstr>Privileged</vt:lpwstr>
  </property>
  <property fmtid="{D5CDD505-2E9C-101B-9397-08002B2CF9AE}" pid="7" name="MSIP_Label_c8e5a7ee-c283-40b0-98eb-fa437df4c031_Name">
    <vt:lpwstr>OFFICIAL</vt:lpwstr>
  </property>
  <property fmtid="{D5CDD505-2E9C-101B-9397-08002B2CF9AE}" pid="8" name="MSIP_Label_c8e5a7ee-c283-40b0-98eb-fa437df4c031_SiteId">
    <vt:lpwstr>34cdb737-c4fa-4c21-9a34-88ac2d721f88</vt:lpwstr>
  </property>
  <property fmtid="{D5CDD505-2E9C-101B-9397-08002B2CF9AE}" pid="9" name="MSIP_Label_c8e5a7ee-c283-40b0-98eb-fa437df4c031_ActionId">
    <vt:lpwstr>cef4a32c-15b8-426f-8aea-59a26f937793</vt:lpwstr>
  </property>
  <property fmtid="{D5CDD505-2E9C-101B-9397-08002B2CF9AE}" pid="10" name="MSIP_Label_c8e5a7ee-c283-40b0-98eb-fa437df4c031_ContentBits">
    <vt:lpwstr>0</vt:lpwstr>
  </property>
</Properties>
</file>