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25D03" w14:textId="77777777" w:rsidR="0094124E" w:rsidRDefault="00477982" w:rsidP="0094124E">
      <w:pPr>
        <w:ind w:left="-1418"/>
      </w:pPr>
      <w:r w:rsidRPr="002E718B">
        <w:rPr>
          <w:noProof/>
          <w:lang w:eastAsia="en-AU"/>
        </w:rPr>
        <w:drawing>
          <wp:inline distT="0" distB="0" distL="0" distR="0" wp14:anchorId="0FF25D29" wp14:editId="0FF25D2A">
            <wp:extent cx="7560000" cy="1397710"/>
            <wp:effectExtent l="0" t="0" r="3175" b="0"/>
            <wp:docPr id="2" name="Picture 2" descr="Header banner: Meeting of Cultural Ministers, Statistics working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m-header-banne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t="7699" r="1875" b="1833"/>
                    <a:stretch/>
                  </pic:blipFill>
                  <pic:spPr bwMode="auto">
                    <a:xfrm>
                      <a:off x="0" y="0"/>
                      <a:ext cx="7560000" cy="139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25D04" w14:textId="77777777" w:rsidR="00FC16F3" w:rsidRDefault="00FC16F3" w:rsidP="0094124E">
      <w:pPr>
        <w:ind w:left="-1418"/>
        <w:sectPr w:rsidR="00FC16F3" w:rsidSect="004779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0FF25D05" w14:textId="77777777" w:rsidR="002117E6" w:rsidRDefault="001D64AC" w:rsidP="00477982">
      <w:pPr>
        <w:pStyle w:val="Heading1"/>
      </w:pPr>
      <w:r>
        <w:t xml:space="preserve">Cultural Funding </w:t>
      </w:r>
      <w:bookmarkStart w:id="0" w:name="_GoBack"/>
      <w:r>
        <w:t xml:space="preserve">by </w:t>
      </w:r>
      <w:bookmarkEnd w:id="0"/>
      <w:r>
        <w:t xml:space="preserve">Government — </w:t>
      </w:r>
      <w:r w:rsidR="00862898">
        <w:t>2017–18</w:t>
      </w:r>
    </w:p>
    <w:p w14:paraId="0FF25D06" w14:textId="77777777" w:rsidR="00AF5FC0" w:rsidRDefault="005262D2" w:rsidP="00AF5FC0">
      <w:pPr>
        <w:pStyle w:val="Heading2"/>
      </w:pPr>
      <w:r>
        <w:rPr>
          <w:szCs w:val="36"/>
        </w:rPr>
        <w:t xml:space="preserve">South Australian </w:t>
      </w:r>
      <w:r w:rsidR="001D64AC" w:rsidRPr="00527D9C">
        <w:rPr>
          <w:szCs w:val="36"/>
        </w:rPr>
        <w:t>Government</w:t>
      </w:r>
    </w:p>
    <w:p w14:paraId="0FF25D07" w14:textId="77777777" w:rsidR="001D64AC" w:rsidRPr="00303AC1" w:rsidRDefault="001D64AC" w:rsidP="001D64AC">
      <w:r w:rsidRPr="00303AC1">
        <w:t xml:space="preserve">The estimate of expenditure funded by the </w:t>
      </w:r>
      <w:r w:rsidR="005262D2">
        <w:t>South Australian</w:t>
      </w:r>
      <w:r w:rsidRPr="00303AC1">
        <w:t xml:space="preserve"> Government in </w:t>
      </w:r>
      <w:r w:rsidR="00862898">
        <w:t>2017–18</w:t>
      </w:r>
      <w:r w:rsidRPr="00303AC1">
        <w:t xml:space="preserve"> for cultural activities was </w:t>
      </w:r>
      <w:r w:rsidRPr="00E92EB5">
        <w:rPr>
          <w:b/>
        </w:rPr>
        <w:t>$</w:t>
      </w:r>
      <w:r w:rsidR="005262D2">
        <w:rPr>
          <w:b/>
        </w:rPr>
        <w:t>253.7</w:t>
      </w:r>
      <w:r w:rsidRPr="00E92EB5">
        <w:rPr>
          <w:b/>
        </w:rPr>
        <w:t>m</w:t>
      </w:r>
      <w:r w:rsidRPr="00303AC1">
        <w:t>.</w:t>
      </w:r>
      <w:r w:rsidR="005377F7">
        <w:t xml:space="preserve"> This represented an increase of </w:t>
      </w:r>
      <w:r w:rsidR="00DF3729">
        <w:t>27</w:t>
      </w:r>
      <w:r w:rsidR="005377F7">
        <w:t>% or $</w:t>
      </w:r>
      <w:r w:rsidR="00DF3729">
        <w:t>53.2</w:t>
      </w:r>
      <w:r w:rsidR="002E2477">
        <w:t>m</w:t>
      </w:r>
      <w:r w:rsidR="005377F7">
        <w:t xml:space="preserve"> from 2016</w:t>
      </w:r>
      <w:r w:rsidR="000E2889">
        <w:t>–</w:t>
      </w:r>
      <w:r w:rsidR="005377F7">
        <w:t>17.</w:t>
      </w:r>
    </w:p>
    <w:p w14:paraId="0FF25D08" w14:textId="77777777" w:rsidR="001D64AC" w:rsidRDefault="0024033A" w:rsidP="001D64AC">
      <w:pPr>
        <w:pStyle w:val="Tablefigureheading"/>
      </w:pPr>
      <w:r>
        <w:t xml:space="preserve">Table — </w:t>
      </w:r>
      <w:r w:rsidR="005262D2">
        <w:t>S</w:t>
      </w:r>
      <w:r w:rsidR="000B455E">
        <w:t xml:space="preserve">outh </w:t>
      </w:r>
      <w:r w:rsidR="005262D2">
        <w:t>A</w:t>
      </w:r>
      <w:r w:rsidR="000B455E">
        <w:t>ustralian</w:t>
      </w:r>
      <w:r w:rsidR="00436F4C">
        <w:t xml:space="preserve"> Government </w:t>
      </w:r>
      <w:r w:rsidR="0082186E">
        <w:t>cultural expenditure</w:t>
      </w:r>
      <w:r w:rsidR="00436F4C">
        <w:t>, 2015</w:t>
      </w:r>
      <w:r w:rsidR="00862898">
        <w:t>–</w:t>
      </w:r>
      <w:r w:rsidR="00436F4C">
        <w:t xml:space="preserve">16 to </w:t>
      </w:r>
      <w:r w:rsidR="00862898">
        <w:t>2017–18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— South Australian Government cultural expenditure, 2015–16 to 2017–18."/>
      </w:tblPr>
      <w:tblGrid>
        <w:gridCol w:w="1276"/>
        <w:gridCol w:w="1985"/>
        <w:gridCol w:w="1984"/>
      </w:tblGrid>
      <w:tr w:rsidR="001D64AC" w14:paraId="0FF25D0C" w14:textId="77777777" w:rsidTr="00617049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0FF25D09" w14:textId="77777777" w:rsidR="001D64AC" w:rsidRDefault="001D64AC" w:rsidP="00617049">
            <w:pPr>
              <w:pStyle w:val="Tablerowcolumnheading"/>
            </w:pPr>
            <w:bookmarkStart w:id="1" w:name="RowTitle"/>
            <w:r>
              <w:t>2015–16</w:t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0FF25D0A" w14:textId="77777777" w:rsidR="001D64AC" w:rsidRDefault="001D64AC" w:rsidP="00617049">
            <w:pPr>
              <w:pStyle w:val="Tablerowcolumnheadingcentred"/>
            </w:pPr>
            <w:r>
              <w:t>2016–17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0FF25D0B" w14:textId="77777777" w:rsidR="001D64AC" w:rsidRDefault="001D64AC" w:rsidP="00617049">
            <w:pPr>
              <w:pStyle w:val="Tablerowcolumnheadingcentred"/>
            </w:pPr>
            <w:r>
              <w:t>2017–18</w:t>
            </w:r>
          </w:p>
        </w:tc>
      </w:tr>
      <w:bookmarkEnd w:id="1"/>
      <w:tr w:rsidR="001D64AC" w14:paraId="0FF25D10" w14:textId="77777777" w:rsidTr="00617049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FF25D0D" w14:textId="77777777" w:rsidR="001D64AC" w:rsidRPr="00303AC1" w:rsidRDefault="001D64AC" w:rsidP="00617049">
            <w:pPr>
              <w:pStyle w:val="Tabletext"/>
            </w:pPr>
            <w:r w:rsidRPr="00303AC1">
              <w:t>$</w:t>
            </w:r>
            <w:r w:rsidR="005262D2">
              <w:t>184.2</w:t>
            </w:r>
            <w:r w:rsidRPr="00303AC1"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FF25D0E" w14:textId="77777777" w:rsidR="001D64AC" w:rsidRPr="00303AC1" w:rsidRDefault="001D64AC" w:rsidP="00617049">
            <w:pPr>
              <w:pStyle w:val="Tabletextcentred"/>
            </w:pPr>
            <w:r w:rsidRPr="00303AC1">
              <w:t>$</w:t>
            </w:r>
            <w:r w:rsidR="005262D2">
              <w:t>200.5</w:t>
            </w:r>
            <w:r w:rsidRPr="00303AC1">
              <w:t>m ↑</w:t>
            </w:r>
            <w:r w:rsidR="00BA1263">
              <w:t xml:space="preserve"> </w:t>
            </w:r>
            <w:r w:rsidR="005262D2">
              <w:t>9</w:t>
            </w:r>
            <w:r w:rsidRPr="00303AC1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FF25D0F" w14:textId="77777777" w:rsidR="001D64AC" w:rsidRPr="00303AC1" w:rsidRDefault="001D64AC" w:rsidP="00617049">
            <w:pPr>
              <w:pStyle w:val="Tabletextcentred"/>
            </w:pPr>
            <w:r w:rsidRPr="00303AC1">
              <w:t>$</w:t>
            </w:r>
            <w:r w:rsidR="005262D2">
              <w:t>253.7</w:t>
            </w:r>
            <w:r w:rsidRPr="00303AC1">
              <w:t xml:space="preserve">m ↑ </w:t>
            </w:r>
            <w:r w:rsidR="00DF3729">
              <w:t>27</w:t>
            </w:r>
            <w:r w:rsidRPr="00303AC1">
              <w:t>%</w:t>
            </w:r>
          </w:p>
        </w:tc>
      </w:tr>
    </w:tbl>
    <w:p w14:paraId="0FF25D11" w14:textId="0706DA55" w:rsidR="00426F0B" w:rsidRDefault="00617049" w:rsidP="00862898">
      <w:pPr>
        <w:pStyle w:val="ListParagraph"/>
        <w:numPr>
          <w:ilvl w:val="0"/>
          <w:numId w:val="6"/>
        </w:numPr>
        <w:spacing w:before="120"/>
        <w:ind w:left="567" w:hanging="567"/>
      </w:pPr>
      <w:r>
        <w:br w:type="textWrapping" w:clear="all"/>
      </w:r>
      <w:r w:rsidR="001D64AC" w:rsidRPr="00303AC1">
        <w:t xml:space="preserve">Recurrent expenses accounted for </w:t>
      </w:r>
      <w:r w:rsidR="00B40560">
        <w:t>8</w:t>
      </w:r>
      <w:r w:rsidR="00DF3729">
        <w:t>1</w:t>
      </w:r>
      <w:r w:rsidR="001D64AC" w:rsidRPr="00303AC1">
        <w:t>% ($</w:t>
      </w:r>
      <w:r w:rsidR="00DF3729">
        <w:t>204.3</w:t>
      </w:r>
      <w:r w:rsidR="001D64AC" w:rsidRPr="00303AC1">
        <w:t xml:space="preserve">m) of funded cultural expenditure. </w:t>
      </w:r>
    </w:p>
    <w:p w14:paraId="0FF25D12" w14:textId="77777777" w:rsidR="00426F0B" w:rsidRDefault="001D64AC" w:rsidP="00862898">
      <w:pPr>
        <w:pStyle w:val="ListParagraph"/>
        <w:numPr>
          <w:ilvl w:val="0"/>
          <w:numId w:val="6"/>
        </w:numPr>
        <w:ind w:left="567" w:hanging="567"/>
      </w:pPr>
      <w:r w:rsidRPr="00303AC1">
        <w:t>Capital expenditure was $</w:t>
      </w:r>
      <w:r w:rsidR="00DF3729">
        <w:t>49.4</w:t>
      </w:r>
      <w:r w:rsidRPr="00303AC1">
        <w:t xml:space="preserve">m, and the largest two categories were </w:t>
      </w:r>
      <w:proofErr w:type="gramStart"/>
      <w:r w:rsidR="00DF3729" w:rsidRPr="00E92EB5">
        <w:rPr>
          <w:i/>
        </w:rPr>
        <w:t>Performing</w:t>
      </w:r>
      <w:proofErr w:type="gramEnd"/>
      <w:r w:rsidR="00DF3729" w:rsidRPr="00E92EB5">
        <w:rPr>
          <w:i/>
        </w:rPr>
        <w:t xml:space="preserve"> art venues</w:t>
      </w:r>
      <w:r w:rsidR="00DF3729" w:rsidRPr="00303AC1">
        <w:t xml:space="preserve"> </w:t>
      </w:r>
      <w:r w:rsidRPr="00303AC1">
        <w:t>($</w:t>
      </w:r>
      <w:r w:rsidR="00DF3729">
        <w:t>43.4</w:t>
      </w:r>
      <w:r w:rsidRPr="00303AC1">
        <w:t xml:space="preserve">m) and </w:t>
      </w:r>
      <w:r w:rsidR="0009659E">
        <w:rPr>
          <w:i/>
        </w:rPr>
        <w:t>Other museums and cultural heritage</w:t>
      </w:r>
      <w:r w:rsidR="0009659E" w:rsidRPr="00303AC1">
        <w:t xml:space="preserve"> </w:t>
      </w:r>
      <w:r w:rsidRPr="00303AC1">
        <w:t>($</w:t>
      </w:r>
      <w:r w:rsidR="00DF3729">
        <w:t>2.2</w:t>
      </w:r>
      <w:r w:rsidRPr="00303AC1">
        <w:t xml:space="preserve">m). </w:t>
      </w:r>
    </w:p>
    <w:p w14:paraId="0FF25D13" w14:textId="77777777" w:rsidR="00426F0B" w:rsidRDefault="00426F0B" w:rsidP="00862898">
      <w:pPr>
        <w:pStyle w:val="ListParagraph"/>
        <w:numPr>
          <w:ilvl w:val="0"/>
          <w:numId w:val="6"/>
        </w:numPr>
        <w:ind w:left="567" w:hanging="567"/>
      </w:pPr>
      <w:r w:rsidRPr="00303AC1">
        <w:t>The estimate of per person cultural funding was $</w:t>
      </w:r>
      <w:r w:rsidR="001031A7">
        <w:t>14</w:t>
      </w:r>
      <w:r w:rsidR="00A93B55">
        <w:t>6.78</w:t>
      </w:r>
      <w:r w:rsidR="005F5B41">
        <w:t>.</w:t>
      </w:r>
    </w:p>
    <w:p w14:paraId="0FF25D14" w14:textId="77777777" w:rsidR="00426F0B" w:rsidRDefault="001D64AC" w:rsidP="00426F0B">
      <w:r w:rsidRPr="000E398B">
        <w:t>Fund</w:t>
      </w:r>
      <w:r w:rsidR="00853423">
        <w:t>ing for</w:t>
      </w:r>
      <w:r w:rsidRPr="000E398B">
        <w:t xml:space="preserve"> </w:t>
      </w:r>
      <w:r w:rsidRPr="000E398B">
        <w:rPr>
          <w:i/>
        </w:rPr>
        <w:t>Heritage</w:t>
      </w:r>
      <w:r w:rsidRPr="000E398B">
        <w:t xml:space="preserve"> activities </w:t>
      </w:r>
      <w:r w:rsidR="00DF3729">
        <w:t xml:space="preserve">remained steady at $87.0m compared </w:t>
      </w:r>
      <w:r w:rsidR="00143419">
        <w:t>with</w:t>
      </w:r>
      <w:r w:rsidR="00DF3729">
        <w:t xml:space="preserve"> $86.6m in 2016</w:t>
      </w:r>
      <w:r w:rsidR="000E2889">
        <w:t>–</w:t>
      </w:r>
      <w:r w:rsidR="00DF3729">
        <w:t>17.</w:t>
      </w:r>
    </w:p>
    <w:p w14:paraId="0FF25D15" w14:textId="77777777" w:rsidR="00426F0B" w:rsidRPr="00303AC1" w:rsidRDefault="0009659E" w:rsidP="00426F0B">
      <w:r>
        <w:t>E</w:t>
      </w:r>
      <w:r w:rsidR="00426F0B" w:rsidRPr="00303AC1">
        <w:t xml:space="preserve">xpenditure on </w:t>
      </w:r>
      <w:r>
        <w:rPr>
          <w:i/>
        </w:rPr>
        <w:t>Libraries</w:t>
      </w:r>
      <w:r>
        <w:t xml:space="preserve"> rose by $1.4m, </w:t>
      </w:r>
      <w:r w:rsidR="00426F0B" w:rsidRPr="00303AC1">
        <w:t>offset by a fall in</w:t>
      </w:r>
      <w:r>
        <w:t xml:space="preserve"> </w:t>
      </w:r>
      <w:r w:rsidRPr="00D47936">
        <w:rPr>
          <w:i/>
        </w:rPr>
        <w:t xml:space="preserve">Art </w:t>
      </w:r>
      <w:r w:rsidR="001A36F9">
        <w:rPr>
          <w:i/>
        </w:rPr>
        <w:t>m</w:t>
      </w:r>
      <w:r w:rsidRPr="00D47936">
        <w:rPr>
          <w:i/>
        </w:rPr>
        <w:t>useums</w:t>
      </w:r>
      <w:r w:rsidRPr="00303AC1">
        <w:t xml:space="preserve"> (</w:t>
      </w:r>
      <w:r w:rsidR="00426F0B" w:rsidRPr="00303AC1">
        <w:t>↓$</w:t>
      </w:r>
      <w:r>
        <w:t>1.0</w:t>
      </w:r>
      <w:r w:rsidR="00426F0B" w:rsidRPr="00303AC1">
        <w:t>m).</w:t>
      </w:r>
    </w:p>
    <w:p w14:paraId="0FF25D16" w14:textId="77777777" w:rsidR="001D64AC" w:rsidRDefault="00426F0B" w:rsidP="00426F0B">
      <w:r w:rsidRPr="007312EE">
        <w:t xml:space="preserve">The largest categories </w:t>
      </w:r>
      <w:r w:rsidRPr="00303AC1">
        <w:t xml:space="preserve">of </w:t>
      </w:r>
      <w:r w:rsidRPr="00E92EB5">
        <w:rPr>
          <w:i/>
        </w:rPr>
        <w:t>Heritage</w:t>
      </w:r>
      <w:r w:rsidRPr="00303AC1">
        <w:t xml:space="preserve"> expenditure were </w:t>
      </w:r>
      <w:r w:rsidR="0009659E">
        <w:rPr>
          <w:i/>
        </w:rPr>
        <w:t>Libraries</w:t>
      </w:r>
      <w:r w:rsidR="0009659E" w:rsidRPr="00303AC1">
        <w:t xml:space="preserve"> </w:t>
      </w:r>
      <w:r w:rsidRPr="00303AC1">
        <w:t>with $</w:t>
      </w:r>
      <w:r w:rsidR="0009659E">
        <w:t>37.7</w:t>
      </w:r>
      <w:r w:rsidRPr="00303AC1">
        <w:t>m</w:t>
      </w:r>
      <w:r w:rsidR="00D47936">
        <w:t xml:space="preserve"> </w:t>
      </w:r>
      <w:r w:rsidRPr="00303AC1">
        <w:t xml:space="preserve">followed by </w:t>
      </w:r>
      <w:proofErr w:type="gramStart"/>
      <w:r w:rsidR="0009659E">
        <w:rPr>
          <w:i/>
        </w:rPr>
        <w:t>Other</w:t>
      </w:r>
      <w:proofErr w:type="gramEnd"/>
      <w:r w:rsidR="0009659E">
        <w:rPr>
          <w:i/>
        </w:rPr>
        <w:t xml:space="preserve"> museums and cultural heritage</w:t>
      </w:r>
      <w:r w:rsidR="007312EE" w:rsidRPr="00303AC1">
        <w:t xml:space="preserve"> </w:t>
      </w:r>
      <w:r w:rsidRPr="00303AC1">
        <w:t>with $</w:t>
      </w:r>
      <w:r w:rsidR="0009659E">
        <w:t>29.2</w:t>
      </w:r>
      <w:r w:rsidRPr="00303AC1">
        <w:t>m.</w:t>
      </w:r>
      <w:r w:rsidR="00D47936">
        <w:t xml:space="preserve"> </w:t>
      </w:r>
    </w:p>
    <w:p w14:paraId="0FF25D17" w14:textId="77777777" w:rsidR="001D64AC" w:rsidRDefault="001D64AC" w:rsidP="001D64AC">
      <w:pPr>
        <w:pStyle w:val="Tablefigureheading"/>
      </w:pPr>
      <w:bookmarkStart w:id="2" w:name="_Toc524533023"/>
      <w:r w:rsidRPr="00303AC1">
        <w:t xml:space="preserve">Figure 1. </w:t>
      </w:r>
      <w:r w:rsidR="005262D2">
        <w:t>S</w:t>
      </w:r>
      <w:r w:rsidR="00472E85">
        <w:t xml:space="preserve">outh </w:t>
      </w:r>
      <w:r w:rsidR="005262D2">
        <w:t>A</w:t>
      </w:r>
      <w:r w:rsidR="00472E85">
        <w:t>ustralian</w:t>
      </w:r>
      <w:r w:rsidRPr="00303AC1">
        <w:t xml:space="preserve"> Government heritage expenditure</w:t>
      </w:r>
      <w:bookmarkEnd w:id="2"/>
    </w:p>
    <w:p w14:paraId="0FF25D18" w14:textId="77777777" w:rsidR="0085752F" w:rsidRPr="0085752F" w:rsidRDefault="00727C22" w:rsidP="0085752F">
      <w:pPr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0FF25D2B" wp14:editId="0FF25D2C">
            <wp:extent cx="4495800" cy="2644140"/>
            <wp:effectExtent l="0" t="0" r="0" b="3810"/>
            <wp:docPr id="1" name="Picture 1" descr="Figure 1. South Australian Government heritage expenditure.&#10;&#10;A column graph compares expenditure across the heritage categories of Art museums, Other museums and cultural heritage, Libraries and Archives between the financial years of 2015-16, 2016-17 and 2017-18 for South Australian Government." title="Figure 1. South Australian Government heritage expend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5D19" w14:textId="77777777" w:rsidR="00880D08" w:rsidRDefault="001D64AC" w:rsidP="001D64AC">
      <w:r w:rsidRPr="005C7EE7">
        <w:t xml:space="preserve">Funds for </w:t>
      </w:r>
      <w:r w:rsidRPr="005C7EE7">
        <w:rPr>
          <w:i/>
        </w:rPr>
        <w:t>Arts</w:t>
      </w:r>
      <w:r w:rsidRPr="005C7EE7">
        <w:t xml:space="preserve"> activities </w:t>
      </w:r>
      <w:r w:rsidRPr="00303AC1">
        <w:t xml:space="preserve">rose </w:t>
      </w:r>
      <w:r w:rsidR="0009659E">
        <w:t>46</w:t>
      </w:r>
      <w:r w:rsidRPr="00303AC1">
        <w:t>% (or $</w:t>
      </w:r>
      <w:r w:rsidR="0009659E">
        <w:t>52.</w:t>
      </w:r>
      <w:r w:rsidR="00ED07F0">
        <w:t>8</w:t>
      </w:r>
      <w:r w:rsidRPr="00303AC1">
        <w:t>m) to $</w:t>
      </w:r>
      <w:r w:rsidR="0009659E">
        <w:t>166.7</w:t>
      </w:r>
      <w:r w:rsidRPr="00303AC1">
        <w:t>m</w:t>
      </w:r>
      <w:r w:rsidR="0024033A">
        <w:t>.</w:t>
      </w:r>
    </w:p>
    <w:p w14:paraId="0FF25D1A" w14:textId="77777777" w:rsidR="00ED7D65" w:rsidRPr="00642A79" w:rsidRDefault="00621D6C" w:rsidP="001D64AC">
      <w:r w:rsidRPr="00642A79">
        <w:t xml:space="preserve">The main contributor to this increase was </w:t>
      </w:r>
      <w:proofErr w:type="gramStart"/>
      <w:r w:rsidR="00FE6CBA" w:rsidRPr="00642A79">
        <w:rPr>
          <w:i/>
        </w:rPr>
        <w:t>Performing</w:t>
      </w:r>
      <w:proofErr w:type="gramEnd"/>
      <w:r w:rsidR="00FE6CBA" w:rsidRPr="00642A79">
        <w:rPr>
          <w:i/>
        </w:rPr>
        <w:t xml:space="preserve"> art venues</w:t>
      </w:r>
      <w:r w:rsidR="00880D08" w:rsidRPr="00642A79">
        <w:t xml:space="preserve"> ↑$</w:t>
      </w:r>
      <w:r w:rsidR="00FE6CBA" w:rsidRPr="00642A79">
        <w:t>40.6</w:t>
      </w:r>
      <w:r w:rsidR="00880D08" w:rsidRPr="00642A79">
        <w:t xml:space="preserve">m, </w:t>
      </w:r>
      <w:r w:rsidRPr="00642A79">
        <w:t>due primarily to capital investment</w:t>
      </w:r>
      <w:r w:rsidR="003E2F03" w:rsidRPr="00642A79">
        <w:t xml:space="preserve">. </w:t>
      </w:r>
      <w:r w:rsidRPr="00642A79">
        <w:t xml:space="preserve">Increases were also reported for </w:t>
      </w:r>
      <w:r w:rsidR="0009659E" w:rsidRPr="00642A79">
        <w:rPr>
          <w:i/>
        </w:rPr>
        <w:t>Music</w:t>
      </w:r>
      <w:r w:rsidR="0009659E" w:rsidRPr="00642A79">
        <w:t xml:space="preserve"> </w:t>
      </w:r>
      <w:r w:rsidR="00880D08" w:rsidRPr="00642A79">
        <w:t>↑$</w:t>
      </w:r>
      <w:r w:rsidR="00FE6CBA" w:rsidRPr="00642A79">
        <w:t>2.4</w:t>
      </w:r>
      <w:r w:rsidR="00880D08" w:rsidRPr="00642A79">
        <w:t>m</w:t>
      </w:r>
      <w:r w:rsidRPr="00642A79">
        <w:t xml:space="preserve"> and </w:t>
      </w:r>
      <w:r w:rsidR="00FE6CBA" w:rsidRPr="00642A79">
        <w:rPr>
          <w:i/>
        </w:rPr>
        <w:t>Multi-arts festivals</w:t>
      </w:r>
      <w:r w:rsidR="00FE6CBA" w:rsidRPr="00642A79">
        <w:t xml:space="preserve"> </w:t>
      </w:r>
      <w:r w:rsidRPr="00642A79">
        <w:t>↑</w:t>
      </w:r>
      <w:r w:rsidR="00FE6CBA" w:rsidRPr="00642A79">
        <w:t>$1.9m.</w:t>
      </w:r>
    </w:p>
    <w:p w14:paraId="0FF25D1B" w14:textId="77777777" w:rsidR="001D64AC" w:rsidRDefault="001D64AC" w:rsidP="001D64AC">
      <w:pPr>
        <w:pStyle w:val="Tablefigureheading"/>
      </w:pPr>
      <w:bookmarkStart w:id="3" w:name="_Toc524533024"/>
      <w:r w:rsidRPr="00303AC1">
        <w:lastRenderedPageBreak/>
        <w:t xml:space="preserve">Figure 2. </w:t>
      </w:r>
      <w:r w:rsidR="005262D2">
        <w:t>S</w:t>
      </w:r>
      <w:r w:rsidR="00472E85">
        <w:t xml:space="preserve">outh </w:t>
      </w:r>
      <w:r w:rsidR="005262D2">
        <w:t>A</w:t>
      </w:r>
      <w:r w:rsidR="00472E85">
        <w:t>ustralian</w:t>
      </w:r>
      <w:r w:rsidRPr="00303AC1">
        <w:t xml:space="preserve"> Government arts expenditure, by selected categories</w:t>
      </w:r>
      <w:bookmarkEnd w:id="3"/>
    </w:p>
    <w:p w14:paraId="0FF25D1C" w14:textId="77777777" w:rsidR="00DA7675" w:rsidRPr="00DA7675" w:rsidRDefault="00DA7675" w:rsidP="00DA7675">
      <w:pPr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0FF25D2D" wp14:editId="0FF25D2E">
            <wp:extent cx="4613031" cy="2643422"/>
            <wp:effectExtent l="0" t="0" r="0" b="5080"/>
            <wp:docPr id="11" name="Picture 11" descr="Figure 2. South Australian Government arts expenditure, by selected categories.&#10;&#10;A column graph compares expenditure across selected arts categories of Music, Performing arts venues, Cross-art form, Film and video production and distribution, Arts education, Multi-arts festivals and Arts administration between the financial years of 2015-16, 2016-17 and 2017-18 for South Australian Government." title="Figure 2. South Australian Government arts expenditure, by selected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8238" cy="264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5D1D" w14:textId="77777777" w:rsidR="00903111" w:rsidRDefault="00903111" w:rsidP="001D64AC">
      <w:r w:rsidRPr="00521725">
        <w:rPr>
          <w:i/>
        </w:rPr>
        <w:t>Performing arts venues</w:t>
      </w:r>
      <w:r w:rsidRPr="00CC5725">
        <w:t xml:space="preserve"> ($</w:t>
      </w:r>
      <w:r w:rsidR="00ED07F0">
        <w:t>73.3</w:t>
      </w:r>
      <w:r w:rsidRPr="00CC5725">
        <w:t xml:space="preserve">m), accounted for </w:t>
      </w:r>
      <w:r>
        <w:t>over</w:t>
      </w:r>
      <w:r w:rsidRPr="00CC5725">
        <w:t xml:space="preserve"> one-third (or </w:t>
      </w:r>
      <w:r>
        <w:t>44</w:t>
      </w:r>
      <w:r w:rsidRPr="00CC5725">
        <w:t>%) of all funded expenditure by the South Australian Government on Arts activities.</w:t>
      </w:r>
    </w:p>
    <w:p w14:paraId="0FF25D1E" w14:textId="77777777" w:rsidR="005377F7" w:rsidRDefault="00903111" w:rsidP="00880D08">
      <w:r>
        <w:t>Other</w:t>
      </w:r>
      <w:r w:rsidR="001D64AC" w:rsidRPr="00303AC1">
        <w:t xml:space="preserve"> main categories of </w:t>
      </w:r>
      <w:r w:rsidR="001D64AC" w:rsidRPr="00E92EB5">
        <w:rPr>
          <w:i/>
        </w:rPr>
        <w:t>Arts</w:t>
      </w:r>
      <w:r w:rsidR="001D64AC" w:rsidRPr="00303AC1">
        <w:t xml:space="preserve"> activit</w:t>
      </w:r>
      <w:r w:rsidR="00ED7D65">
        <w:t>ies</w:t>
      </w:r>
      <w:r w:rsidR="001D64AC" w:rsidRPr="00303AC1">
        <w:t xml:space="preserve"> funding were:</w:t>
      </w:r>
    </w:p>
    <w:p w14:paraId="0FF25D1F" w14:textId="77777777" w:rsidR="00ED7D65" w:rsidRDefault="006C18BE" w:rsidP="00862898">
      <w:pPr>
        <w:pStyle w:val="ListParagraph"/>
        <w:numPr>
          <w:ilvl w:val="0"/>
          <w:numId w:val="8"/>
        </w:numPr>
        <w:ind w:left="567" w:hanging="567"/>
      </w:pPr>
      <w:r w:rsidRPr="00ED7D65">
        <w:rPr>
          <w:i/>
        </w:rPr>
        <w:t>Arts education</w:t>
      </w:r>
      <w:r w:rsidR="00880D08" w:rsidRPr="00CC5725">
        <w:t>—$</w:t>
      </w:r>
      <w:r>
        <w:t>14.5</w:t>
      </w:r>
      <w:r w:rsidR="00ED7D65">
        <w:t>m</w:t>
      </w:r>
    </w:p>
    <w:p w14:paraId="0FF25D20" w14:textId="77777777" w:rsidR="00ED7D65" w:rsidRDefault="006C18BE" w:rsidP="00862898">
      <w:pPr>
        <w:pStyle w:val="ListParagraph"/>
        <w:numPr>
          <w:ilvl w:val="0"/>
          <w:numId w:val="8"/>
        </w:numPr>
        <w:ind w:left="567" w:hanging="567"/>
      </w:pPr>
      <w:r w:rsidRPr="00ED7D65">
        <w:rPr>
          <w:i/>
        </w:rPr>
        <w:t>Multi-arts festivals</w:t>
      </w:r>
      <w:r w:rsidR="00880D08" w:rsidRPr="00CC5725">
        <w:t>—$</w:t>
      </w:r>
      <w:r>
        <w:t>13.3</w:t>
      </w:r>
      <w:r w:rsidR="00880D08" w:rsidRPr="00CC5725">
        <w:t>m</w:t>
      </w:r>
    </w:p>
    <w:p w14:paraId="0FF25D21" w14:textId="77777777" w:rsidR="00880D08" w:rsidRDefault="006C18BE" w:rsidP="00862898">
      <w:pPr>
        <w:pStyle w:val="ListParagraph"/>
        <w:numPr>
          <w:ilvl w:val="0"/>
          <w:numId w:val="8"/>
        </w:numPr>
        <w:ind w:left="567" w:hanging="567"/>
      </w:pPr>
      <w:r w:rsidRPr="00ED7D65">
        <w:rPr>
          <w:i/>
        </w:rPr>
        <w:t>Mu</w:t>
      </w:r>
      <w:r>
        <w:rPr>
          <w:i/>
        </w:rPr>
        <w:t>sic</w:t>
      </w:r>
      <w:r w:rsidR="00880D08" w:rsidRPr="00CC5725">
        <w:t>—$</w:t>
      </w:r>
      <w:r>
        <w:t>12.9</w:t>
      </w:r>
      <w:r w:rsidR="00880D08" w:rsidRPr="00CC5725">
        <w:t>m</w:t>
      </w:r>
    </w:p>
    <w:p w14:paraId="0FF25D22" w14:textId="77777777" w:rsidR="002E449F" w:rsidRDefault="002E449F" w:rsidP="00862898">
      <w:pPr>
        <w:pStyle w:val="ListParagraph"/>
        <w:numPr>
          <w:ilvl w:val="0"/>
          <w:numId w:val="8"/>
        </w:numPr>
        <w:ind w:left="567" w:hanging="567"/>
      </w:pPr>
      <w:r>
        <w:rPr>
          <w:i/>
        </w:rPr>
        <w:t>Film and video production and distribution</w:t>
      </w:r>
      <w:r w:rsidRPr="00CC5725">
        <w:t>—$</w:t>
      </w:r>
      <w:r>
        <w:t>10.4</w:t>
      </w:r>
      <w:r w:rsidRPr="00CC5725">
        <w:t>m</w:t>
      </w:r>
    </w:p>
    <w:p w14:paraId="0FF25D23" w14:textId="77777777" w:rsidR="00903111" w:rsidRDefault="00903111" w:rsidP="00862898">
      <w:pPr>
        <w:pStyle w:val="ListParagraph"/>
        <w:numPr>
          <w:ilvl w:val="0"/>
          <w:numId w:val="8"/>
        </w:numPr>
        <w:ind w:left="567" w:hanging="567"/>
      </w:pPr>
      <w:r w:rsidRPr="00903111">
        <w:rPr>
          <w:i/>
        </w:rPr>
        <w:t>Cross-art form</w:t>
      </w:r>
      <w:r w:rsidRPr="00CC5725">
        <w:t>—$</w:t>
      </w:r>
      <w:r>
        <w:t>9.8</w:t>
      </w:r>
      <w:r w:rsidRPr="00CC5725">
        <w:t>m</w:t>
      </w:r>
      <w:r>
        <w:t>.</w:t>
      </w:r>
    </w:p>
    <w:p w14:paraId="0FF25D24" w14:textId="77777777" w:rsidR="005377F7" w:rsidRDefault="005377F7" w:rsidP="005377F7">
      <w:r w:rsidRPr="00303AC1">
        <w:t xml:space="preserve">Recurrent expenditure rose </w:t>
      </w:r>
      <w:r w:rsidR="0093312F">
        <w:t>1</w:t>
      </w:r>
      <w:r w:rsidR="00903111">
        <w:t>1</w:t>
      </w:r>
      <w:r w:rsidRPr="00303AC1">
        <w:t>% (or $</w:t>
      </w:r>
      <w:r w:rsidR="00903111">
        <w:t>19.</w:t>
      </w:r>
      <w:r w:rsidR="00ED07F0">
        <w:t>6</w:t>
      </w:r>
      <w:r w:rsidRPr="00303AC1">
        <w:t>m) to $</w:t>
      </w:r>
      <w:r w:rsidR="00903111">
        <w:t>204.3</w:t>
      </w:r>
      <w:r w:rsidRPr="00303AC1">
        <w:t>m.</w:t>
      </w:r>
    </w:p>
    <w:p w14:paraId="0FF25D25" w14:textId="77777777" w:rsidR="00221CCC" w:rsidRDefault="00221CCC" w:rsidP="005377F7">
      <w:r w:rsidRPr="00303AC1">
        <w:t xml:space="preserve">The largest recurrent expenditure was for </w:t>
      </w:r>
      <w:r w:rsidRPr="00E92EB5">
        <w:rPr>
          <w:i/>
        </w:rPr>
        <w:t>Libraries</w:t>
      </w:r>
      <w:r w:rsidRPr="00303AC1">
        <w:t>, $</w:t>
      </w:r>
      <w:r w:rsidR="00EE4583">
        <w:t>36.0</w:t>
      </w:r>
      <w:r w:rsidRPr="00303AC1">
        <w:t>m</w:t>
      </w:r>
      <w:r>
        <w:t xml:space="preserve">, followed by </w:t>
      </w:r>
      <w:r w:rsidRPr="00E92EB5">
        <w:rPr>
          <w:i/>
        </w:rPr>
        <w:t>Performing arts venues</w:t>
      </w:r>
      <w:r>
        <w:t xml:space="preserve"> ($</w:t>
      </w:r>
      <w:r w:rsidR="00EE4583">
        <w:t>29.9</w:t>
      </w:r>
      <w:r>
        <w:t>m).</w:t>
      </w:r>
    </w:p>
    <w:p w14:paraId="0FF25D26" w14:textId="77777777" w:rsidR="001D64AC" w:rsidRPr="00303AC1" w:rsidRDefault="001D64AC" w:rsidP="001D64AC">
      <w:pPr>
        <w:pStyle w:val="Tablefigureheading"/>
      </w:pPr>
      <w:r w:rsidRPr="00303AC1">
        <w:t xml:space="preserve">Figure 3. </w:t>
      </w:r>
      <w:r w:rsidR="005262D2">
        <w:t>S</w:t>
      </w:r>
      <w:r w:rsidR="00472E85">
        <w:t xml:space="preserve">outh </w:t>
      </w:r>
      <w:r w:rsidR="005262D2">
        <w:t>A</w:t>
      </w:r>
      <w:r w:rsidR="00472E85">
        <w:t>ustralian</w:t>
      </w:r>
      <w:r w:rsidRPr="00303AC1">
        <w:t xml:space="preserve"> Government recurrent cultural expenditure, by selected categories</w:t>
      </w:r>
    </w:p>
    <w:p w14:paraId="0FF25D27" w14:textId="77777777" w:rsidR="00221CCC" w:rsidRDefault="00F2269C" w:rsidP="001D64AC">
      <w:r>
        <w:rPr>
          <w:noProof/>
          <w:lang w:eastAsia="en-AU"/>
        </w:rPr>
        <w:drawing>
          <wp:inline distT="0" distB="0" distL="0" distR="0" wp14:anchorId="0FF25D2F" wp14:editId="0FF25D30">
            <wp:extent cx="5416062" cy="2543131"/>
            <wp:effectExtent l="0" t="0" r="0" b="0"/>
            <wp:docPr id="17" name="Picture 17" descr="Figure 3. South Australian Government recurrent cultural expenditure, by selected categories.&#10;&#10;A bar chart compares recurrent expenditure across selected  categories of Art museums, Other museums and cultural heritage, Libraries, Music, Performing arts venues, Cross-art form, Film and video production and distribution, Arts education and Multi-arts festivals between the financial years of 2015-16, 2016-17 and 2017-18 for South Australian Government." title="Figure 3. South Australian Government recurrent cultural expenditure, by selected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34671" cy="255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5D28" w14:textId="77777777" w:rsidR="00221CCC" w:rsidRDefault="00221CCC" w:rsidP="00862898">
      <w:pPr>
        <w:pStyle w:val="ListParagraph"/>
        <w:numPr>
          <w:ilvl w:val="0"/>
          <w:numId w:val="7"/>
        </w:numPr>
        <w:ind w:left="567" w:hanging="567"/>
      </w:pPr>
      <w:r>
        <w:t>T</w:t>
      </w:r>
      <w:r w:rsidRPr="00303AC1">
        <w:t xml:space="preserve">he largest recurrent </w:t>
      </w:r>
      <w:r>
        <w:t xml:space="preserve">dollar </w:t>
      </w:r>
      <w:r w:rsidRPr="00303AC1">
        <w:t>increase</w:t>
      </w:r>
      <w:r>
        <w:t xml:space="preserve"> </w:t>
      </w:r>
      <w:r w:rsidRPr="00303AC1">
        <w:t xml:space="preserve">was for </w:t>
      </w:r>
      <w:r>
        <w:t>the category of</w:t>
      </w:r>
      <w:r w:rsidR="00F45E7E">
        <w:t xml:space="preserve"> </w:t>
      </w:r>
      <w:r w:rsidR="00F45E7E" w:rsidRPr="00E92EB5">
        <w:rPr>
          <w:i/>
        </w:rPr>
        <w:t>Performing arts venues</w:t>
      </w:r>
      <w:r w:rsidRPr="00303AC1">
        <w:t>, ↑$</w:t>
      </w:r>
      <w:r w:rsidR="00F45E7E">
        <w:t>3.9</w:t>
      </w:r>
      <w:r w:rsidRPr="00303AC1">
        <w:t>m</w:t>
      </w:r>
      <w:r>
        <w:t xml:space="preserve"> between 2016</w:t>
      </w:r>
      <w:r w:rsidR="00862898">
        <w:t>–</w:t>
      </w:r>
      <w:r>
        <w:t xml:space="preserve">17 and </w:t>
      </w:r>
      <w:r w:rsidR="00862898">
        <w:t>2017–18</w:t>
      </w:r>
      <w:r>
        <w:t>.</w:t>
      </w:r>
    </w:p>
    <w:sectPr w:rsidR="00221CCC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25D33" w14:textId="77777777" w:rsidR="00FD10E9" w:rsidRDefault="00FD10E9" w:rsidP="002117E6">
      <w:pPr>
        <w:spacing w:after="0"/>
      </w:pPr>
      <w:r>
        <w:separator/>
      </w:r>
    </w:p>
  </w:endnote>
  <w:endnote w:type="continuationSeparator" w:id="0">
    <w:p w14:paraId="0FF25D34" w14:textId="77777777" w:rsidR="00FD10E9" w:rsidRDefault="00FD10E9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5D38" w14:textId="77777777" w:rsidR="00862898" w:rsidRDefault="00862898">
    <w:pPr>
      <w:pStyle w:val="Footer"/>
    </w:pPr>
  </w:p>
  <w:p w14:paraId="0FF25D39" w14:textId="77777777" w:rsidR="006C66E5" w:rsidRDefault="006C66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5D3A" w14:textId="11FE75B8" w:rsidR="00FD10E9" w:rsidRPr="000D3D9D" w:rsidRDefault="00862898" w:rsidP="00842CA0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r w:rsidRPr="00862898">
      <w:rPr>
        <w:sz w:val="18"/>
        <w:szCs w:val="18"/>
      </w:rPr>
      <w:t>Cultura</w:t>
    </w:r>
    <w:r w:rsidR="000E0526" w:rsidRPr="00862898">
      <w:rPr>
        <w:sz w:val="18"/>
        <w:szCs w:val="18"/>
      </w:rPr>
      <w:t>l funding by gove</w:t>
    </w:r>
    <w:r w:rsidRPr="00862898">
      <w:rPr>
        <w:sz w:val="18"/>
        <w:szCs w:val="18"/>
      </w:rPr>
      <w:t>rnment — 2017–18 — South Australian Government</w:t>
    </w:r>
    <w:r w:rsidR="00FD10E9"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="00FD10E9" w:rsidRPr="0037566A">
          <w:rPr>
            <w:sz w:val="18"/>
            <w:szCs w:val="18"/>
          </w:rPr>
          <w:t xml:space="preserve">Page </w:t>
        </w:r>
        <w:r w:rsidR="00FD10E9" w:rsidRPr="0037566A">
          <w:rPr>
            <w:bCs/>
            <w:sz w:val="18"/>
            <w:szCs w:val="18"/>
          </w:rPr>
          <w:fldChar w:fldCharType="begin"/>
        </w:r>
        <w:r w:rsidR="00FD10E9" w:rsidRPr="0037566A">
          <w:rPr>
            <w:bCs/>
            <w:sz w:val="18"/>
            <w:szCs w:val="18"/>
          </w:rPr>
          <w:instrText xml:space="preserve"> PAGE </w:instrText>
        </w:r>
        <w:r w:rsidR="00FD10E9" w:rsidRPr="0037566A">
          <w:rPr>
            <w:bCs/>
            <w:sz w:val="18"/>
            <w:szCs w:val="18"/>
          </w:rPr>
          <w:fldChar w:fldCharType="separate"/>
        </w:r>
        <w:r w:rsidR="00617049">
          <w:rPr>
            <w:bCs/>
            <w:noProof/>
            <w:sz w:val="18"/>
            <w:szCs w:val="18"/>
          </w:rPr>
          <w:t>2</w:t>
        </w:r>
        <w:r w:rsidR="00FD10E9" w:rsidRPr="0037566A">
          <w:rPr>
            <w:bCs/>
            <w:sz w:val="18"/>
            <w:szCs w:val="18"/>
          </w:rPr>
          <w:fldChar w:fldCharType="end"/>
        </w:r>
        <w:r w:rsidR="00FD10E9" w:rsidRPr="0037566A">
          <w:rPr>
            <w:sz w:val="18"/>
            <w:szCs w:val="18"/>
          </w:rPr>
          <w:t xml:space="preserve"> of </w:t>
        </w:r>
        <w:r w:rsidR="00FD10E9" w:rsidRPr="0037566A">
          <w:rPr>
            <w:bCs/>
            <w:sz w:val="18"/>
            <w:szCs w:val="18"/>
          </w:rPr>
          <w:fldChar w:fldCharType="begin"/>
        </w:r>
        <w:r w:rsidR="00FD10E9" w:rsidRPr="0037566A">
          <w:rPr>
            <w:bCs/>
            <w:sz w:val="18"/>
            <w:szCs w:val="18"/>
          </w:rPr>
          <w:instrText xml:space="preserve"> NUMPAGES  </w:instrText>
        </w:r>
        <w:r w:rsidR="00FD10E9" w:rsidRPr="0037566A">
          <w:rPr>
            <w:bCs/>
            <w:sz w:val="18"/>
            <w:szCs w:val="18"/>
          </w:rPr>
          <w:fldChar w:fldCharType="separate"/>
        </w:r>
        <w:r w:rsidR="00617049">
          <w:rPr>
            <w:bCs/>
            <w:noProof/>
            <w:sz w:val="18"/>
            <w:szCs w:val="18"/>
          </w:rPr>
          <w:t>2</w:t>
        </w:r>
        <w:r w:rsidR="00FD10E9" w:rsidRPr="0037566A">
          <w:rPr>
            <w:bCs/>
            <w:sz w:val="18"/>
            <w:szCs w:val="18"/>
          </w:rPr>
          <w:fldChar w:fldCharType="end"/>
        </w:r>
      </w:sdtContent>
    </w:sdt>
  </w:p>
  <w:p w14:paraId="0FF25D3B" w14:textId="77777777" w:rsidR="00FD10E9" w:rsidRDefault="00FD10E9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0FF25D3F" wp14:editId="0FF25D40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5D3C" w14:textId="77777777" w:rsidR="00FD10E9" w:rsidRPr="00477982" w:rsidRDefault="00FD10E9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FF25D41" wp14:editId="0FF25D42">
          <wp:extent cx="7560000" cy="358181"/>
          <wp:effectExtent l="0" t="0" r="3175" b="3810"/>
          <wp:docPr id="8" name="Picture 8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25D31" w14:textId="77777777" w:rsidR="00FD10E9" w:rsidRDefault="00FD10E9" w:rsidP="002117E6">
      <w:pPr>
        <w:spacing w:after="0"/>
      </w:pPr>
      <w:r>
        <w:separator/>
      </w:r>
    </w:p>
  </w:footnote>
  <w:footnote w:type="continuationSeparator" w:id="0">
    <w:p w14:paraId="0FF25D32" w14:textId="77777777" w:rsidR="00FD10E9" w:rsidRDefault="00FD10E9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02E49" w14:textId="77777777" w:rsidR="000E0526" w:rsidRDefault="000E0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5D35" w14:textId="77777777" w:rsidR="00FD10E9" w:rsidRDefault="00FD10E9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0FF25D3D" wp14:editId="0FF25D3E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F25D36" w14:textId="77777777" w:rsidR="00FD10E9" w:rsidRDefault="00FD10E9" w:rsidP="00477982">
    <w:pPr>
      <w:pStyle w:val="Header"/>
      <w:tabs>
        <w:tab w:val="clear" w:pos="9026"/>
        <w:tab w:val="right" w:pos="9333"/>
      </w:tabs>
    </w:pPr>
    <w:r>
      <w:t>MCM Statistics Working Group</w:t>
    </w:r>
    <w:r w:rsidRPr="00A96536">
      <w:tab/>
    </w:r>
    <w:r w:rsidRPr="00A96536">
      <w:tab/>
    </w:r>
    <w:r>
      <w:t>June 2019</w:t>
    </w:r>
  </w:p>
  <w:p w14:paraId="0FF25D37" w14:textId="77777777" w:rsidR="006C66E5" w:rsidRDefault="006C66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2CAF" w14:textId="77777777" w:rsidR="000E0526" w:rsidRDefault="000E0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3E"/>
    <w:rsid w:val="00024E6D"/>
    <w:rsid w:val="00055716"/>
    <w:rsid w:val="0009659E"/>
    <w:rsid w:val="000B455E"/>
    <w:rsid w:val="000D421A"/>
    <w:rsid w:val="000E0526"/>
    <w:rsid w:val="000E2889"/>
    <w:rsid w:val="000E398B"/>
    <w:rsid w:val="001031A7"/>
    <w:rsid w:val="00111A64"/>
    <w:rsid w:val="00143419"/>
    <w:rsid w:val="001471EA"/>
    <w:rsid w:val="001472FC"/>
    <w:rsid w:val="001736CC"/>
    <w:rsid w:val="00185E9F"/>
    <w:rsid w:val="0019701B"/>
    <w:rsid w:val="001A350B"/>
    <w:rsid w:val="001A36F9"/>
    <w:rsid w:val="001D64AC"/>
    <w:rsid w:val="001D7905"/>
    <w:rsid w:val="002117E6"/>
    <w:rsid w:val="00221CCC"/>
    <w:rsid w:val="00233671"/>
    <w:rsid w:val="0024033A"/>
    <w:rsid w:val="00242B78"/>
    <w:rsid w:val="00290FEC"/>
    <w:rsid w:val="00293DD6"/>
    <w:rsid w:val="002A4338"/>
    <w:rsid w:val="002C5369"/>
    <w:rsid w:val="002E2477"/>
    <w:rsid w:val="002E449F"/>
    <w:rsid w:val="002F3895"/>
    <w:rsid w:val="00302513"/>
    <w:rsid w:val="00327F06"/>
    <w:rsid w:val="00335334"/>
    <w:rsid w:val="00336DDD"/>
    <w:rsid w:val="0034396E"/>
    <w:rsid w:val="00381364"/>
    <w:rsid w:val="003B5B1D"/>
    <w:rsid w:val="003E2F03"/>
    <w:rsid w:val="003F495D"/>
    <w:rsid w:val="00400E77"/>
    <w:rsid w:val="0041185C"/>
    <w:rsid w:val="00426F0B"/>
    <w:rsid w:val="00436F4C"/>
    <w:rsid w:val="00450D6E"/>
    <w:rsid w:val="00456F44"/>
    <w:rsid w:val="00467552"/>
    <w:rsid w:val="00472E85"/>
    <w:rsid w:val="004753FE"/>
    <w:rsid w:val="004755A2"/>
    <w:rsid w:val="00477982"/>
    <w:rsid w:val="004D0CD0"/>
    <w:rsid w:val="004F0AC6"/>
    <w:rsid w:val="005262D2"/>
    <w:rsid w:val="00526687"/>
    <w:rsid w:val="00530E99"/>
    <w:rsid w:val="005377F7"/>
    <w:rsid w:val="00542695"/>
    <w:rsid w:val="00544465"/>
    <w:rsid w:val="00561190"/>
    <w:rsid w:val="005658F1"/>
    <w:rsid w:val="00565B47"/>
    <w:rsid w:val="00575A5A"/>
    <w:rsid w:val="005932D0"/>
    <w:rsid w:val="00597F9B"/>
    <w:rsid w:val="005A1312"/>
    <w:rsid w:val="005C7EE7"/>
    <w:rsid w:val="005D6BB7"/>
    <w:rsid w:val="005E1FAA"/>
    <w:rsid w:val="005F23E0"/>
    <w:rsid w:val="005F5B41"/>
    <w:rsid w:val="0061446D"/>
    <w:rsid w:val="00617049"/>
    <w:rsid w:val="00621D6C"/>
    <w:rsid w:val="00625397"/>
    <w:rsid w:val="0064138E"/>
    <w:rsid w:val="00642A79"/>
    <w:rsid w:val="0066356D"/>
    <w:rsid w:val="006A2F0E"/>
    <w:rsid w:val="006B354B"/>
    <w:rsid w:val="006C18BE"/>
    <w:rsid w:val="006C66E5"/>
    <w:rsid w:val="006D096B"/>
    <w:rsid w:val="006F06FD"/>
    <w:rsid w:val="00705B86"/>
    <w:rsid w:val="00727C22"/>
    <w:rsid w:val="007312EE"/>
    <w:rsid w:val="00734581"/>
    <w:rsid w:val="00753BB6"/>
    <w:rsid w:val="007665C2"/>
    <w:rsid w:val="007A4B0F"/>
    <w:rsid w:val="007E12FF"/>
    <w:rsid w:val="008169A6"/>
    <w:rsid w:val="0082186E"/>
    <w:rsid w:val="00827BD2"/>
    <w:rsid w:val="00834A94"/>
    <w:rsid w:val="00834DE8"/>
    <w:rsid w:val="00842CA0"/>
    <w:rsid w:val="00853423"/>
    <w:rsid w:val="0085752F"/>
    <w:rsid w:val="00862898"/>
    <w:rsid w:val="008646E6"/>
    <w:rsid w:val="00866475"/>
    <w:rsid w:val="008763DE"/>
    <w:rsid w:val="00880D08"/>
    <w:rsid w:val="008A4B1F"/>
    <w:rsid w:val="008B767F"/>
    <w:rsid w:val="008D4E53"/>
    <w:rsid w:val="008F5F11"/>
    <w:rsid w:val="008F7FA4"/>
    <w:rsid w:val="00903111"/>
    <w:rsid w:val="009313D2"/>
    <w:rsid w:val="0093312F"/>
    <w:rsid w:val="0094124E"/>
    <w:rsid w:val="009654E0"/>
    <w:rsid w:val="009B7EF0"/>
    <w:rsid w:val="009E12E4"/>
    <w:rsid w:val="009F4363"/>
    <w:rsid w:val="00A22246"/>
    <w:rsid w:val="00A241FE"/>
    <w:rsid w:val="00A35CD0"/>
    <w:rsid w:val="00A606B1"/>
    <w:rsid w:val="00A93B55"/>
    <w:rsid w:val="00AA38E6"/>
    <w:rsid w:val="00AC0B64"/>
    <w:rsid w:val="00AE0BE1"/>
    <w:rsid w:val="00AE4F02"/>
    <w:rsid w:val="00AF5FC0"/>
    <w:rsid w:val="00B049A4"/>
    <w:rsid w:val="00B04E5C"/>
    <w:rsid w:val="00B1045C"/>
    <w:rsid w:val="00B40560"/>
    <w:rsid w:val="00B43C56"/>
    <w:rsid w:val="00B54563"/>
    <w:rsid w:val="00B55747"/>
    <w:rsid w:val="00B704AE"/>
    <w:rsid w:val="00B96893"/>
    <w:rsid w:val="00BA0A5A"/>
    <w:rsid w:val="00BA1263"/>
    <w:rsid w:val="00BA7F94"/>
    <w:rsid w:val="00BC0D30"/>
    <w:rsid w:val="00BC19F0"/>
    <w:rsid w:val="00BC329E"/>
    <w:rsid w:val="00BC7D72"/>
    <w:rsid w:val="00BD597E"/>
    <w:rsid w:val="00BE1F34"/>
    <w:rsid w:val="00BE7E66"/>
    <w:rsid w:val="00C16794"/>
    <w:rsid w:val="00C240E2"/>
    <w:rsid w:val="00C451EE"/>
    <w:rsid w:val="00C55F55"/>
    <w:rsid w:val="00C67436"/>
    <w:rsid w:val="00CC75CC"/>
    <w:rsid w:val="00CE294A"/>
    <w:rsid w:val="00CF5E24"/>
    <w:rsid w:val="00D03AE2"/>
    <w:rsid w:val="00D47936"/>
    <w:rsid w:val="00D673C4"/>
    <w:rsid w:val="00D76B2F"/>
    <w:rsid w:val="00D82A33"/>
    <w:rsid w:val="00D92957"/>
    <w:rsid w:val="00DA7675"/>
    <w:rsid w:val="00DB4FA3"/>
    <w:rsid w:val="00DC2DFA"/>
    <w:rsid w:val="00DC6A98"/>
    <w:rsid w:val="00DD5D52"/>
    <w:rsid w:val="00DF3729"/>
    <w:rsid w:val="00E34E34"/>
    <w:rsid w:val="00E57BCF"/>
    <w:rsid w:val="00E92EB5"/>
    <w:rsid w:val="00E97404"/>
    <w:rsid w:val="00E978C6"/>
    <w:rsid w:val="00EA2F26"/>
    <w:rsid w:val="00EA5BA4"/>
    <w:rsid w:val="00EA6D34"/>
    <w:rsid w:val="00EB40A5"/>
    <w:rsid w:val="00ED07F0"/>
    <w:rsid w:val="00ED7D65"/>
    <w:rsid w:val="00EE4583"/>
    <w:rsid w:val="00EF213E"/>
    <w:rsid w:val="00EF61B4"/>
    <w:rsid w:val="00F14A16"/>
    <w:rsid w:val="00F2269C"/>
    <w:rsid w:val="00F31503"/>
    <w:rsid w:val="00F3567E"/>
    <w:rsid w:val="00F408EE"/>
    <w:rsid w:val="00F45E7E"/>
    <w:rsid w:val="00F56262"/>
    <w:rsid w:val="00F7051B"/>
    <w:rsid w:val="00FC16F3"/>
    <w:rsid w:val="00FD10E9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FF25D03"/>
  <w15:docId w15:val="{C56AFEEB-F802-4875-8E2B-719A8473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9AF551DB5764D9EF09DA2A099DBC1" ma:contentTypeVersion="0" ma:contentTypeDescription="Create a new document." ma:contentTypeScope="" ma:versionID="4b8142f2b262a8b847e97fdcf26921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36E96-ABE0-4511-A3FF-2F7BDE0DF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6A7B9E-5BD0-4F63-8F8D-1187124C6A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359A82-6637-469B-BC4D-5EF1EE50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1788</Characters>
  <Application>Microsoft Office Word</Application>
  <DocSecurity>0</DocSecurity>
  <Lines>43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2017–18 — South Australian Government</dc:title>
  <dc:subject/>
  <dc:creator>Department of Communications and the Arts</dc:creator>
  <cp:keywords/>
  <dc:description>22 November 2018</dc:description>
  <cp:lastModifiedBy>Hall, Theresa</cp:lastModifiedBy>
  <cp:revision>4</cp:revision>
  <cp:lastPrinted>2019-05-27T04:10:00Z</cp:lastPrinted>
  <dcterms:created xsi:type="dcterms:W3CDTF">2019-07-03T08:24:00Z</dcterms:created>
  <dcterms:modified xsi:type="dcterms:W3CDTF">2019-07-04T00:48:00Z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0x010100B889AF551DB5764D9EF09DA2A099DBC1</vt:lpwstr>
  </property>
  <property fmtid="{D5CDD505-2E9C-101B-9397-08002B2CF9AE}" pid="3" name="TrimRevisionNumber">
    <vt:i4>1</vt:i4>
  </property>
</Properties>
</file>