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286D" w14:textId="77777777" w:rsidR="00D5724D" w:rsidRDefault="00E83B82" w:rsidP="00782B49">
      <w:pPr>
        <w:spacing w:before="240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E9E293F" wp14:editId="5E9E2940">
            <wp:extent cx="4897158" cy="898498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90" cy="90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E286E" w14:textId="1EC1B5D0" w:rsidR="009B52F3" w:rsidRPr="005A535A" w:rsidRDefault="005A535A" w:rsidP="00782B49">
      <w:pPr>
        <w:pStyle w:val="Heading1"/>
        <w:rPr>
          <w:color w:val="0D3064" w:themeColor="text2" w:themeTint="E6"/>
        </w:rPr>
      </w:pPr>
      <w:r w:rsidRPr="005A535A">
        <w:rPr>
          <w:i/>
          <w:color w:val="0D3064" w:themeColor="text2" w:themeTint="E6"/>
        </w:rPr>
        <w:t>Revive</w:t>
      </w:r>
      <w:r w:rsidRPr="005A535A">
        <w:rPr>
          <w:color w:val="0D3064" w:themeColor="text2" w:themeTint="E6"/>
        </w:rPr>
        <w:t xml:space="preserve"> Live</w:t>
      </w:r>
      <w:r w:rsidR="004F08DB" w:rsidRPr="005A535A">
        <w:rPr>
          <w:color w:val="0D3064" w:themeColor="text2" w:themeTint="E6"/>
        </w:rPr>
        <w:t xml:space="preserve"> grant recipients—</w:t>
      </w:r>
      <w:r w:rsidRPr="005A535A">
        <w:rPr>
          <w:color w:val="0D3064" w:themeColor="text2" w:themeTint="E6"/>
        </w:rPr>
        <w:t>2</w:t>
      </w:r>
      <w:r w:rsidR="004F08DB" w:rsidRPr="005A535A">
        <w:rPr>
          <w:color w:val="0D3064" w:themeColor="text2" w:themeTint="E6"/>
        </w:rPr>
        <w:t>02</w:t>
      </w:r>
      <w:r w:rsidR="003B1961" w:rsidRPr="005A535A">
        <w:rPr>
          <w:color w:val="0D3064" w:themeColor="text2" w:themeTint="E6"/>
        </w:rPr>
        <w:t>4</w:t>
      </w:r>
    </w:p>
    <w:p w14:paraId="5E9E2870" w14:textId="7FCD2E70" w:rsidR="004F08DB" w:rsidRDefault="004F08DB" w:rsidP="004F08DB">
      <w:r w:rsidRPr="002C6279">
        <w:t xml:space="preserve">The </w:t>
      </w:r>
      <w:r w:rsidR="005A535A" w:rsidRPr="005A535A">
        <w:rPr>
          <w:i/>
        </w:rPr>
        <w:t>Revive</w:t>
      </w:r>
      <w:r w:rsidR="005A535A">
        <w:t xml:space="preserve"> Live</w:t>
      </w:r>
      <w:r w:rsidRPr="002C6279">
        <w:t xml:space="preserve"> program, administered by the Department of Infrastructure, Transport, Regional Development</w:t>
      </w:r>
      <w:r>
        <w:t>,</w:t>
      </w:r>
      <w:r w:rsidRPr="002C6279">
        <w:t xml:space="preserve"> Communications</w:t>
      </w:r>
      <w:r>
        <w:t xml:space="preserve"> and the Arts</w:t>
      </w:r>
      <w:r w:rsidRPr="002C6279">
        <w:t xml:space="preserve">, </w:t>
      </w:r>
      <w:r w:rsidRPr="00C84E86">
        <w:t xml:space="preserve">is a competitive grants opportunity </w:t>
      </w:r>
      <w:r w:rsidRPr="001E6270">
        <w:t>for live music venues, festivals and organisations that support quality original Australian live music</w:t>
      </w:r>
      <w:r>
        <w:t xml:space="preserve">. </w:t>
      </w:r>
    </w:p>
    <w:p w14:paraId="5E9E2871" w14:textId="77777777" w:rsidR="004F08DB" w:rsidRDefault="004F08DB" w:rsidP="004F08DB">
      <w:r>
        <w:t>Grants provide funding for:</w:t>
      </w:r>
    </w:p>
    <w:p w14:paraId="5E9E2872" w14:textId="77777777" w:rsidR="004F08DB" w:rsidRPr="004F08DB" w:rsidRDefault="004F08DB" w:rsidP="004F08DB">
      <w:pPr>
        <w:pStyle w:val="Listparagraphbullets"/>
      </w:pPr>
      <w:r>
        <w:t>infr</w:t>
      </w:r>
      <w:r w:rsidRPr="00E762B2">
        <w:t>astr</w:t>
      </w:r>
      <w:r w:rsidRPr="004F08DB">
        <w:t>ucture upgrades, purchase of equipment, programming and promotional expenses and artist fees, or</w:t>
      </w:r>
    </w:p>
    <w:p w14:paraId="5E9E2873" w14:textId="332D923B" w:rsidR="004F08DB" w:rsidRDefault="004F08DB" w:rsidP="004F08DB">
      <w:pPr>
        <w:pStyle w:val="Listparagraphbullets"/>
      </w:pPr>
      <w:r w:rsidRPr="004F08DB">
        <w:t xml:space="preserve">initiatives that deliver to </w:t>
      </w:r>
      <w:r w:rsidR="003B1961">
        <w:t>venues</w:t>
      </w:r>
      <w:r w:rsidR="005A535A">
        <w:t xml:space="preserve"> and festivals</w:t>
      </w:r>
      <w:r w:rsidRPr="004F08DB">
        <w:t xml:space="preserve"> and build capacity, for example, professional development programs, expanded regional touring circuits, and partnerships across jurisdic</w:t>
      </w:r>
      <w:r>
        <w:t>tions.</w:t>
      </w:r>
    </w:p>
    <w:p w14:paraId="5E9E2874" w14:textId="77777777" w:rsidR="004F08DB" w:rsidRPr="0095122C" w:rsidRDefault="004F08DB" w:rsidP="004F08DB">
      <w:pPr>
        <w:spacing w:after="0"/>
        <w:jc w:val="right"/>
        <w:rPr>
          <w:b/>
        </w:rPr>
      </w:pPr>
      <w:r w:rsidRPr="0095122C">
        <w:rPr>
          <w:b/>
        </w:rPr>
        <w:t>All figures below are GST exclusive.</w:t>
      </w:r>
    </w:p>
    <w:p w14:paraId="5E9E2875" w14:textId="77777777" w:rsidR="00DE4FE2" w:rsidRDefault="00DE4FE2"/>
    <w:p w14:paraId="5E9E2876" w14:textId="77777777" w:rsidR="00DE4FE2" w:rsidRDefault="00DE4FE2">
      <w:pPr>
        <w:sectPr w:rsidR="00DE4FE2" w:rsidSect="008F3DD3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6838" w:h="11906" w:orient="landscape" w:code="9"/>
          <w:pgMar w:top="340" w:right="1021" w:bottom="2268" w:left="1021" w:header="0" w:footer="57" w:gutter="0"/>
          <w:cols w:space="708"/>
          <w:titlePg/>
          <w:docGrid w:linePitch="360"/>
        </w:sectPr>
      </w:pPr>
    </w:p>
    <w:p w14:paraId="5E9E2877" w14:textId="77777777" w:rsidR="00645BA5" w:rsidRPr="00796AB4" w:rsidRDefault="00645BA5" w:rsidP="00645BA5">
      <w:pPr>
        <w:pStyle w:val="Heading2notshowing"/>
        <w:rPr>
          <w:sz w:val="44"/>
          <w:szCs w:val="44"/>
        </w:rPr>
      </w:pPr>
      <w:r w:rsidRPr="00796AB4">
        <w:rPr>
          <w:sz w:val="44"/>
          <w:szCs w:val="44"/>
        </w:rPr>
        <w:lastRenderedPageBreak/>
        <w:t>Table of contents</w:t>
      </w:r>
    </w:p>
    <w:p w14:paraId="5E9E2878" w14:textId="5F7DEA7D" w:rsidR="00367483" w:rsidRDefault="00645BA5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"Heading 2,1,Heading 3,2,Heading 4,3" </w:instrText>
      </w:r>
      <w:r>
        <w:rPr>
          <w:b w:val="0"/>
        </w:rPr>
        <w:fldChar w:fldCharType="separate"/>
      </w:r>
      <w:hyperlink w:anchor="_Toc156234699" w:history="1">
        <w:r w:rsidR="00367483" w:rsidRPr="001A6CE5">
          <w:rPr>
            <w:rStyle w:val="Hyperlink"/>
            <w:noProof/>
          </w:rPr>
          <w:t>Australian Capital Territory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_Toc156234699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5A31ED">
          <w:rPr>
            <w:noProof/>
            <w:webHidden/>
          </w:rPr>
          <w:t>3</w:t>
        </w:r>
        <w:r w:rsidR="00367483">
          <w:rPr>
            <w:noProof/>
            <w:webHidden/>
          </w:rPr>
          <w:fldChar w:fldCharType="end"/>
        </w:r>
      </w:hyperlink>
    </w:p>
    <w:p w14:paraId="5E9E2879" w14:textId="356504C9" w:rsidR="00367483" w:rsidRDefault="00985DB1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0" w:history="1">
        <w:r w:rsidR="00367483" w:rsidRPr="001A6CE5">
          <w:rPr>
            <w:rStyle w:val="Hyperlink"/>
            <w:noProof/>
          </w:rPr>
          <w:t>New South Wales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_Toc156234700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5A31ED">
          <w:rPr>
            <w:noProof/>
            <w:webHidden/>
          </w:rPr>
          <w:t>3</w:t>
        </w:r>
        <w:r w:rsidR="00367483">
          <w:rPr>
            <w:noProof/>
            <w:webHidden/>
          </w:rPr>
          <w:fldChar w:fldCharType="end"/>
        </w:r>
      </w:hyperlink>
    </w:p>
    <w:p w14:paraId="5E9E287A" w14:textId="10DBDDEB" w:rsidR="00367483" w:rsidRDefault="00985DB1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1" w:history="1">
        <w:r w:rsidR="00367483" w:rsidRPr="001A6CE5">
          <w:rPr>
            <w:rStyle w:val="Hyperlink"/>
            <w:noProof/>
          </w:rPr>
          <w:t>Northern Territory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_Toc156234701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5A31ED">
          <w:rPr>
            <w:noProof/>
            <w:webHidden/>
          </w:rPr>
          <w:t>4</w:t>
        </w:r>
        <w:r w:rsidR="00367483">
          <w:rPr>
            <w:noProof/>
            <w:webHidden/>
          </w:rPr>
          <w:fldChar w:fldCharType="end"/>
        </w:r>
      </w:hyperlink>
    </w:p>
    <w:p w14:paraId="5E9E287B" w14:textId="5712B736" w:rsidR="00367483" w:rsidRDefault="00985DB1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2" w:history="1">
        <w:r w:rsidR="00367483" w:rsidRPr="001A6CE5">
          <w:rPr>
            <w:rStyle w:val="Hyperlink"/>
            <w:noProof/>
          </w:rPr>
          <w:t>Queensland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_Toc156234702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5A31ED">
          <w:rPr>
            <w:noProof/>
            <w:webHidden/>
          </w:rPr>
          <w:t>5</w:t>
        </w:r>
        <w:r w:rsidR="00367483">
          <w:rPr>
            <w:noProof/>
            <w:webHidden/>
          </w:rPr>
          <w:fldChar w:fldCharType="end"/>
        </w:r>
      </w:hyperlink>
    </w:p>
    <w:p w14:paraId="5E9E287C" w14:textId="359F7076" w:rsidR="00367483" w:rsidRDefault="00985DB1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3" w:history="1">
        <w:r w:rsidR="00367483" w:rsidRPr="001A6CE5">
          <w:rPr>
            <w:rStyle w:val="Hyperlink"/>
            <w:noProof/>
          </w:rPr>
          <w:t>South Australia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_Toc156234703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5A31ED">
          <w:rPr>
            <w:noProof/>
            <w:webHidden/>
          </w:rPr>
          <w:t>6</w:t>
        </w:r>
        <w:r w:rsidR="00367483">
          <w:rPr>
            <w:noProof/>
            <w:webHidden/>
          </w:rPr>
          <w:fldChar w:fldCharType="end"/>
        </w:r>
      </w:hyperlink>
    </w:p>
    <w:p w14:paraId="5E9E287D" w14:textId="1B38948B" w:rsidR="00367483" w:rsidRDefault="00985DB1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4" w:history="1">
        <w:r w:rsidR="00367483" w:rsidRPr="001A6CE5">
          <w:rPr>
            <w:rStyle w:val="Hyperlink"/>
            <w:noProof/>
          </w:rPr>
          <w:t>Tasmania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_Toc156234704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5A31ED">
          <w:rPr>
            <w:noProof/>
            <w:webHidden/>
          </w:rPr>
          <w:t>6</w:t>
        </w:r>
        <w:r w:rsidR="00367483">
          <w:rPr>
            <w:noProof/>
            <w:webHidden/>
          </w:rPr>
          <w:fldChar w:fldCharType="end"/>
        </w:r>
      </w:hyperlink>
    </w:p>
    <w:p w14:paraId="5E9E287E" w14:textId="05BF8611" w:rsidR="00367483" w:rsidRDefault="00985DB1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5" w:history="1">
        <w:r w:rsidR="00367483" w:rsidRPr="001A6CE5">
          <w:rPr>
            <w:rStyle w:val="Hyperlink"/>
            <w:noProof/>
          </w:rPr>
          <w:t>Victoria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_Toc156234705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5A31ED">
          <w:rPr>
            <w:noProof/>
            <w:webHidden/>
          </w:rPr>
          <w:t>7</w:t>
        </w:r>
        <w:r w:rsidR="00367483">
          <w:rPr>
            <w:noProof/>
            <w:webHidden/>
          </w:rPr>
          <w:fldChar w:fldCharType="end"/>
        </w:r>
      </w:hyperlink>
    </w:p>
    <w:p w14:paraId="5E9E287F" w14:textId="11399D89" w:rsidR="00367483" w:rsidRDefault="00985DB1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6" w:history="1">
        <w:r w:rsidR="00367483" w:rsidRPr="001A6CE5">
          <w:rPr>
            <w:rStyle w:val="Hyperlink"/>
            <w:noProof/>
          </w:rPr>
          <w:t>Western Australia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_Toc156234706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5A31ED">
          <w:rPr>
            <w:noProof/>
            <w:webHidden/>
          </w:rPr>
          <w:t>8</w:t>
        </w:r>
        <w:r w:rsidR="00367483">
          <w:rPr>
            <w:noProof/>
            <w:webHidden/>
          </w:rPr>
          <w:fldChar w:fldCharType="end"/>
        </w:r>
      </w:hyperlink>
    </w:p>
    <w:p w14:paraId="5E9E2880" w14:textId="77777777" w:rsidR="004F08DB" w:rsidRDefault="00645BA5" w:rsidP="00645BA5">
      <w:pPr>
        <w:rPr>
          <w:b/>
          <w:u w:val="single" w:color="4BB3B5"/>
        </w:rPr>
      </w:pPr>
      <w:r>
        <w:rPr>
          <w:b/>
          <w:u w:val="single" w:color="4BB3B5"/>
        </w:rPr>
        <w:fldChar w:fldCharType="end"/>
      </w:r>
    </w:p>
    <w:p w14:paraId="5E9E2881" w14:textId="77777777" w:rsidR="004F08DB" w:rsidRDefault="004F08DB">
      <w:pPr>
        <w:suppressAutoHyphens w:val="0"/>
        <w:rPr>
          <w:b/>
          <w:u w:val="single" w:color="4BB3B5"/>
        </w:rPr>
      </w:pPr>
      <w:r>
        <w:rPr>
          <w:b/>
          <w:u w:val="single" w:color="4BB3B5"/>
        </w:rPr>
        <w:br w:type="page"/>
      </w:r>
    </w:p>
    <w:p w14:paraId="5E9E2882" w14:textId="77777777" w:rsidR="004F08DB" w:rsidRDefault="004F08DB" w:rsidP="004F08DB">
      <w:pPr>
        <w:pStyle w:val="Heading2"/>
      </w:pPr>
      <w:bookmarkStart w:id="1" w:name="_Toc156234699"/>
      <w:r w:rsidRPr="00525340">
        <w:lastRenderedPageBreak/>
        <w:t>Australian Capital Territory</w:t>
      </w:r>
      <w:bookmarkEnd w:id="1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Australian Capital Territory"/>
      </w:tblPr>
      <w:tblGrid>
        <w:gridCol w:w="3767"/>
        <w:gridCol w:w="9354"/>
        <w:gridCol w:w="1675"/>
      </w:tblGrid>
      <w:tr w:rsidR="00E5095B" w14:paraId="5E9E2886" w14:textId="77777777" w:rsidTr="005D2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E9E2883" w14:textId="77777777"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14:paraId="5E9E2884" w14:textId="77777777"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14:paraId="5E9E2885" w14:textId="77777777"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3C2945" w14:paraId="791C1981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06FE2142" w14:textId="197534C1" w:rsidR="003C2945" w:rsidRPr="003701E0" w:rsidRDefault="003C2945" w:rsidP="003C2945">
            <w:pPr>
              <w:suppressAutoHyphens w:val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Conway Brothers Pty Ltd</w:t>
            </w:r>
          </w:p>
        </w:tc>
        <w:tc>
          <w:tcPr>
            <w:tcW w:w="3161" w:type="pct"/>
          </w:tcPr>
          <w:p w14:paraId="5E4EA276" w14:textId="7BB29692" w:rsidR="003C2945" w:rsidRPr="003701E0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Gang </w:t>
            </w:r>
            <w:proofErr w:type="spellStart"/>
            <w:r>
              <w:rPr>
                <w:rFonts w:ascii="Calibri" w:hAnsi="Calibri" w:cs="Calibri"/>
                <w:color w:val="000000"/>
              </w:rPr>
              <w:t>Gang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Café and Bar - Acoustic and Accessibility Upgrade and Artist Fees</w:t>
            </w:r>
          </w:p>
        </w:tc>
        <w:tc>
          <w:tcPr>
            <w:tcW w:w="566" w:type="pct"/>
          </w:tcPr>
          <w:p w14:paraId="09BB7FA2" w14:textId="708551DA" w:rsidR="003C2945" w:rsidRPr="003701E0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$40,000</w:t>
            </w:r>
          </w:p>
        </w:tc>
      </w:tr>
      <w:tr w:rsidR="003C2945" w14:paraId="7263E133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A6FF308" w14:textId="042F3585" w:rsidR="003C2945" w:rsidRPr="003B1961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Fiction Club Pty Ltd</w:t>
            </w:r>
          </w:p>
        </w:tc>
        <w:tc>
          <w:tcPr>
            <w:tcW w:w="3161" w:type="pct"/>
          </w:tcPr>
          <w:p w14:paraId="53CB3D91" w14:textId="7A150ED3" w:rsidR="003C2945" w:rsidRPr="003B1961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Fiction Club - Original Australian Artist Fees</w:t>
            </w:r>
          </w:p>
        </w:tc>
        <w:tc>
          <w:tcPr>
            <w:tcW w:w="566" w:type="pct"/>
          </w:tcPr>
          <w:p w14:paraId="3705BE57" w14:textId="741C2EFE" w:rsidR="003C2945" w:rsidRPr="00366BE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$90,000</w:t>
            </w:r>
          </w:p>
        </w:tc>
      </w:tr>
      <w:tr w:rsidR="003C2945" w14:paraId="48AE4105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37F37005" w14:textId="14E69F0E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Joel </w:t>
            </w:r>
            <w:proofErr w:type="spellStart"/>
            <w:r>
              <w:rPr>
                <w:rFonts w:ascii="Calibri" w:hAnsi="Calibri" w:cs="Calibri"/>
                <w:color w:val="000000"/>
              </w:rPr>
              <w:t>Cabban</w:t>
            </w:r>
            <w:proofErr w:type="spellEnd"/>
          </w:p>
        </w:tc>
        <w:tc>
          <w:tcPr>
            <w:tcW w:w="3161" w:type="pct"/>
          </w:tcPr>
          <w:p w14:paraId="111D53C6" w14:textId="6E708CDD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Dansonfest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2025 - Artist Fees and Marketing Costs</w:t>
            </w:r>
          </w:p>
        </w:tc>
        <w:tc>
          <w:tcPr>
            <w:tcW w:w="566" w:type="pct"/>
          </w:tcPr>
          <w:p w14:paraId="2D23923F" w14:textId="7843B6AA"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$25,000</w:t>
            </w:r>
          </w:p>
        </w:tc>
      </w:tr>
      <w:tr w:rsidR="003C2945" w14:paraId="77E600C1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08827C0E" w14:textId="6ED8DDA3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Folk Festival Limited</w:t>
            </w:r>
          </w:p>
        </w:tc>
        <w:tc>
          <w:tcPr>
            <w:tcW w:w="3161" w:type="pct"/>
          </w:tcPr>
          <w:p w14:paraId="10DDC78E" w14:textId="10BBB107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Folk Festival 2025 - Original Australian Artist Fees, Equipment and Accessibility Costs</w:t>
            </w:r>
          </w:p>
        </w:tc>
        <w:tc>
          <w:tcPr>
            <w:tcW w:w="566" w:type="pct"/>
          </w:tcPr>
          <w:p w14:paraId="273D5B58" w14:textId="58C38347"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$120,000</w:t>
            </w:r>
          </w:p>
        </w:tc>
      </w:tr>
    </w:tbl>
    <w:p w14:paraId="5E9E288F" w14:textId="77777777" w:rsidR="004F08DB" w:rsidRDefault="004F08DB" w:rsidP="004F08DB">
      <w:pPr>
        <w:pStyle w:val="Heading2"/>
      </w:pPr>
      <w:bookmarkStart w:id="2" w:name="_Toc156234700"/>
      <w:r>
        <w:t>New South Wales</w:t>
      </w:r>
      <w:bookmarkEnd w:id="2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New South Wales"/>
      </w:tblPr>
      <w:tblGrid>
        <w:gridCol w:w="3767"/>
        <w:gridCol w:w="9354"/>
        <w:gridCol w:w="1675"/>
      </w:tblGrid>
      <w:tr w:rsidR="00E5095B" w14:paraId="5E9E2893" w14:textId="77777777" w:rsidTr="005D2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E9E2890" w14:textId="77777777"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14:paraId="5E9E2891" w14:textId="77777777"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14:paraId="5E9E2892" w14:textId="77777777"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3C2945" w14:paraId="58E805A8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7D513E7" w14:textId="53C5A872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Astral People Music Pty Ltd</w:t>
            </w:r>
          </w:p>
        </w:tc>
        <w:tc>
          <w:tcPr>
            <w:tcW w:w="3161" w:type="pct"/>
          </w:tcPr>
          <w:p w14:paraId="64695637" w14:textId="741ECDF6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Summer Dance Festival 2025 - Production Costs</w:t>
            </w:r>
          </w:p>
        </w:tc>
        <w:tc>
          <w:tcPr>
            <w:tcW w:w="566" w:type="pct"/>
          </w:tcPr>
          <w:p w14:paraId="381D58E4" w14:textId="4817B261"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$99,000</w:t>
            </w:r>
          </w:p>
        </w:tc>
      </w:tr>
      <w:tr w:rsidR="003C2945" w14:paraId="6C43D762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43A6EE89" w14:textId="3C7F7447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Bad Friday Pty Limited</w:t>
            </w:r>
          </w:p>
        </w:tc>
        <w:tc>
          <w:tcPr>
            <w:tcW w:w="3161" w:type="pct"/>
          </w:tcPr>
          <w:p w14:paraId="7619D595" w14:textId="113CD4B2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King Street Crawl Festival 2025 - Artist Fees and Production Costs</w:t>
            </w:r>
          </w:p>
        </w:tc>
        <w:tc>
          <w:tcPr>
            <w:tcW w:w="566" w:type="pct"/>
          </w:tcPr>
          <w:p w14:paraId="5823B0D6" w14:textId="69DF3F46" w:rsidR="003C2945" w:rsidRPr="00366BE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$125,000</w:t>
            </w:r>
          </w:p>
        </w:tc>
      </w:tr>
      <w:tr w:rsidR="003C2945" w14:paraId="398A0519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76AC7E33" w14:textId="6D317E66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proofErr w:type="spellStart"/>
            <w:r w:rsidRPr="00D74036">
              <w:t>Bandaid</w:t>
            </w:r>
            <w:proofErr w:type="spellEnd"/>
            <w:r w:rsidRPr="00D74036">
              <w:t xml:space="preserve"> Bookings and Festivals Pty Ltd</w:t>
            </w:r>
          </w:p>
        </w:tc>
        <w:tc>
          <w:tcPr>
            <w:tcW w:w="3161" w:type="pct"/>
          </w:tcPr>
          <w:p w14:paraId="527264E2" w14:textId="6A2181D4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West Best Bloc Fest 2025 - Artist Fees, Sound and Lighting Costs</w:t>
            </w:r>
          </w:p>
        </w:tc>
        <w:tc>
          <w:tcPr>
            <w:tcW w:w="566" w:type="pct"/>
          </w:tcPr>
          <w:p w14:paraId="099523C5" w14:textId="60606B88" w:rsidR="003C2945" w:rsidRPr="00366BE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$67,000</w:t>
            </w:r>
          </w:p>
        </w:tc>
      </w:tr>
      <w:tr w:rsidR="003C2945" w14:paraId="2336FE9B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2DC53957" w14:textId="6D8CC240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proofErr w:type="spellStart"/>
            <w:r w:rsidRPr="00D74036">
              <w:t>Burrundi</w:t>
            </w:r>
            <w:proofErr w:type="spellEnd"/>
            <w:r w:rsidRPr="00D74036">
              <w:t xml:space="preserve"> Theatre for Performing Arts Limited</w:t>
            </w:r>
          </w:p>
        </w:tc>
        <w:tc>
          <w:tcPr>
            <w:tcW w:w="3161" w:type="pct"/>
          </w:tcPr>
          <w:p w14:paraId="02357768" w14:textId="7481FA1A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D74036">
              <w:t>Warangesda</w:t>
            </w:r>
            <w:proofErr w:type="spellEnd"/>
            <w:r w:rsidRPr="00D74036">
              <w:t xml:space="preserve"> Festival 2025 - Artist Fees and Production Costs</w:t>
            </w:r>
          </w:p>
        </w:tc>
        <w:tc>
          <w:tcPr>
            <w:tcW w:w="566" w:type="pct"/>
          </w:tcPr>
          <w:p w14:paraId="5832781E" w14:textId="1918A0F6" w:rsidR="003C2945" w:rsidRPr="00366BE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$59,750</w:t>
            </w:r>
          </w:p>
        </w:tc>
      </w:tr>
      <w:tr w:rsidR="003C2945" w14:paraId="6744CE0F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2A2580E9" w14:textId="65766930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 xml:space="preserve">Carter </w:t>
            </w:r>
            <w:proofErr w:type="spellStart"/>
            <w:r w:rsidRPr="00D74036">
              <w:t>Tex</w:t>
            </w:r>
            <w:proofErr w:type="spellEnd"/>
            <w:r w:rsidRPr="00D74036">
              <w:t xml:space="preserve"> Clothing Pty Ltd</w:t>
            </w:r>
          </w:p>
        </w:tc>
        <w:tc>
          <w:tcPr>
            <w:tcW w:w="3161" w:type="pct"/>
          </w:tcPr>
          <w:p w14:paraId="7BCF20F7" w14:textId="5B4D599F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Boogie Woogie Beach House - Artist Fees and Equipment Upgrade</w:t>
            </w:r>
          </w:p>
        </w:tc>
        <w:tc>
          <w:tcPr>
            <w:tcW w:w="566" w:type="pct"/>
          </w:tcPr>
          <w:p w14:paraId="54309805" w14:textId="1AC1D79C" w:rsidR="003C2945" w:rsidRPr="00366BE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$44,613</w:t>
            </w:r>
          </w:p>
        </w:tc>
      </w:tr>
      <w:tr w:rsidR="003C2945" w14:paraId="6B27322C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51446DD" w14:textId="1DDE1D32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 xml:space="preserve">City Recital Hall </w:t>
            </w:r>
            <w:proofErr w:type="spellStart"/>
            <w:r w:rsidRPr="00D74036">
              <w:t>Limited</w:t>
            </w:r>
            <w:r w:rsidR="00666A7D">
              <w:t>I</w:t>
            </w:r>
            <w:proofErr w:type="spellEnd"/>
          </w:p>
        </w:tc>
        <w:tc>
          <w:tcPr>
            <w:tcW w:w="3161" w:type="pct"/>
          </w:tcPr>
          <w:p w14:paraId="45EF5172" w14:textId="62BF6404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City Recital Hall - Infrastructure Upgrades</w:t>
            </w:r>
          </w:p>
        </w:tc>
        <w:tc>
          <w:tcPr>
            <w:tcW w:w="566" w:type="pct"/>
          </w:tcPr>
          <w:p w14:paraId="09144EFF" w14:textId="587D1D33"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$94,250</w:t>
            </w:r>
          </w:p>
        </w:tc>
      </w:tr>
      <w:tr w:rsidR="003C2945" w14:paraId="64513B37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28BF48F7" w14:textId="69FE112A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Crowbar (NSW) Pty Ltd</w:t>
            </w:r>
          </w:p>
        </w:tc>
        <w:tc>
          <w:tcPr>
            <w:tcW w:w="3161" w:type="pct"/>
          </w:tcPr>
          <w:p w14:paraId="4D5EF4A3" w14:textId="45F25391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Crowbar - Artist Fees, Marketing, Professional Development, Equipment and Accessibility Upgrade</w:t>
            </w:r>
          </w:p>
        </w:tc>
        <w:tc>
          <w:tcPr>
            <w:tcW w:w="566" w:type="pct"/>
          </w:tcPr>
          <w:p w14:paraId="4EDBE0F0" w14:textId="6E3AEC1F"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$99,559</w:t>
            </w:r>
          </w:p>
        </w:tc>
      </w:tr>
      <w:tr w:rsidR="003C2945" w14:paraId="6BAFFF28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C356EFE" w14:textId="5AB94B86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Daniel Freeman</w:t>
            </w:r>
          </w:p>
        </w:tc>
        <w:tc>
          <w:tcPr>
            <w:tcW w:w="3161" w:type="pct"/>
          </w:tcPr>
          <w:p w14:paraId="08EFFF49" w14:textId="5AFD62AC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D74036">
              <w:t>Nellijam</w:t>
            </w:r>
            <w:proofErr w:type="spellEnd"/>
            <w:r w:rsidRPr="00D74036">
              <w:t xml:space="preserve"> Music Festival 2025 - Artist Fees, Marketing and Production Costs</w:t>
            </w:r>
          </w:p>
        </w:tc>
        <w:tc>
          <w:tcPr>
            <w:tcW w:w="566" w:type="pct"/>
          </w:tcPr>
          <w:p w14:paraId="7A215467" w14:textId="2E850F90"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$24,168</w:t>
            </w:r>
          </w:p>
        </w:tc>
      </w:tr>
      <w:tr w:rsidR="003C2945" w14:paraId="0A924ABF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42AC1A5A" w14:textId="536F9C5C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proofErr w:type="spellStart"/>
            <w:r w:rsidRPr="00D74036">
              <w:t>Eqwine</w:t>
            </w:r>
            <w:proofErr w:type="spellEnd"/>
            <w:r w:rsidRPr="00D74036">
              <w:t xml:space="preserve"> Pty Ltd</w:t>
            </w:r>
          </w:p>
        </w:tc>
        <w:tc>
          <w:tcPr>
            <w:tcW w:w="3161" w:type="pct"/>
          </w:tcPr>
          <w:p w14:paraId="5F7BB474" w14:textId="353689D7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D74036">
              <w:t>Canobolas</w:t>
            </w:r>
            <w:proofErr w:type="spellEnd"/>
            <w:r w:rsidRPr="00D74036">
              <w:t xml:space="preserve"> Dance Hall - Equipment Upgrade</w:t>
            </w:r>
          </w:p>
        </w:tc>
        <w:tc>
          <w:tcPr>
            <w:tcW w:w="566" w:type="pct"/>
          </w:tcPr>
          <w:p w14:paraId="27C6A41A" w14:textId="05F30CAA"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$28,000</w:t>
            </w:r>
          </w:p>
        </w:tc>
      </w:tr>
      <w:tr w:rsidR="003C2945" w14:paraId="3359BC4C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35A54CF9" w14:textId="6B4C67C2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Gig Big Pty Ltd</w:t>
            </w:r>
          </w:p>
        </w:tc>
        <w:tc>
          <w:tcPr>
            <w:tcW w:w="3161" w:type="pct"/>
          </w:tcPr>
          <w:p w14:paraId="2186C519" w14:textId="36AD9EC5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River Sounds Festival 2025 - Original Australian Artist Fees</w:t>
            </w:r>
          </w:p>
        </w:tc>
        <w:tc>
          <w:tcPr>
            <w:tcW w:w="566" w:type="pct"/>
          </w:tcPr>
          <w:p w14:paraId="4A44255A" w14:textId="314D003D"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$93,000</w:t>
            </w:r>
          </w:p>
        </w:tc>
      </w:tr>
      <w:tr w:rsidR="003C2945" w14:paraId="785EE28A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31597244" w14:textId="425B2F67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proofErr w:type="spellStart"/>
            <w:r w:rsidRPr="00D74036">
              <w:t>Girrakool</w:t>
            </w:r>
            <w:proofErr w:type="spellEnd"/>
            <w:r w:rsidRPr="00D74036">
              <w:t xml:space="preserve"> Blues Foundation Ltd</w:t>
            </w:r>
          </w:p>
        </w:tc>
        <w:tc>
          <w:tcPr>
            <w:tcW w:w="3161" w:type="pct"/>
          </w:tcPr>
          <w:p w14:paraId="4F81737E" w14:textId="207044D4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D74036">
              <w:t>Girrakool</w:t>
            </w:r>
            <w:proofErr w:type="spellEnd"/>
            <w:r w:rsidRPr="00D74036">
              <w:t xml:space="preserve"> Blues Festival 2026 - Artist Fees and Staging Costs</w:t>
            </w:r>
          </w:p>
        </w:tc>
        <w:tc>
          <w:tcPr>
            <w:tcW w:w="566" w:type="pct"/>
          </w:tcPr>
          <w:p w14:paraId="34388BFB" w14:textId="42D74752"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$85,700</w:t>
            </w:r>
          </w:p>
        </w:tc>
      </w:tr>
      <w:tr w:rsidR="003C2945" w14:paraId="3E64DC94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B6659E5" w14:textId="2BA161BD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HG Events Pty Ltd</w:t>
            </w:r>
          </w:p>
        </w:tc>
        <w:tc>
          <w:tcPr>
            <w:tcW w:w="3161" w:type="pct"/>
          </w:tcPr>
          <w:p w14:paraId="50939370" w14:textId="58A4BF8E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Heaps Gay Street Festival 2025 - Original Australian Artist Fees</w:t>
            </w:r>
          </w:p>
        </w:tc>
        <w:tc>
          <w:tcPr>
            <w:tcW w:w="566" w:type="pct"/>
          </w:tcPr>
          <w:p w14:paraId="488C033B" w14:textId="11D928F0"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$25,000</w:t>
            </w:r>
          </w:p>
        </w:tc>
      </w:tr>
      <w:tr w:rsidR="003C2945" w14:paraId="244AB619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25E3919" w14:textId="423661BC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lastRenderedPageBreak/>
              <w:t>Kiama Jazz Club Incorporated</w:t>
            </w:r>
          </w:p>
        </w:tc>
        <w:tc>
          <w:tcPr>
            <w:tcW w:w="3161" w:type="pct"/>
          </w:tcPr>
          <w:p w14:paraId="43C1333F" w14:textId="133D4F98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Kiama Jazz &amp; Blues Festival 2025 - Original Australian Artist Fees and Equipment Costs</w:t>
            </w:r>
          </w:p>
        </w:tc>
        <w:tc>
          <w:tcPr>
            <w:tcW w:w="566" w:type="pct"/>
          </w:tcPr>
          <w:p w14:paraId="65D7D672" w14:textId="66BBCB87"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$40,000</w:t>
            </w:r>
          </w:p>
        </w:tc>
      </w:tr>
      <w:tr w:rsidR="003C2945" w14:paraId="272B8FA6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7EBA0E1E" w14:textId="3223363D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Kiama Music and Arts Pty Ltd</w:t>
            </w:r>
          </w:p>
        </w:tc>
        <w:tc>
          <w:tcPr>
            <w:tcW w:w="3161" w:type="pct"/>
          </w:tcPr>
          <w:p w14:paraId="42BC7F86" w14:textId="0BE48899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Clearly Festival Music Series 2024-25 - Original Australian Artist Fees</w:t>
            </w:r>
          </w:p>
        </w:tc>
        <w:tc>
          <w:tcPr>
            <w:tcW w:w="566" w:type="pct"/>
          </w:tcPr>
          <w:p w14:paraId="5474FD70" w14:textId="4D7BDAED"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$75,000</w:t>
            </w:r>
          </w:p>
        </w:tc>
      </w:tr>
      <w:tr w:rsidR="003C2945" w14:paraId="68F2CE35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4D32A49A" w14:textId="5958FF2B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Laughing Bird Arts Association Incorporated</w:t>
            </w:r>
          </w:p>
        </w:tc>
        <w:tc>
          <w:tcPr>
            <w:tcW w:w="3161" w:type="pct"/>
          </w:tcPr>
          <w:p w14:paraId="2AE184DC" w14:textId="4641E731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Avoca Beach Theatre - Accessibility Upgrade, Original Australian Artist Fees, Marketing and Production Costs</w:t>
            </w:r>
          </w:p>
        </w:tc>
        <w:tc>
          <w:tcPr>
            <w:tcW w:w="566" w:type="pct"/>
          </w:tcPr>
          <w:p w14:paraId="28B2A864" w14:textId="238A8A9E"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$89,979</w:t>
            </w:r>
          </w:p>
        </w:tc>
      </w:tr>
      <w:tr w:rsidR="003C2945" w14:paraId="650BCB35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45DDA4D7" w14:textId="694F2315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Lazy Thinking Restaurant Pty Ltd</w:t>
            </w:r>
          </w:p>
        </w:tc>
        <w:tc>
          <w:tcPr>
            <w:tcW w:w="3161" w:type="pct"/>
          </w:tcPr>
          <w:p w14:paraId="6309A0EC" w14:textId="1C01C621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Lazy Thinking - Artist Fees, Equipment and Marketing Costs</w:t>
            </w:r>
          </w:p>
        </w:tc>
        <w:tc>
          <w:tcPr>
            <w:tcW w:w="566" w:type="pct"/>
          </w:tcPr>
          <w:p w14:paraId="036F6F41" w14:textId="14F4A50B"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$68,000</w:t>
            </w:r>
          </w:p>
        </w:tc>
      </w:tr>
      <w:tr w:rsidR="003C2945" w14:paraId="06E49289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07F8BBF" w14:textId="0B1AB03D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Lismore City Council</w:t>
            </w:r>
          </w:p>
        </w:tc>
        <w:tc>
          <w:tcPr>
            <w:tcW w:w="3161" w:type="pct"/>
          </w:tcPr>
          <w:p w14:paraId="0820C98D" w14:textId="19E7DC3E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Lismore Regional Gallery Quadrangle Music Program - Artist Fees, Production and Accessibility Costs</w:t>
            </w:r>
          </w:p>
        </w:tc>
        <w:tc>
          <w:tcPr>
            <w:tcW w:w="566" w:type="pct"/>
          </w:tcPr>
          <w:p w14:paraId="6CE0CB4F" w14:textId="086C6214"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$55,700</w:t>
            </w:r>
          </w:p>
        </w:tc>
      </w:tr>
      <w:tr w:rsidR="003C2945" w14:paraId="6DF56629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09D63690" w14:textId="6EF90652" w:rsidR="003C2945" w:rsidRPr="005C1DEA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5C1DEA">
              <w:t>Lost Paradise Glenworth Valley Pty Limited</w:t>
            </w:r>
          </w:p>
        </w:tc>
        <w:tc>
          <w:tcPr>
            <w:tcW w:w="3161" w:type="pct"/>
          </w:tcPr>
          <w:p w14:paraId="79F7ECE7" w14:textId="627462C9" w:rsidR="003C2945" w:rsidRPr="005C1DEA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5C1DEA">
              <w:t>Lost Paradise Festival 10th Anniversary 2024-25 - Production and Accessibility Costs</w:t>
            </w:r>
          </w:p>
        </w:tc>
        <w:tc>
          <w:tcPr>
            <w:tcW w:w="566" w:type="pct"/>
          </w:tcPr>
          <w:p w14:paraId="37485BC5" w14:textId="40FB4CE4" w:rsidR="003C2945" w:rsidRPr="005C1DEA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C1DEA">
              <w:t>$101,500</w:t>
            </w:r>
          </w:p>
        </w:tc>
      </w:tr>
      <w:tr w:rsidR="003C2945" w14:paraId="0D059EE3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7A5D2BAD" w14:textId="25FEA18C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Love Culburra Beach Festival Inc</w:t>
            </w:r>
          </w:p>
        </w:tc>
        <w:tc>
          <w:tcPr>
            <w:tcW w:w="3161" w:type="pct"/>
          </w:tcPr>
          <w:p w14:paraId="6361848E" w14:textId="34883A3F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 xml:space="preserve">Culburra Beach Festival and </w:t>
            </w:r>
            <w:proofErr w:type="spellStart"/>
            <w:r w:rsidRPr="00D74036">
              <w:t>Burradise</w:t>
            </w:r>
            <w:proofErr w:type="spellEnd"/>
            <w:r w:rsidRPr="00D74036">
              <w:t xml:space="preserve"> Bash 2025 - Equipment, Marketing and Production Costs</w:t>
            </w:r>
          </w:p>
        </w:tc>
        <w:tc>
          <w:tcPr>
            <w:tcW w:w="566" w:type="pct"/>
          </w:tcPr>
          <w:p w14:paraId="2F272D67" w14:textId="03C1A671"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$39,000</w:t>
            </w:r>
          </w:p>
        </w:tc>
      </w:tr>
      <w:tr w:rsidR="003C2945" w14:paraId="753078F9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2BAD3578" w14:textId="692F5A2D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Luke Woods</w:t>
            </w:r>
          </w:p>
        </w:tc>
        <w:tc>
          <w:tcPr>
            <w:tcW w:w="3161" w:type="pct"/>
          </w:tcPr>
          <w:p w14:paraId="2EE90F9E" w14:textId="58A361A3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Thirroul Music Festival 2024 - Artist Fees and Marketing Costs</w:t>
            </w:r>
          </w:p>
        </w:tc>
        <w:tc>
          <w:tcPr>
            <w:tcW w:w="566" w:type="pct"/>
          </w:tcPr>
          <w:p w14:paraId="3E08DDC4" w14:textId="371AE7D6"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$25,000</w:t>
            </w:r>
          </w:p>
        </w:tc>
      </w:tr>
      <w:tr w:rsidR="003C2945" w14:paraId="6C6184EB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F9DE151" w14:textId="0EE59CA2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Playbill Venues Pty Ltd</w:t>
            </w:r>
          </w:p>
        </w:tc>
        <w:tc>
          <w:tcPr>
            <w:tcW w:w="3161" w:type="pct"/>
          </w:tcPr>
          <w:p w14:paraId="46D9B9D1" w14:textId="14AB37A7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D74036">
              <w:t>Hordern</w:t>
            </w:r>
            <w:proofErr w:type="spellEnd"/>
            <w:r w:rsidRPr="00D74036">
              <w:t xml:space="preserve"> </w:t>
            </w:r>
            <w:r w:rsidR="00344259" w:rsidRPr="00D74036">
              <w:t>Pavilion</w:t>
            </w:r>
            <w:r w:rsidRPr="00D74036">
              <w:t xml:space="preserve"> - Accessibility Upgrades</w:t>
            </w:r>
          </w:p>
        </w:tc>
        <w:tc>
          <w:tcPr>
            <w:tcW w:w="566" w:type="pct"/>
          </w:tcPr>
          <w:p w14:paraId="29BA5527" w14:textId="1E3CCBB8"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$54,704</w:t>
            </w:r>
          </w:p>
        </w:tc>
      </w:tr>
      <w:tr w:rsidR="003C2945" w14:paraId="6DD4AB9C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74351DB5" w14:textId="11313E02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Port Kembla Chamber of Commerce and Industry Incorporated</w:t>
            </w:r>
          </w:p>
        </w:tc>
        <w:tc>
          <w:tcPr>
            <w:tcW w:w="3161" w:type="pct"/>
          </w:tcPr>
          <w:p w14:paraId="34C1B026" w14:textId="29248262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Port Kembla Festival 2025 - Original Australian Artist Fees, Production and Accessibility Costs</w:t>
            </w:r>
          </w:p>
        </w:tc>
        <w:tc>
          <w:tcPr>
            <w:tcW w:w="566" w:type="pct"/>
          </w:tcPr>
          <w:p w14:paraId="058F8457" w14:textId="1D60168E"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$32,500</w:t>
            </w:r>
          </w:p>
        </w:tc>
      </w:tr>
      <w:tr w:rsidR="003C2945" w14:paraId="0DC153CD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2C86DBF" w14:textId="78AAB128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Red Floor Productions Pty Limited</w:t>
            </w:r>
          </w:p>
        </w:tc>
        <w:tc>
          <w:tcPr>
            <w:tcW w:w="3161" w:type="pct"/>
          </w:tcPr>
          <w:p w14:paraId="2E26E56C" w14:textId="475B3747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The 20th Gum Ball Music and Arts Festival 2025 - Original Australian Artist Fees, Equipment and Accessibility Costs</w:t>
            </w:r>
          </w:p>
        </w:tc>
        <w:tc>
          <w:tcPr>
            <w:tcW w:w="566" w:type="pct"/>
          </w:tcPr>
          <w:p w14:paraId="253C1A15" w14:textId="0A4E0EB8"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$66,000</w:t>
            </w:r>
          </w:p>
        </w:tc>
      </w:tr>
      <w:tr w:rsidR="003C2945" w14:paraId="0CF3B9BB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083090AA" w14:textId="1164806D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D74036">
              <w:t>Servo Food Truck Bar Pty Ltd</w:t>
            </w:r>
          </w:p>
        </w:tc>
        <w:tc>
          <w:tcPr>
            <w:tcW w:w="3161" w:type="pct"/>
          </w:tcPr>
          <w:p w14:paraId="4A2A8E8B" w14:textId="579FA313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74036">
              <w:t>The Servo - Audio Equipment Costs</w:t>
            </w:r>
          </w:p>
        </w:tc>
        <w:tc>
          <w:tcPr>
            <w:tcW w:w="566" w:type="pct"/>
          </w:tcPr>
          <w:p w14:paraId="5DAB3A98" w14:textId="6F97671B"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$49,000</w:t>
            </w:r>
          </w:p>
        </w:tc>
      </w:tr>
      <w:tr w:rsidR="003C2945" w14:paraId="5FA52686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7D28EC9C" w14:textId="6D14568D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A44FE8">
              <w:t>Subsonic Music Festival Pty Ltd</w:t>
            </w:r>
          </w:p>
        </w:tc>
        <w:tc>
          <w:tcPr>
            <w:tcW w:w="3161" w:type="pct"/>
          </w:tcPr>
          <w:p w14:paraId="260A06EC" w14:textId="404944FA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44FE8">
              <w:t>Subsonic Music Festival 2025 - Equipment and Staging Costs</w:t>
            </w:r>
          </w:p>
        </w:tc>
        <w:tc>
          <w:tcPr>
            <w:tcW w:w="566" w:type="pct"/>
          </w:tcPr>
          <w:p w14:paraId="69B85516" w14:textId="1E5B74D7"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$49,535</w:t>
            </w:r>
          </w:p>
        </w:tc>
      </w:tr>
      <w:tr w:rsidR="003C2945" w14:paraId="4CB272AD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DC3D458" w14:textId="55E7F812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A44FE8">
              <w:t>The Broadwater Group Pty Ltd</w:t>
            </w:r>
          </w:p>
        </w:tc>
        <w:tc>
          <w:tcPr>
            <w:tcW w:w="3161" w:type="pct"/>
          </w:tcPr>
          <w:p w14:paraId="3CB622DD" w14:textId="3F24AECB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44FE8">
              <w:t>Never Had So Much Fun 2025 all ages event at Drifters Wharf - Original Australian Artist Fees and Marketing Costs</w:t>
            </w:r>
          </w:p>
        </w:tc>
        <w:tc>
          <w:tcPr>
            <w:tcW w:w="566" w:type="pct"/>
          </w:tcPr>
          <w:p w14:paraId="32644B88" w14:textId="359E23AA"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$50,000</w:t>
            </w:r>
          </w:p>
        </w:tc>
      </w:tr>
      <w:tr w:rsidR="003C2945" w14:paraId="3F247CDD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74E6419E" w14:textId="7D527CEE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A44FE8">
              <w:t>The Trustee for Oxford Underground Unit Trust</w:t>
            </w:r>
          </w:p>
        </w:tc>
        <w:tc>
          <w:tcPr>
            <w:tcW w:w="3161" w:type="pct"/>
          </w:tcPr>
          <w:p w14:paraId="40704462" w14:textId="608FB8D6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44FE8">
              <w:t>Oxford Art Factory Gallery Bar - Sound and Lighting Upgrade</w:t>
            </w:r>
          </w:p>
        </w:tc>
        <w:tc>
          <w:tcPr>
            <w:tcW w:w="566" w:type="pct"/>
          </w:tcPr>
          <w:p w14:paraId="2DFC325A" w14:textId="0ECAF625"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$50,741</w:t>
            </w:r>
          </w:p>
        </w:tc>
      </w:tr>
      <w:tr w:rsidR="003C2945" w14:paraId="45AF2477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75D6FFC6" w14:textId="04B2C5AF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A44FE8">
              <w:t>The Trustee for The Duke Enmore Unit Trust</w:t>
            </w:r>
          </w:p>
        </w:tc>
        <w:tc>
          <w:tcPr>
            <w:tcW w:w="3161" w:type="pct"/>
          </w:tcPr>
          <w:p w14:paraId="541F58CC" w14:textId="5956792E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44FE8">
              <w:t>Duke of Enmore - Equipment and Accessibility Upgrades</w:t>
            </w:r>
          </w:p>
        </w:tc>
        <w:tc>
          <w:tcPr>
            <w:tcW w:w="566" w:type="pct"/>
          </w:tcPr>
          <w:p w14:paraId="519E6C57" w14:textId="1B51A490"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$66,777</w:t>
            </w:r>
          </w:p>
        </w:tc>
      </w:tr>
      <w:tr w:rsidR="003C2945" w14:paraId="1A1C138C" w14:textId="77777777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4CB88D7A" w14:textId="51AE7CAC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A44FE8">
              <w:t>Yours and Owls Events Pty Ltd</w:t>
            </w:r>
          </w:p>
        </w:tc>
        <w:tc>
          <w:tcPr>
            <w:tcW w:w="3161" w:type="pct"/>
          </w:tcPr>
          <w:p w14:paraId="5F186F63" w14:textId="2DF1C354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44FE8">
              <w:t>Yours and Owls Festival 2025 - Original Australian Artist Fees, Production and Accessibility Costs</w:t>
            </w:r>
          </w:p>
        </w:tc>
        <w:tc>
          <w:tcPr>
            <w:tcW w:w="566" w:type="pct"/>
          </w:tcPr>
          <w:p w14:paraId="477622A6" w14:textId="2425713C" w:rsidR="003C2945" w:rsidRDefault="003C2945" w:rsidP="003C2945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$190,719</w:t>
            </w:r>
          </w:p>
        </w:tc>
      </w:tr>
      <w:tr w:rsidR="003C2945" w14:paraId="2DDB9094" w14:textId="77777777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7B019DD9" w14:textId="416E5D48" w:rsidR="003C2945" w:rsidRPr="00A44FE8" w:rsidRDefault="003C2945" w:rsidP="003C2945">
            <w:pPr>
              <w:suppressAutoHyphens w:val="0"/>
            </w:pPr>
            <w:proofErr w:type="spellStart"/>
            <w:r w:rsidRPr="0009694E">
              <w:lastRenderedPageBreak/>
              <w:t>Yuin</w:t>
            </w:r>
            <w:proofErr w:type="spellEnd"/>
            <w:r w:rsidRPr="0009694E">
              <w:t xml:space="preserve"> Folk Club Incorporated</w:t>
            </w:r>
          </w:p>
        </w:tc>
        <w:tc>
          <w:tcPr>
            <w:tcW w:w="3161" w:type="pct"/>
          </w:tcPr>
          <w:p w14:paraId="08118353" w14:textId="41FD57DE" w:rsidR="003C2945" w:rsidRPr="00A44FE8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9694E">
              <w:t>Cobargo Folk Festival 2025 - Original Australian Artist Fees and Accessibility Costs</w:t>
            </w:r>
          </w:p>
        </w:tc>
        <w:tc>
          <w:tcPr>
            <w:tcW w:w="566" w:type="pct"/>
          </w:tcPr>
          <w:p w14:paraId="22E7B370" w14:textId="4B75D8DF" w:rsidR="003C2945" w:rsidRDefault="003C2945" w:rsidP="003C2945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7DC7">
              <w:t>$100,000</w:t>
            </w:r>
          </w:p>
        </w:tc>
      </w:tr>
    </w:tbl>
    <w:p w14:paraId="5E9E28BC" w14:textId="77777777" w:rsidR="004F08DB" w:rsidRDefault="004F08DB" w:rsidP="004F08DB">
      <w:pPr>
        <w:pStyle w:val="Heading2"/>
      </w:pPr>
      <w:bookmarkStart w:id="3" w:name="_Toc156234701"/>
      <w:r>
        <w:t>Northern Territory</w:t>
      </w:r>
      <w:bookmarkEnd w:id="3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Northern Territory"/>
      </w:tblPr>
      <w:tblGrid>
        <w:gridCol w:w="3767"/>
        <w:gridCol w:w="9354"/>
        <w:gridCol w:w="1675"/>
      </w:tblGrid>
      <w:tr w:rsidR="00E5095B" w14:paraId="5E9E28C0" w14:textId="77777777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E9E28BD" w14:textId="77777777"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14:paraId="5E9E28BE" w14:textId="77777777"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14:paraId="5E9E28BF" w14:textId="77777777"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3C2945" w14:paraId="217F6D6F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7C6D372C" w14:textId="324AA2F9" w:rsidR="003C2945" w:rsidRPr="00130E16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4F76FE">
              <w:t>Barkly Regional Arts Inc</w:t>
            </w:r>
          </w:p>
        </w:tc>
        <w:tc>
          <w:tcPr>
            <w:tcW w:w="3161" w:type="pct"/>
          </w:tcPr>
          <w:p w14:paraId="04EA9331" w14:textId="5F2E9268" w:rsidR="003C2945" w:rsidRPr="00130E16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F76FE">
              <w:t>Desert Harmony Festival 2025 - Artist Fees and Accessibility Costs</w:t>
            </w:r>
          </w:p>
        </w:tc>
        <w:tc>
          <w:tcPr>
            <w:tcW w:w="566" w:type="pct"/>
          </w:tcPr>
          <w:p w14:paraId="361D6A2F" w14:textId="54D4D52F" w:rsidR="003C2945" w:rsidRPr="00130E16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E3E">
              <w:t>$100,000</w:t>
            </w:r>
          </w:p>
        </w:tc>
      </w:tr>
      <w:tr w:rsidR="003C2945" w14:paraId="41374E7E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2124341E" w14:textId="3928109B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4F76FE">
              <w:t>Blacken Pty Ltd</w:t>
            </w:r>
          </w:p>
        </w:tc>
        <w:tc>
          <w:tcPr>
            <w:tcW w:w="3161" w:type="pct"/>
          </w:tcPr>
          <w:p w14:paraId="04F0254A" w14:textId="3567A31E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F76FE">
              <w:t>Blacken Open Air Festival 2025 - Artist Fees and Production Costs</w:t>
            </w:r>
          </w:p>
        </w:tc>
        <w:tc>
          <w:tcPr>
            <w:tcW w:w="566" w:type="pct"/>
          </w:tcPr>
          <w:p w14:paraId="0BD338D1" w14:textId="0D7E2998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E3E">
              <w:t>$82,400</w:t>
            </w:r>
          </w:p>
        </w:tc>
      </w:tr>
      <w:tr w:rsidR="003C2945" w14:paraId="16F7E673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00622042" w14:textId="63E9828C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4F76FE">
              <w:t>Nightcliff Arts Music and Culture Inc</w:t>
            </w:r>
          </w:p>
        </w:tc>
        <w:tc>
          <w:tcPr>
            <w:tcW w:w="3161" w:type="pct"/>
          </w:tcPr>
          <w:p w14:paraId="4F7C3295" w14:textId="10422E19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F76FE">
              <w:t>Nightcliff Seabreeze Festival 2025 - Original Australian Artist Fees, Marketing and Production Costs</w:t>
            </w:r>
          </w:p>
        </w:tc>
        <w:tc>
          <w:tcPr>
            <w:tcW w:w="566" w:type="pct"/>
          </w:tcPr>
          <w:p w14:paraId="6AAD5738" w14:textId="3C0E7713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E3E">
              <w:t>$85,000</w:t>
            </w:r>
          </w:p>
        </w:tc>
      </w:tr>
      <w:tr w:rsidR="003C2945" w14:paraId="53A36F61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3F507ADB" w14:textId="55EF2483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4F76FE">
              <w:t>Red Hot Arts Central Australia</w:t>
            </w:r>
          </w:p>
        </w:tc>
        <w:tc>
          <w:tcPr>
            <w:tcW w:w="3161" w:type="pct"/>
          </w:tcPr>
          <w:p w14:paraId="0D85FC6D" w14:textId="52588E9B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F76FE">
              <w:t>Desert Festival 2025 - Original Australian Artist Fees, Equipment and Accessibility Costs</w:t>
            </w:r>
          </w:p>
        </w:tc>
        <w:tc>
          <w:tcPr>
            <w:tcW w:w="566" w:type="pct"/>
          </w:tcPr>
          <w:p w14:paraId="6831A568" w14:textId="11FAD8FD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B0E3E">
              <w:t>$70,000</w:t>
            </w:r>
          </w:p>
        </w:tc>
      </w:tr>
    </w:tbl>
    <w:p w14:paraId="33A7B133" w14:textId="77777777" w:rsidR="005A31ED" w:rsidRDefault="005A31ED" w:rsidP="004F08DB">
      <w:pPr>
        <w:pStyle w:val="Heading2"/>
      </w:pPr>
      <w:bookmarkStart w:id="4" w:name="_Toc156234702"/>
    </w:p>
    <w:p w14:paraId="65DCFABC" w14:textId="77777777" w:rsidR="005A31ED" w:rsidRDefault="005A31ED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</w:pPr>
      <w:r>
        <w:br w:type="page"/>
      </w:r>
    </w:p>
    <w:p w14:paraId="5E9E28CD" w14:textId="4345BFD4" w:rsidR="004F08DB" w:rsidRDefault="004F08DB" w:rsidP="004F08DB">
      <w:pPr>
        <w:pStyle w:val="Heading2"/>
      </w:pPr>
      <w:r>
        <w:lastRenderedPageBreak/>
        <w:t>Queensland</w:t>
      </w:r>
      <w:bookmarkEnd w:id="4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Queensland"/>
      </w:tblPr>
      <w:tblGrid>
        <w:gridCol w:w="3767"/>
        <w:gridCol w:w="9354"/>
        <w:gridCol w:w="1675"/>
      </w:tblGrid>
      <w:tr w:rsidR="00E5095B" w14:paraId="5E9E28D1" w14:textId="77777777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E9E28CE" w14:textId="77777777"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14:paraId="5E9E28CF" w14:textId="77777777"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14:paraId="5E9E28D0" w14:textId="77777777"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3C2945" w14:paraId="5D5E1E0C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37C750A8" w14:textId="78012AC1" w:rsidR="003C2945" w:rsidRPr="001F44EA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3DW Group Pty Ltd</w:t>
            </w:r>
          </w:p>
        </w:tc>
        <w:tc>
          <w:tcPr>
            <w:tcW w:w="3161" w:type="pct"/>
          </w:tcPr>
          <w:p w14:paraId="746E02F0" w14:textId="1CBDB162" w:rsidR="003C2945" w:rsidRPr="001F44EA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Den Devine - Accessibility Costs</w:t>
            </w:r>
          </w:p>
        </w:tc>
        <w:tc>
          <w:tcPr>
            <w:tcW w:w="566" w:type="pct"/>
          </w:tcPr>
          <w:p w14:paraId="3B739D16" w14:textId="1CCBA31C" w:rsidR="003C2945" w:rsidRPr="001F44EA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$33,555</w:t>
            </w:r>
          </w:p>
        </w:tc>
      </w:tr>
      <w:tr w:rsidR="003C2945" w14:paraId="32A9B718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4AA6F873" w14:textId="3231CB57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 xml:space="preserve">Alethea Ann </w:t>
            </w:r>
            <w:proofErr w:type="spellStart"/>
            <w:r w:rsidRPr="007A07E7">
              <w:t>Beetson</w:t>
            </w:r>
            <w:proofErr w:type="spellEnd"/>
          </w:p>
        </w:tc>
        <w:tc>
          <w:tcPr>
            <w:tcW w:w="3161" w:type="pct"/>
          </w:tcPr>
          <w:p w14:paraId="02963929" w14:textId="6C769DDA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7A07E7">
              <w:t>Blak</w:t>
            </w:r>
            <w:proofErr w:type="spellEnd"/>
            <w:r w:rsidRPr="007A07E7">
              <w:t xml:space="preserve"> Day Out 2025 Indigenous-led Music Festival - Programming and Production Costs</w:t>
            </w:r>
          </w:p>
        </w:tc>
        <w:tc>
          <w:tcPr>
            <w:tcW w:w="566" w:type="pct"/>
          </w:tcPr>
          <w:p w14:paraId="581B8427" w14:textId="043E69EF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$68,000</w:t>
            </w:r>
          </w:p>
        </w:tc>
      </w:tr>
      <w:tr w:rsidR="00666A7D" w14:paraId="27763045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3F7B647D" w14:textId="7823F813" w:rsidR="00666A7D" w:rsidRPr="007A07E7" w:rsidRDefault="00666A7D" w:rsidP="00666A7D">
            <w:pPr>
              <w:suppressAutoHyphens w:val="0"/>
            </w:pPr>
            <w:r w:rsidRPr="00D74036">
              <w:t>CMC Rocks Pty Limited</w:t>
            </w:r>
          </w:p>
        </w:tc>
        <w:tc>
          <w:tcPr>
            <w:tcW w:w="3161" w:type="pct"/>
          </w:tcPr>
          <w:p w14:paraId="7BCAD4A4" w14:textId="16F0D96E" w:rsidR="00666A7D" w:rsidRPr="007A07E7" w:rsidRDefault="00666A7D" w:rsidP="00666A7D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4036">
              <w:t>CMC Rocks QLD Festival 2025 - Accessibility Costs</w:t>
            </w:r>
          </w:p>
        </w:tc>
        <w:tc>
          <w:tcPr>
            <w:tcW w:w="566" w:type="pct"/>
          </w:tcPr>
          <w:p w14:paraId="2F4C917D" w14:textId="30D2136C" w:rsidR="00666A7D" w:rsidRPr="00E91450" w:rsidRDefault="00666A7D" w:rsidP="00666A7D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DC7">
              <w:t>$69,300</w:t>
            </w:r>
          </w:p>
        </w:tc>
      </w:tr>
      <w:tr w:rsidR="003C2945" w14:paraId="7295258A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7487042" w14:textId="1C1D4D0C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Deep EP Pty Ltd</w:t>
            </w:r>
          </w:p>
        </w:tc>
        <w:tc>
          <w:tcPr>
            <w:tcW w:w="3161" w:type="pct"/>
          </w:tcPr>
          <w:p w14:paraId="61077C80" w14:textId="422D6CFC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Be Social Fest 2025 - Artist Fees, Marketing and Production Costs</w:t>
            </w:r>
          </w:p>
        </w:tc>
        <w:tc>
          <w:tcPr>
            <w:tcW w:w="566" w:type="pct"/>
          </w:tcPr>
          <w:p w14:paraId="7740233F" w14:textId="70C70A45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$60,000</w:t>
            </w:r>
          </w:p>
        </w:tc>
      </w:tr>
      <w:tr w:rsidR="003C2945" w14:paraId="29B17498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95C6AEC" w14:textId="14A24093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Eagle Lane Pty Ltd</w:t>
            </w:r>
          </w:p>
        </w:tc>
        <w:tc>
          <w:tcPr>
            <w:tcW w:w="3161" w:type="pct"/>
          </w:tcPr>
          <w:p w14:paraId="097EA0B3" w14:textId="5EF1CE88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Brooklyn Standard - Infrastructure and Equipment Upgrade, Production Costs</w:t>
            </w:r>
          </w:p>
        </w:tc>
        <w:tc>
          <w:tcPr>
            <w:tcW w:w="566" w:type="pct"/>
          </w:tcPr>
          <w:p w14:paraId="59E7B902" w14:textId="5AB7E555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$60,000</w:t>
            </w:r>
          </w:p>
        </w:tc>
      </w:tr>
      <w:tr w:rsidR="003C2945" w14:paraId="749A4B6A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9CC12B6" w14:textId="2BF4A05B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Gympie Muster Ltd</w:t>
            </w:r>
          </w:p>
        </w:tc>
        <w:tc>
          <w:tcPr>
            <w:tcW w:w="3161" w:type="pct"/>
          </w:tcPr>
          <w:p w14:paraId="54F6B62B" w14:textId="5E2603B6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Gympie Music Muster 2025 - First Nations and Emerging Artists Fees</w:t>
            </w:r>
          </w:p>
        </w:tc>
        <w:tc>
          <w:tcPr>
            <w:tcW w:w="566" w:type="pct"/>
          </w:tcPr>
          <w:p w14:paraId="17B77899" w14:textId="19D547E3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$60,000</w:t>
            </w:r>
          </w:p>
        </w:tc>
      </w:tr>
      <w:tr w:rsidR="003C2945" w14:paraId="5CCA8872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42138221" w14:textId="268AE562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Jimmy's Entertainment Pty Ltd</w:t>
            </w:r>
          </w:p>
        </w:tc>
        <w:tc>
          <w:tcPr>
            <w:tcW w:w="3161" w:type="pct"/>
          </w:tcPr>
          <w:p w14:paraId="0173F80B" w14:textId="3314D86A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Airlie Beach Festival of Music 2025 - Original Australian Artist Fees</w:t>
            </w:r>
          </w:p>
        </w:tc>
        <w:tc>
          <w:tcPr>
            <w:tcW w:w="566" w:type="pct"/>
          </w:tcPr>
          <w:p w14:paraId="58FF7F7B" w14:textId="24F05E29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$50,000</w:t>
            </w:r>
          </w:p>
        </w:tc>
      </w:tr>
      <w:tr w:rsidR="003C2945" w14:paraId="58E2E4B0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3962EAE8" w14:textId="5DA45EE2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Miami Marketta Pty Ltd</w:t>
            </w:r>
          </w:p>
        </w:tc>
        <w:tc>
          <w:tcPr>
            <w:tcW w:w="3161" w:type="pct"/>
          </w:tcPr>
          <w:p w14:paraId="22DAAAC3" w14:textId="6FA40BBB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Miami Marketta Rising Sounds Program - Original Australian Artist Fees</w:t>
            </w:r>
          </w:p>
        </w:tc>
        <w:tc>
          <w:tcPr>
            <w:tcW w:w="566" w:type="pct"/>
          </w:tcPr>
          <w:p w14:paraId="39D5C492" w14:textId="566265D4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$98,800</w:t>
            </w:r>
          </w:p>
        </w:tc>
      </w:tr>
      <w:tr w:rsidR="003C2945" w14:paraId="45B2E432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81403A6" w14:textId="0363067D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Mo's Desert Clubhouse Pty Ltd</w:t>
            </w:r>
          </w:p>
        </w:tc>
        <w:tc>
          <w:tcPr>
            <w:tcW w:w="3161" w:type="pct"/>
          </w:tcPr>
          <w:p w14:paraId="12DCD7D1" w14:textId="08FC9F23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Mo's Desert Clubhouse - Original Australian Artist Fees and Marketing Costs</w:t>
            </w:r>
          </w:p>
        </w:tc>
        <w:tc>
          <w:tcPr>
            <w:tcW w:w="566" w:type="pct"/>
          </w:tcPr>
          <w:p w14:paraId="3D501E9B" w14:textId="17E95254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$100,000</w:t>
            </w:r>
          </w:p>
        </w:tc>
      </w:tr>
      <w:tr w:rsidR="003C2945" w14:paraId="5BC1529B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7AE91B5E" w14:textId="5E71BE41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Robot Productions Pty Ltd</w:t>
            </w:r>
          </w:p>
        </w:tc>
        <w:tc>
          <w:tcPr>
            <w:tcW w:w="3161" w:type="pct"/>
          </w:tcPr>
          <w:p w14:paraId="5BCBD0BE" w14:textId="4C9CBAD3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7A07E7">
              <w:t>GreazeFest</w:t>
            </w:r>
            <w:proofErr w:type="spellEnd"/>
            <w:r w:rsidRPr="007A07E7">
              <w:t xml:space="preserve"> 25th Anniversary 2025 - Original Australian Artist Fees and Production Costs</w:t>
            </w:r>
          </w:p>
        </w:tc>
        <w:tc>
          <w:tcPr>
            <w:tcW w:w="566" w:type="pct"/>
          </w:tcPr>
          <w:p w14:paraId="351402EF" w14:textId="6D0831F6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$90,000</w:t>
            </w:r>
          </w:p>
        </w:tc>
      </w:tr>
      <w:tr w:rsidR="003C2945" w14:paraId="758D238E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228ADE99" w14:textId="33B80A1E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Solar Productions Pty Ltd</w:t>
            </w:r>
          </w:p>
        </w:tc>
        <w:tc>
          <w:tcPr>
            <w:tcW w:w="3161" w:type="pct"/>
          </w:tcPr>
          <w:p w14:paraId="448A68B3" w14:textId="3668F618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The Tivoli In The Round Program - Artist Fees and Infrastructure Costs</w:t>
            </w:r>
          </w:p>
        </w:tc>
        <w:tc>
          <w:tcPr>
            <w:tcW w:w="566" w:type="pct"/>
          </w:tcPr>
          <w:p w14:paraId="0CDF820F" w14:textId="6E719536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$91,785</w:t>
            </w:r>
          </w:p>
        </w:tc>
      </w:tr>
      <w:tr w:rsidR="003C2945" w14:paraId="638697F3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429A01EF" w14:textId="73B5BE59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Sound Australia (QLD) Pty Ltd</w:t>
            </w:r>
          </w:p>
        </w:tc>
        <w:tc>
          <w:tcPr>
            <w:tcW w:w="3161" w:type="pct"/>
          </w:tcPr>
          <w:p w14:paraId="294917B3" w14:textId="1E544F0D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Savannah in the Round Festival 2025 - Equipment and Accessibility Costs</w:t>
            </w:r>
          </w:p>
        </w:tc>
        <w:tc>
          <w:tcPr>
            <w:tcW w:w="566" w:type="pct"/>
          </w:tcPr>
          <w:p w14:paraId="741EFAC0" w14:textId="167639B9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$200,000</w:t>
            </w:r>
          </w:p>
        </w:tc>
      </w:tr>
      <w:tr w:rsidR="003C2945" w14:paraId="6425D92D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3D803D63" w14:textId="23695CCC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The Brightside Brisbane Pty Ltd</w:t>
            </w:r>
          </w:p>
        </w:tc>
        <w:tc>
          <w:tcPr>
            <w:tcW w:w="3161" w:type="pct"/>
          </w:tcPr>
          <w:p w14:paraId="7BBFDF52" w14:textId="1C19C4FE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The Brightside Outdoors - Infrastructure and Accessibility Upgrades</w:t>
            </w:r>
          </w:p>
        </w:tc>
        <w:tc>
          <w:tcPr>
            <w:tcW w:w="566" w:type="pct"/>
          </w:tcPr>
          <w:p w14:paraId="0AE73D43" w14:textId="5091207C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$100,000</w:t>
            </w:r>
          </w:p>
        </w:tc>
      </w:tr>
      <w:tr w:rsidR="003C2945" w14:paraId="476AB92B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B098923" w14:textId="23A717AC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proofErr w:type="spellStart"/>
            <w:r w:rsidRPr="007A07E7">
              <w:t>Woodfordia</w:t>
            </w:r>
            <w:proofErr w:type="spellEnd"/>
            <w:r w:rsidRPr="007A07E7">
              <w:t xml:space="preserve"> Inc</w:t>
            </w:r>
          </w:p>
        </w:tc>
        <w:tc>
          <w:tcPr>
            <w:tcW w:w="3161" w:type="pct"/>
          </w:tcPr>
          <w:p w14:paraId="57DECBDF" w14:textId="5C43DB54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Woodford Folk Festival 2024/25 - Accessibility, Production and Marketing Costs</w:t>
            </w:r>
          </w:p>
        </w:tc>
        <w:tc>
          <w:tcPr>
            <w:tcW w:w="566" w:type="pct"/>
          </w:tcPr>
          <w:p w14:paraId="194000C8" w14:textId="6A980A50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$114,595</w:t>
            </w:r>
          </w:p>
        </w:tc>
      </w:tr>
      <w:tr w:rsidR="003C2945" w14:paraId="203EE6AA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44E8F85" w14:textId="3242080C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7A07E7">
              <w:t>Your Mates Brewing Company Pty Ltd</w:t>
            </w:r>
          </w:p>
        </w:tc>
        <w:tc>
          <w:tcPr>
            <w:tcW w:w="3161" w:type="pct"/>
          </w:tcPr>
          <w:p w14:paraId="34E4C68C" w14:textId="2A3B88BB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A07E7">
              <w:t>Your Mates Bowls Pub - Sound Attenuation</w:t>
            </w:r>
          </w:p>
        </w:tc>
        <w:tc>
          <w:tcPr>
            <w:tcW w:w="566" w:type="pct"/>
          </w:tcPr>
          <w:p w14:paraId="47A1AB8C" w14:textId="65D09406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1450">
              <w:t>$21,800</w:t>
            </w:r>
          </w:p>
        </w:tc>
      </w:tr>
    </w:tbl>
    <w:p w14:paraId="25383B6A" w14:textId="77777777" w:rsidR="005A31ED" w:rsidRDefault="005A31ED" w:rsidP="004F08DB">
      <w:pPr>
        <w:pStyle w:val="Heading2"/>
      </w:pPr>
      <w:bookmarkStart w:id="5" w:name="_Toc156234703"/>
    </w:p>
    <w:p w14:paraId="750901F9" w14:textId="77777777" w:rsidR="005A31ED" w:rsidRDefault="005A31ED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</w:pPr>
      <w:r>
        <w:br w:type="page"/>
      </w:r>
    </w:p>
    <w:p w14:paraId="5E9E28EE" w14:textId="794C092D" w:rsidR="004F08DB" w:rsidRDefault="004F08DB" w:rsidP="004F08DB">
      <w:pPr>
        <w:pStyle w:val="Heading2"/>
      </w:pPr>
      <w:r>
        <w:lastRenderedPageBreak/>
        <w:t>South Australia</w:t>
      </w:r>
      <w:bookmarkEnd w:id="5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South Australia"/>
      </w:tblPr>
      <w:tblGrid>
        <w:gridCol w:w="3767"/>
        <w:gridCol w:w="9354"/>
        <w:gridCol w:w="1675"/>
      </w:tblGrid>
      <w:tr w:rsidR="00E5095B" w14:paraId="5E9E28F2" w14:textId="77777777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E9E28EF" w14:textId="77777777"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14:paraId="5E9E28F0" w14:textId="77777777"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14:paraId="5E9E28F1" w14:textId="77777777"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3C2945" w14:paraId="39B9498A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777F420" w14:textId="162B33B9" w:rsidR="003C2945" w:rsidRPr="003701E0" w:rsidRDefault="003C2945" w:rsidP="003C2945">
            <w:pPr>
              <w:rPr>
                <w:color w:val="000000"/>
              </w:rPr>
            </w:pPr>
            <w:r w:rsidRPr="006E3680">
              <w:t>Ancient World 5000 Pty Ltd</w:t>
            </w:r>
          </w:p>
        </w:tc>
        <w:tc>
          <w:tcPr>
            <w:tcW w:w="3161" w:type="pct"/>
          </w:tcPr>
          <w:p w14:paraId="7FDD6DBA" w14:textId="540B5FC0" w:rsidR="003C2945" w:rsidRPr="00190FF4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Ancient World - Accessibility Costs</w:t>
            </w:r>
          </w:p>
        </w:tc>
        <w:tc>
          <w:tcPr>
            <w:tcW w:w="566" w:type="pct"/>
          </w:tcPr>
          <w:p w14:paraId="6CC76D4E" w14:textId="267B67FC" w:rsidR="003C2945" w:rsidRPr="00190FF4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$13,120</w:t>
            </w:r>
          </w:p>
        </w:tc>
      </w:tr>
      <w:tr w:rsidR="003C2945" w14:paraId="174D6BF3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C5AC4A1" w14:textId="6D878303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>City of Port Adelaide Enfield</w:t>
            </w:r>
          </w:p>
        </w:tc>
        <w:tc>
          <w:tcPr>
            <w:tcW w:w="3161" w:type="pct"/>
          </w:tcPr>
          <w:p w14:paraId="71363B23" w14:textId="335271CA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New Found Sound Festival 2025 - Artist Fees, Marketing and Production Costs</w:t>
            </w:r>
          </w:p>
        </w:tc>
        <w:tc>
          <w:tcPr>
            <w:tcW w:w="566" w:type="pct"/>
          </w:tcPr>
          <w:p w14:paraId="4887A839" w14:textId="25326F65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$58,500</w:t>
            </w:r>
          </w:p>
        </w:tc>
      </w:tr>
      <w:tr w:rsidR="003C2945" w14:paraId="4C3AD082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BFBAB5A" w14:textId="55CCAE8C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>Crown &amp; Anchor Pty Ltd</w:t>
            </w:r>
          </w:p>
        </w:tc>
        <w:tc>
          <w:tcPr>
            <w:tcW w:w="3161" w:type="pct"/>
          </w:tcPr>
          <w:p w14:paraId="60E981D2" w14:textId="4BC31C48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Crown &amp; Anchor – Artist Fees and Production Costs</w:t>
            </w:r>
          </w:p>
        </w:tc>
        <w:tc>
          <w:tcPr>
            <w:tcW w:w="566" w:type="pct"/>
          </w:tcPr>
          <w:p w14:paraId="7926453B" w14:textId="5CF24992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$91,000</w:t>
            </w:r>
          </w:p>
        </w:tc>
      </w:tr>
      <w:tr w:rsidR="003C2945" w14:paraId="6B064F09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4A4B02DC" w14:textId="5F6E0B9A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>Disruptive Productions Pty Ltd</w:t>
            </w:r>
          </w:p>
        </w:tc>
        <w:tc>
          <w:tcPr>
            <w:tcW w:w="3161" w:type="pct"/>
          </w:tcPr>
          <w:p w14:paraId="3AB9A0F7" w14:textId="2FEE0A09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Froth &amp; Fury Festival 2024 - Original Australian Artist Fees</w:t>
            </w:r>
          </w:p>
        </w:tc>
        <w:tc>
          <w:tcPr>
            <w:tcW w:w="566" w:type="pct"/>
          </w:tcPr>
          <w:p w14:paraId="7E6104E9" w14:textId="6EE493C7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$40,000</w:t>
            </w:r>
          </w:p>
        </w:tc>
      </w:tr>
      <w:tr w:rsidR="003C2945" w14:paraId="3A168DB2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3D98E6C" w14:textId="5B78D9DE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 xml:space="preserve">R </w:t>
            </w:r>
            <w:proofErr w:type="spellStart"/>
            <w:r w:rsidRPr="006E3680">
              <w:t>Ormesher</w:t>
            </w:r>
            <w:proofErr w:type="spellEnd"/>
            <w:r w:rsidRPr="006E3680">
              <w:t xml:space="preserve"> &amp; B Van </w:t>
            </w:r>
            <w:proofErr w:type="spellStart"/>
            <w:r w:rsidRPr="006E3680">
              <w:t>Boekel</w:t>
            </w:r>
            <w:proofErr w:type="spellEnd"/>
            <w:r w:rsidRPr="006E3680">
              <w:t xml:space="preserve"> </w:t>
            </w:r>
          </w:p>
        </w:tc>
        <w:tc>
          <w:tcPr>
            <w:tcW w:w="3161" w:type="pct"/>
          </w:tcPr>
          <w:p w14:paraId="1C397A23" w14:textId="4499D203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Caltowie Chilled Out n Fired Up Festival 2025 - Production and Marketing Costs</w:t>
            </w:r>
          </w:p>
        </w:tc>
        <w:tc>
          <w:tcPr>
            <w:tcW w:w="566" w:type="pct"/>
          </w:tcPr>
          <w:p w14:paraId="640F4D54" w14:textId="547C6770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$45,970</w:t>
            </w:r>
          </w:p>
        </w:tc>
      </w:tr>
      <w:tr w:rsidR="003C2945" w14:paraId="7D65F0CF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1D3364D" w14:textId="04A9A84A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bookmarkStart w:id="6" w:name="_Hlk180152261"/>
            <w:r w:rsidRPr="006E3680">
              <w:t>Rhino Room Pty Ltd</w:t>
            </w:r>
            <w:bookmarkEnd w:id="6"/>
          </w:p>
        </w:tc>
        <w:tc>
          <w:tcPr>
            <w:tcW w:w="3161" w:type="pct"/>
          </w:tcPr>
          <w:p w14:paraId="7ED7063B" w14:textId="3DE95A3B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Rhino Room and Lowlife Bar - Original Australian Artist Fees, Marketing and Equipment Costs</w:t>
            </w:r>
          </w:p>
        </w:tc>
        <w:tc>
          <w:tcPr>
            <w:tcW w:w="566" w:type="pct"/>
          </w:tcPr>
          <w:p w14:paraId="1A16F29B" w14:textId="3E02C8DF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bookmarkStart w:id="7" w:name="_Hlk180152343"/>
            <w:r w:rsidRPr="0060771D">
              <w:t>$63,</w:t>
            </w:r>
            <w:r w:rsidR="00595036">
              <w:t>4</w:t>
            </w:r>
            <w:r w:rsidRPr="0060771D">
              <w:t>04</w:t>
            </w:r>
            <w:bookmarkEnd w:id="7"/>
          </w:p>
        </w:tc>
      </w:tr>
      <w:tr w:rsidR="003C2945" w14:paraId="5FCCE552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4C49933" w14:textId="3C376213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>Summertown Studio Pty Ltd</w:t>
            </w:r>
          </w:p>
        </w:tc>
        <w:tc>
          <w:tcPr>
            <w:tcW w:w="3161" w:type="pct"/>
          </w:tcPr>
          <w:p w14:paraId="15361BD6" w14:textId="33BA482C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Summertown Studio - Original Australian Artist Fees, Production and Accessibility Costs</w:t>
            </w:r>
          </w:p>
        </w:tc>
        <w:tc>
          <w:tcPr>
            <w:tcW w:w="566" w:type="pct"/>
          </w:tcPr>
          <w:p w14:paraId="57D6A035" w14:textId="69BB4C69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$56,000</w:t>
            </w:r>
          </w:p>
        </w:tc>
      </w:tr>
      <w:tr w:rsidR="003C2945" w14:paraId="79D61DE0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2867359" w14:textId="0C6F8E96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 xml:space="preserve">The Trustee for Tamara </w:t>
            </w:r>
            <w:proofErr w:type="spellStart"/>
            <w:r w:rsidRPr="006E3680">
              <w:t>Boakes</w:t>
            </w:r>
            <w:proofErr w:type="spellEnd"/>
            <w:r w:rsidRPr="006E3680">
              <w:t xml:space="preserve"> Family Trust</w:t>
            </w:r>
          </w:p>
        </w:tc>
        <w:tc>
          <w:tcPr>
            <w:tcW w:w="3161" w:type="pct"/>
          </w:tcPr>
          <w:p w14:paraId="0B040124" w14:textId="2EBDD8B9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Jive - Artist Fees, Equipment and Marketing Costs</w:t>
            </w:r>
          </w:p>
        </w:tc>
        <w:tc>
          <w:tcPr>
            <w:tcW w:w="566" w:type="pct"/>
          </w:tcPr>
          <w:p w14:paraId="33AC7375" w14:textId="516F593F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$100,000</w:t>
            </w:r>
          </w:p>
        </w:tc>
      </w:tr>
      <w:tr w:rsidR="003C2945" w14:paraId="51F429FA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26451A6E" w14:textId="44300EF1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>The Trustee for Vivien Tonkin Unit Trust</w:t>
            </w:r>
          </w:p>
        </w:tc>
        <w:tc>
          <w:tcPr>
            <w:tcW w:w="3161" w:type="pct"/>
          </w:tcPr>
          <w:p w14:paraId="4413B1C5" w14:textId="02BA164F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E3680">
              <w:t>The Gov - Equipment and Production Costs</w:t>
            </w:r>
          </w:p>
        </w:tc>
        <w:tc>
          <w:tcPr>
            <w:tcW w:w="566" w:type="pct"/>
          </w:tcPr>
          <w:p w14:paraId="4297BB2B" w14:textId="37BF9E74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$53,750</w:t>
            </w:r>
          </w:p>
        </w:tc>
      </w:tr>
      <w:tr w:rsidR="003C2945" w14:paraId="33C46DDB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EFB2EFE" w14:textId="37F6979C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6E3680">
              <w:t>Unity Gain Investments Pty Ltd</w:t>
            </w:r>
          </w:p>
        </w:tc>
        <w:tc>
          <w:tcPr>
            <w:tcW w:w="3161" w:type="pct"/>
          </w:tcPr>
          <w:p w14:paraId="25469194" w14:textId="0A231D62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6E3680">
              <w:t>Soundcity</w:t>
            </w:r>
            <w:proofErr w:type="spellEnd"/>
            <w:r w:rsidRPr="006E3680">
              <w:t xml:space="preserve"> - Infrastructure Upgrade</w:t>
            </w:r>
          </w:p>
        </w:tc>
        <w:tc>
          <w:tcPr>
            <w:tcW w:w="566" w:type="pct"/>
          </w:tcPr>
          <w:p w14:paraId="1F4BA34C" w14:textId="4D2E9671" w:rsidR="003C2945" w:rsidRDefault="003C2945" w:rsidP="003C2945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$21,346</w:t>
            </w:r>
          </w:p>
        </w:tc>
      </w:tr>
      <w:tr w:rsidR="003C2945" w14:paraId="37279D1D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1B73CD5" w14:textId="002AFDB1" w:rsidR="003C2945" w:rsidRDefault="003C2945" w:rsidP="003C2945">
            <w:pPr>
              <w:suppressAutoHyphens w:val="0"/>
              <w:rPr>
                <w:rFonts w:ascii="Calibri" w:hAnsi="Calibri" w:cs="Calibri"/>
                <w:color w:val="000000"/>
              </w:rPr>
            </w:pPr>
            <w:proofErr w:type="spellStart"/>
            <w:r w:rsidRPr="006E3680">
              <w:t>WOMAdelaide</w:t>
            </w:r>
            <w:proofErr w:type="spellEnd"/>
            <w:r w:rsidRPr="006E3680">
              <w:t xml:space="preserve"> Foundation Limited</w:t>
            </w:r>
          </w:p>
        </w:tc>
        <w:tc>
          <w:tcPr>
            <w:tcW w:w="3161" w:type="pct"/>
          </w:tcPr>
          <w:p w14:paraId="3DA57BCA" w14:textId="0C530E8D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6E3680">
              <w:t>WOMADelaide</w:t>
            </w:r>
            <w:proofErr w:type="spellEnd"/>
            <w:r w:rsidRPr="006E3680">
              <w:t xml:space="preserve"> Festival 2025 - Original Australian Artist Fees and Professional Development Costs</w:t>
            </w:r>
          </w:p>
        </w:tc>
        <w:tc>
          <w:tcPr>
            <w:tcW w:w="566" w:type="pct"/>
          </w:tcPr>
          <w:p w14:paraId="108AC802" w14:textId="0F4E3FC6" w:rsidR="003C2945" w:rsidRDefault="003C2945" w:rsidP="003C2945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771D">
              <w:t>$100,000</w:t>
            </w:r>
          </w:p>
        </w:tc>
      </w:tr>
    </w:tbl>
    <w:p w14:paraId="3E59FBC2" w14:textId="77777777" w:rsidR="003C2945" w:rsidRDefault="003C2945" w:rsidP="004F08DB">
      <w:pPr>
        <w:pStyle w:val="Heading2"/>
      </w:pPr>
      <w:bookmarkStart w:id="8" w:name="_Toc156234704"/>
    </w:p>
    <w:p w14:paraId="3432CDF6" w14:textId="77777777" w:rsidR="003C2945" w:rsidRDefault="003C2945" w:rsidP="004F08DB">
      <w:pPr>
        <w:pStyle w:val="Heading2"/>
      </w:pPr>
    </w:p>
    <w:p w14:paraId="5E9E28FB" w14:textId="3505A25E" w:rsidR="004F08DB" w:rsidRDefault="004F08DB" w:rsidP="004F08DB">
      <w:pPr>
        <w:pStyle w:val="Heading2"/>
      </w:pPr>
      <w:r>
        <w:t>Tasmania</w:t>
      </w:r>
      <w:bookmarkEnd w:id="8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Tasmania"/>
      </w:tblPr>
      <w:tblGrid>
        <w:gridCol w:w="3767"/>
        <w:gridCol w:w="9354"/>
        <w:gridCol w:w="1675"/>
      </w:tblGrid>
      <w:tr w:rsidR="00E5095B" w14:paraId="5E9E28FF" w14:textId="77777777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E9E28FC" w14:textId="77777777"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14:paraId="5E9E28FD" w14:textId="77777777"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14:paraId="5E9E28FE" w14:textId="77777777"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D30146" w14:paraId="650D2C6D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54069E2" w14:textId="44753A11" w:rsidR="00D30146" w:rsidRPr="003A19AE" w:rsidRDefault="00D30146" w:rsidP="00D30146">
            <w:pPr>
              <w:suppressAutoHyphens w:val="0"/>
            </w:pPr>
            <w:r w:rsidRPr="003C14B1">
              <w:t>Beerfest No.1 Pty Ltd</w:t>
            </w:r>
          </w:p>
        </w:tc>
        <w:tc>
          <w:tcPr>
            <w:tcW w:w="3161" w:type="pct"/>
          </w:tcPr>
          <w:p w14:paraId="232AEA78" w14:textId="604170E5" w:rsidR="00D30146" w:rsidRPr="003A19AE" w:rsidRDefault="00D30146" w:rsidP="00D30146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4B1">
              <w:t xml:space="preserve">Beerfest 2024/25 - Programming, Production and Accessibility Costs </w:t>
            </w:r>
          </w:p>
        </w:tc>
        <w:tc>
          <w:tcPr>
            <w:tcW w:w="566" w:type="pct"/>
          </w:tcPr>
          <w:p w14:paraId="4071B3D8" w14:textId="4994EF69" w:rsidR="00D30146" w:rsidRPr="001B13B0" w:rsidRDefault="00D30146" w:rsidP="00D30146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53C6">
              <w:t>$58,000</w:t>
            </w:r>
          </w:p>
        </w:tc>
      </w:tr>
      <w:tr w:rsidR="00590EB2" w14:paraId="418C31D5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2019D833" w14:textId="7ED02E36" w:rsidR="00590EB2" w:rsidRPr="00190FF4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A19AE">
              <w:lastRenderedPageBreak/>
              <w:t>Contemporary Music Services Tasmania Inc</w:t>
            </w:r>
          </w:p>
        </w:tc>
        <w:tc>
          <w:tcPr>
            <w:tcW w:w="3161" w:type="pct"/>
          </w:tcPr>
          <w:p w14:paraId="1A87EEBA" w14:textId="29BAD6D4" w:rsidR="00590EB2" w:rsidRPr="00190FF4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A19AE">
              <w:t>Ignite Music Tasmania Youth Development Program - Artist Fees, Workshop, Marketing and Production Costs</w:t>
            </w:r>
          </w:p>
        </w:tc>
        <w:tc>
          <w:tcPr>
            <w:tcW w:w="566" w:type="pct"/>
          </w:tcPr>
          <w:p w14:paraId="6BDE1302" w14:textId="17C29C18" w:rsidR="00590EB2" w:rsidRPr="00190FF4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B13B0">
              <w:t>$83,101</w:t>
            </w:r>
          </w:p>
        </w:tc>
      </w:tr>
      <w:tr w:rsidR="00590EB2" w14:paraId="6AAF057A" w14:textId="77777777" w:rsidTr="003C2945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AB1CC4A" w14:textId="729EE7BE" w:rsidR="00590EB2" w:rsidRPr="00190FF4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A19AE">
              <w:t>Great Escape Events Pty Ltd</w:t>
            </w:r>
          </w:p>
        </w:tc>
        <w:tc>
          <w:tcPr>
            <w:tcW w:w="3161" w:type="pct"/>
          </w:tcPr>
          <w:p w14:paraId="41F71B8F" w14:textId="49091B37" w:rsidR="00590EB2" w:rsidRPr="00190FF4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A19AE">
              <w:t>Great Escape NYE Festival 24/25 - Equipment and Staging Costs</w:t>
            </w:r>
          </w:p>
        </w:tc>
        <w:tc>
          <w:tcPr>
            <w:tcW w:w="566" w:type="pct"/>
          </w:tcPr>
          <w:p w14:paraId="3FE90D46" w14:textId="13CD6D03" w:rsidR="00590EB2" w:rsidRPr="00190FF4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B13B0">
              <w:t>$22,000</w:t>
            </w:r>
          </w:p>
        </w:tc>
      </w:tr>
      <w:tr w:rsidR="00590EB2" w14:paraId="3D8B47EA" w14:textId="77777777" w:rsidTr="003C2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34CC5FED" w14:textId="7D65DFFF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A19AE">
              <w:t>Huon Folk Inc</w:t>
            </w:r>
          </w:p>
        </w:tc>
        <w:tc>
          <w:tcPr>
            <w:tcW w:w="3161" w:type="pct"/>
          </w:tcPr>
          <w:p w14:paraId="1F88D015" w14:textId="484F43BB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A19AE">
              <w:t>Cygnet Folk Festival 2025 - Artist Fees, Marketing and Production Costs</w:t>
            </w:r>
          </w:p>
        </w:tc>
        <w:tc>
          <w:tcPr>
            <w:tcW w:w="566" w:type="pct"/>
          </w:tcPr>
          <w:p w14:paraId="5EA365F5" w14:textId="4ADBCA81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B13B0">
              <w:t>$61,000</w:t>
            </w:r>
          </w:p>
        </w:tc>
      </w:tr>
      <w:tr w:rsidR="00590EB2" w14:paraId="66671CEE" w14:textId="77777777" w:rsidTr="003C2945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2352A2AB" w14:textId="23E62DC9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A19AE">
              <w:t>Panama Productions Pty Ltd</w:t>
            </w:r>
          </w:p>
        </w:tc>
        <w:tc>
          <w:tcPr>
            <w:tcW w:w="3161" w:type="pct"/>
          </w:tcPr>
          <w:p w14:paraId="3437389D" w14:textId="50772B1F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A19AE">
              <w:t>A Festival Called PANAMA 2025 - Production Costs</w:t>
            </w:r>
          </w:p>
        </w:tc>
        <w:tc>
          <w:tcPr>
            <w:tcW w:w="566" w:type="pct"/>
          </w:tcPr>
          <w:p w14:paraId="4583A53E" w14:textId="6CF49C77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B13B0">
              <w:t>$30,000</w:t>
            </w:r>
          </w:p>
        </w:tc>
      </w:tr>
      <w:tr w:rsidR="00590EB2" w14:paraId="14CA4D32" w14:textId="77777777" w:rsidTr="003C29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0730D24D" w14:textId="06BE1976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proofErr w:type="spellStart"/>
            <w:r w:rsidRPr="003A19AE">
              <w:t>Vibestown</w:t>
            </w:r>
            <w:proofErr w:type="spellEnd"/>
            <w:r w:rsidRPr="003A19AE">
              <w:t xml:space="preserve"> Productions Pty Ltd</w:t>
            </w:r>
          </w:p>
        </w:tc>
        <w:tc>
          <w:tcPr>
            <w:tcW w:w="3161" w:type="pct"/>
          </w:tcPr>
          <w:p w14:paraId="77007F34" w14:textId="45E36523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A19AE">
              <w:t>Party in the Paddock Festival 2025 - Original Australian Artist Fees, Marketing and Accessibility Costs</w:t>
            </w:r>
          </w:p>
        </w:tc>
        <w:tc>
          <w:tcPr>
            <w:tcW w:w="566" w:type="pct"/>
          </w:tcPr>
          <w:p w14:paraId="691CE6AC" w14:textId="7F2366C1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B13B0">
              <w:t>$168,121</w:t>
            </w:r>
          </w:p>
        </w:tc>
      </w:tr>
    </w:tbl>
    <w:p w14:paraId="4AE45674" w14:textId="77777777" w:rsidR="005A31ED" w:rsidRDefault="005A31ED" w:rsidP="004F08DB">
      <w:pPr>
        <w:pStyle w:val="Heading2"/>
      </w:pPr>
      <w:bookmarkStart w:id="9" w:name="_Toc156234705"/>
    </w:p>
    <w:p w14:paraId="7BFA8C42" w14:textId="77777777" w:rsidR="005A31ED" w:rsidRDefault="005A31ED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</w:pPr>
      <w:r>
        <w:br w:type="page"/>
      </w:r>
    </w:p>
    <w:p w14:paraId="5E9E2908" w14:textId="34D5751C" w:rsidR="004F08DB" w:rsidRDefault="004F08DB" w:rsidP="004F08DB">
      <w:pPr>
        <w:pStyle w:val="Heading2"/>
      </w:pPr>
      <w:r>
        <w:lastRenderedPageBreak/>
        <w:t>Victoria</w:t>
      </w:r>
      <w:bookmarkEnd w:id="9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Victoria"/>
      </w:tblPr>
      <w:tblGrid>
        <w:gridCol w:w="3767"/>
        <w:gridCol w:w="9354"/>
        <w:gridCol w:w="1675"/>
      </w:tblGrid>
      <w:tr w:rsidR="00E5095B" w14:paraId="5E9E290C" w14:textId="77777777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E9E2909" w14:textId="77777777"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14:paraId="5E9E290A" w14:textId="77777777"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14:paraId="5E9E290B" w14:textId="77777777"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590EB2" w14:paraId="01B9AC98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29A265E6" w14:textId="7F19C322" w:rsidR="00590EB2" w:rsidRPr="00080DD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68 Little Collins Street Pty Ltd</w:t>
            </w:r>
          </w:p>
        </w:tc>
        <w:tc>
          <w:tcPr>
            <w:tcW w:w="3161" w:type="pct"/>
          </w:tcPr>
          <w:p w14:paraId="562BF7D4" w14:textId="6A98ED3C"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Cherry Bar - Artist Fees and Equipment Costs</w:t>
            </w:r>
          </w:p>
        </w:tc>
        <w:tc>
          <w:tcPr>
            <w:tcW w:w="566" w:type="pct"/>
          </w:tcPr>
          <w:p w14:paraId="6FCF6098" w14:textId="0922439A"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$88,091</w:t>
            </w:r>
          </w:p>
        </w:tc>
      </w:tr>
      <w:tr w:rsidR="00666A7D" w14:paraId="5BFE085A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C3AE49A" w14:textId="2D50C5E9" w:rsidR="00666A7D" w:rsidRPr="003C14B1" w:rsidRDefault="00666A7D" w:rsidP="00666A7D">
            <w:pPr>
              <w:suppressAutoHyphens w:val="0"/>
            </w:pPr>
            <w:r w:rsidRPr="00D74036">
              <w:t>Anthony Joseph Blayney</w:t>
            </w:r>
          </w:p>
        </w:tc>
        <w:tc>
          <w:tcPr>
            <w:tcW w:w="3161" w:type="pct"/>
          </w:tcPr>
          <w:p w14:paraId="5A60CFB8" w14:textId="0EC53664" w:rsidR="00666A7D" w:rsidRPr="003C14B1" w:rsidRDefault="00666A7D" w:rsidP="00666A7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74036">
              <w:t xml:space="preserve">Melbourne </w:t>
            </w:r>
            <w:proofErr w:type="spellStart"/>
            <w:r w:rsidRPr="00D74036">
              <w:t>Dethfest</w:t>
            </w:r>
            <w:proofErr w:type="spellEnd"/>
            <w:r w:rsidRPr="00D74036">
              <w:t xml:space="preserve"> 2025 - Artist Fees and Production Costs</w:t>
            </w:r>
          </w:p>
        </w:tc>
        <w:tc>
          <w:tcPr>
            <w:tcW w:w="566" w:type="pct"/>
          </w:tcPr>
          <w:p w14:paraId="4F0DB5A3" w14:textId="3EC45D64" w:rsidR="00666A7D" w:rsidRPr="000353C6" w:rsidRDefault="00666A7D" w:rsidP="00666A7D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7DC7">
              <w:t>$25,750</w:t>
            </w:r>
          </w:p>
        </w:tc>
      </w:tr>
      <w:tr w:rsidR="00590EB2" w14:paraId="585FA164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4CD19117" w14:textId="5F1E66D0" w:rsidR="00590EB2" w:rsidRPr="00080DD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proofErr w:type="spellStart"/>
            <w:r w:rsidRPr="003C14B1">
              <w:t>Cartell</w:t>
            </w:r>
            <w:proofErr w:type="spellEnd"/>
            <w:r w:rsidRPr="003C14B1">
              <w:t xml:space="preserve"> Live Pty Ltd</w:t>
            </w:r>
          </w:p>
        </w:tc>
        <w:tc>
          <w:tcPr>
            <w:tcW w:w="3161" w:type="pct"/>
          </w:tcPr>
          <w:p w14:paraId="1EB80D94" w14:textId="3D68C390"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gramStart"/>
            <w:r w:rsidRPr="003C14B1">
              <w:t>So</w:t>
            </w:r>
            <w:proofErr w:type="gramEnd"/>
            <w:r w:rsidRPr="003C14B1">
              <w:t xml:space="preserve"> Frenchy So Chic Festival 2026 - Original Australian Artist Fees, Marketing and Production Costs</w:t>
            </w:r>
          </w:p>
        </w:tc>
        <w:tc>
          <w:tcPr>
            <w:tcW w:w="566" w:type="pct"/>
          </w:tcPr>
          <w:p w14:paraId="15EDA1AA" w14:textId="2FE6E71F"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$71,000</w:t>
            </w:r>
          </w:p>
        </w:tc>
      </w:tr>
      <w:tr w:rsidR="00590EB2" w14:paraId="4EAE4A1B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C31FF72" w14:textId="20710BB6" w:rsidR="00590EB2" w:rsidRPr="00080DD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City of Port Phillip</w:t>
            </w:r>
          </w:p>
        </w:tc>
        <w:tc>
          <w:tcPr>
            <w:tcW w:w="3161" w:type="pct"/>
          </w:tcPr>
          <w:p w14:paraId="452166F2" w14:textId="0CEC94F6" w:rsidR="00590EB2" w:rsidRPr="00080DD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St Kilda Festival 2025 - Accessibility Costs</w:t>
            </w:r>
          </w:p>
        </w:tc>
        <w:tc>
          <w:tcPr>
            <w:tcW w:w="566" w:type="pct"/>
          </w:tcPr>
          <w:p w14:paraId="2D772409" w14:textId="731167AC" w:rsidR="00590EB2" w:rsidRPr="00080DD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$100,000</w:t>
            </w:r>
          </w:p>
        </w:tc>
      </w:tr>
      <w:tr w:rsidR="00590EB2" w14:paraId="1E675EAE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5D35812" w14:textId="1156825F" w:rsidR="00590EB2" w:rsidRPr="00080DD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Ian McLean</w:t>
            </w:r>
          </w:p>
        </w:tc>
        <w:tc>
          <w:tcPr>
            <w:tcW w:w="3161" w:type="pct"/>
          </w:tcPr>
          <w:p w14:paraId="27E6880D" w14:textId="6B3C2D83"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Bakehouse Studios - Studio to the Stage Disability Inclusion Program, Artist Fees and Production Costs</w:t>
            </w:r>
          </w:p>
        </w:tc>
        <w:tc>
          <w:tcPr>
            <w:tcW w:w="566" w:type="pct"/>
          </w:tcPr>
          <w:p w14:paraId="51FE2893" w14:textId="4261D530"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$88,566</w:t>
            </w:r>
          </w:p>
        </w:tc>
      </w:tr>
      <w:tr w:rsidR="00590EB2" w14:paraId="31513EBC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F898D1D" w14:textId="7ED76156" w:rsidR="00590EB2" w:rsidRPr="00080DD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JL Productions and Hire Pty Ltd</w:t>
            </w:r>
          </w:p>
        </w:tc>
        <w:tc>
          <w:tcPr>
            <w:tcW w:w="3161" w:type="pct"/>
          </w:tcPr>
          <w:p w14:paraId="3AF76D19" w14:textId="43E9C76B" w:rsidR="00590EB2" w:rsidRPr="00080DD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3C14B1">
              <w:t>GROUNDed</w:t>
            </w:r>
            <w:proofErr w:type="spellEnd"/>
            <w:r w:rsidRPr="003C14B1">
              <w:t xml:space="preserve"> Live Festival 2025 - Artist Fees and Production Costs</w:t>
            </w:r>
          </w:p>
        </w:tc>
        <w:tc>
          <w:tcPr>
            <w:tcW w:w="566" w:type="pct"/>
          </w:tcPr>
          <w:p w14:paraId="41213093" w14:textId="2E497A85" w:rsidR="00590EB2" w:rsidRPr="00080DD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$42,100</w:t>
            </w:r>
          </w:p>
        </w:tc>
      </w:tr>
      <w:tr w:rsidR="00590EB2" w14:paraId="3AB71421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D5544D5" w14:textId="23E0B750" w:rsidR="00590EB2" w:rsidRPr="00080DD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JNB Events Pty Ltd</w:t>
            </w:r>
          </w:p>
        </w:tc>
        <w:tc>
          <w:tcPr>
            <w:tcW w:w="3161" w:type="pct"/>
          </w:tcPr>
          <w:p w14:paraId="2B3E855C" w14:textId="3D86E7F9"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Loch Hart Music Festival 2025 – Artist Fees and Production Costs</w:t>
            </w:r>
          </w:p>
        </w:tc>
        <w:tc>
          <w:tcPr>
            <w:tcW w:w="566" w:type="pct"/>
          </w:tcPr>
          <w:p w14:paraId="188ED611" w14:textId="6D99E2CA" w:rsidR="00590EB2" w:rsidRPr="00080DD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$50,000</w:t>
            </w:r>
          </w:p>
        </w:tc>
      </w:tr>
      <w:tr w:rsidR="00590EB2" w14:paraId="10C5EA6F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DE5C30E" w14:textId="2BD37B03" w:rsidR="00590EB2" w:rsidRPr="00080DD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Jolt Sonic &amp; Visual Arts Inc</w:t>
            </w:r>
          </w:p>
        </w:tc>
        <w:tc>
          <w:tcPr>
            <w:tcW w:w="3161" w:type="pct"/>
          </w:tcPr>
          <w:p w14:paraId="2278F0AA" w14:textId="3547CC3E" w:rsidR="00590EB2" w:rsidRPr="00080DD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Jolted Arts Space - Artist Fees and Marketing Costs</w:t>
            </w:r>
          </w:p>
        </w:tc>
        <w:tc>
          <w:tcPr>
            <w:tcW w:w="566" w:type="pct"/>
          </w:tcPr>
          <w:p w14:paraId="14B577E9" w14:textId="2E1C0B5C" w:rsidR="00590EB2" w:rsidRPr="00080DD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$45,000</w:t>
            </w:r>
          </w:p>
        </w:tc>
      </w:tr>
      <w:tr w:rsidR="00590EB2" w14:paraId="2EC8E049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CC4E354" w14:textId="438DA315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Max Watt's Operating Pty Ltd</w:t>
            </w:r>
          </w:p>
        </w:tc>
        <w:tc>
          <w:tcPr>
            <w:tcW w:w="3161" w:type="pct"/>
          </w:tcPr>
          <w:p w14:paraId="5851F0F2" w14:textId="07DBB0B3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Max Watt's Melbourne - Audio Equipment Upgrade</w:t>
            </w:r>
          </w:p>
        </w:tc>
        <w:tc>
          <w:tcPr>
            <w:tcW w:w="566" w:type="pct"/>
          </w:tcPr>
          <w:p w14:paraId="5A955ACA" w14:textId="04CC1982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$70,100</w:t>
            </w:r>
          </w:p>
        </w:tc>
      </w:tr>
      <w:tr w:rsidR="00590EB2" w14:paraId="54C547A5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4C1C766D" w14:textId="05ACE36E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Melbourne International Festival of the Arts Limited</w:t>
            </w:r>
          </w:p>
        </w:tc>
        <w:tc>
          <w:tcPr>
            <w:tcW w:w="3161" w:type="pct"/>
          </w:tcPr>
          <w:p w14:paraId="7AF8098A" w14:textId="41D58807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Melbourne International Festival of the Arts 2025 Little Bands Program - Original Australian Artist Fees</w:t>
            </w:r>
          </w:p>
        </w:tc>
        <w:tc>
          <w:tcPr>
            <w:tcW w:w="566" w:type="pct"/>
          </w:tcPr>
          <w:p w14:paraId="1892DA16" w14:textId="55BD496F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$72,000</w:t>
            </w:r>
          </w:p>
        </w:tc>
      </w:tr>
      <w:tr w:rsidR="00590EB2" w14:paraId="150D37C1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491F7FAF" w14:textId="4E1F4E7B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Melbourne Jazz Limited</w:t>
            </w:r>
          </w:p>
        </w:tc>
        <w:tc>
          <w:tcPr>
            <w:tcW w:w="3161" w:type="pct"/>
          </w:tcPr>
          <w:p w14:paraId="58724878" w14:textId="3D86A14E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Melbourne International Jazz Festival 2025 Night Crawl Program - Original Australian Artist Fees and Production Costs</w:t>
            </w:r>
          </w:p>
        </w:tc>
        <w:tc>
          <w:tcPr>
            <w:tcW w:w="566" w:type="pct"/>
          </w:tcPr>
          <w:p w14:paraId="33531303" w14:textId="5D58528E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$85,000</w:t>
            </w:r>
          </w:p>
        </w:tc>
      </w:tr>
      <w:tr w:rsidR="00590EB2" w14:paraId="3E6AA0B8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8FD53AC" w14:textId="668A435E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Merri-</w:t>
            </w:r>
            <w:proofErr w:type="spellStart"/>
            <w:r w:rsidRPr="003C14B1">
              <w:t>bek</w:t>
            </w:r>
            <w:proofErr w:type="spellEnd"/>
            <w:r w:rsidRPr="003C14B1">
              <w:t xml:space="preserve"> City Council</w:t>
            </w:r>
          </w:p>
        </w:tc>
        <w:tc>
          <w:tcPr>
            <w:tcW w:w="3161" w:type="pct"/>
          </w:tcPr>
          <w:p w14:paraId="597FED3C" w14:textId="096687F6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Brunswick Music Festival 2025 - Original Australian Artist Fees and Production Costs</w:t>
            </w:r>
          </w:p>
        </w:tc>
        <w:tc>
          <w:tcPr>
            <w:tcW w:w="566" w:type="pct"/>
          </w:tcPr>
          <w:p w14:paraId="1BBD0B63" w14:textId="3944ECFB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$102,900</w:t>
            </w:r>
          </w:p>
        </w:tc>
      </w:tr>
      <w:tr w:rsidR="00590EB2" w14:paraId="3E299165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203291F" w14:textId="240FBB43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Monash City Council</w:t>
            </w:r>
          </w:p>
        </w:tc>
        <w:tc>
          <w:tcPr>
            <w:tcW w:w="3161" w:type="pct"/>
          </w:tcPr>
          <w:p w14:paraId="5E4D7B54" w14:textId="494C6CE7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Live at Warrawee and Winter Series 2025 - Original Australian Artist Fees and Production Costs</w:t>
            </w:r>
          </w:p>
        </w:tc>
        <w:tc>
          <w:tcPr>
            <w:tcW w:w="566" w:type="pct"/>
          </w:tcPr>
          <w:p w14:paraId="5D812306" w14:textId="63F3C68D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$50,000</w:t>
            </w:r>
          </w:p>
        </w:tc>
      </w:tr>
      <w:tr w:rsidR="00590EB2" w14:paraId="53AC91F0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76144E7" w14:textId="131CB32B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Nevermind Pty Ltd</w:t>
            </w:r>
          </w:p>
        </w:tc>
        <w:tc>
          <w:tcPr>
            <w:tcW w:w="3161" w:type="pct"/>
          </w:tcPr>
          <w:p w14:paraId="099D20F9" w14:textId="0AECE1D2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Nevermind Bar - Original Australian Artist Fees</w:t>
            </w:r>
          </w:p>
        </w:tc>
        <w:tc>
          <w:tcPr>
            <w:tcW w:w="566" w:type="pct"/>
          </w:tcPr>
          <w:p w14:paraId="6C0695C5" w14:textId="34CCBC78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$60,000</w:t>
            </w:r>
          </w:p>
        </w:tc>
      </w:tr>
      <w:tr w:rsidR="00590EB2" w14:paraId="0E70F246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3AD72099" w14:textId="5F8EA368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Nightjar Entertainment Pty Ltd</w:t>
            </w:r>
          </w:p>
        </w:tc>
        <w:tc>
          <w:tcPr>
            <w:tcW w:w="3161" w:type="pct"/>
          </w:tcPr>
          <w:p w14:paraId="6A0A51C4" w14:textId="202DE917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Nightjar Festival 2025 - Marketing and Production Costs</w:t>
            </w:r>
          </w:p>
        </w:tc>
        <w:tc>
          <w:tcPr>
            <w:tcW w:w="566" w:type="pct"/>
          </w:tcPr>
          <w:p w14:paraId="28EFB148" w14:textId="67695D48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$80,000</w:t>
            </w:r>
          </w:p>
        </w:tc>
      </w:tr>
      <w:tr w:rsidR="00590EB2" w14:paraId="49955FA1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8954218" w14:textId="57E384AB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Northcote Commercial Hotel Pty Ltd</w:t>
            </w:r>
          </w:p>
        </w:tc>
        <w:tc>
          <w:tcPr>
            <w:tcW w:w="3161" w:type="pct"/>
          </w:tcPr>
          <w:p w14:paraId="71158701" w14:textId="24A58320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Northcote Social Club - Original Australian Artist Fees and Accessibility Costs</w:t>
            </w:r>
          </w:p>
        </w:tc>
        <w:tc>
          <w:tcPr>
            <w:tcW w:w="566" w:type="pct"/>
          </w:tcPr>
          <w:p w14:paraId="61E92DF8" w14:textId="547AD781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$43,590</w:t>
            </w:r>
          </w:p>
        </w:tc>
      </w:tr>
      <w:tr w:rsidR="00590EB2" w14:paraId="05E04C84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B21E2EF" w14:textId="7CA438DD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OK Motels Pty Ltd</w:t>
            </w:r>
          </w:p>
        </w:tc>
        <w:tc>
          <w:tcPr>
            <w:tcW w:w="3161" w:type="pct"/>
          </w:tcPr>
          <w:p w14:paraId="0E0BDA65" w14:textId="4326791C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OK Charlton Festival 2025 - Original Australian Artist Fees and Production Costs</w:t>
            </w:r>
          </w:p>
        </w:tc>
        <w:tc>
          <w:tcPr>
            <w:tcW w:w="566" w:type="pct"/>
          </w:tcPr>
          <w:p w14:paraId="77C619FF" w14:textId="07AA5745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$21,500</w:t>
            </w:r>
          </w:p>
        </w:tc>
      </w:tr>
      <w:tr w:rsidR="00590EB2" w14:paraId="74FD4C8B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08E4279E" w14:textId="360106B5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Pork Chop Express Pty Ltd</w:t>
            </w:r>
          </w:p>
        </w:tc>
        <w:tc>
          <w:tcPr>
            <w:tcW w:w="3161" w:type="pct"/>
          </w:tcPr>
          <w:p w14:paraId="33D08CB3" w14:textId="606B17EE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The Gem - Original Australian Artist Fees and Marketing Costs</w:t>
            </w:r>
          </w:p>
        </w:tc>
        <w:tc>
          <w:tcPr>
            <w:tcW w:w="566" w:type="pct"/>
          </w:tcPr>
          <w:p w14:paraId="62B2809F" w14:textId="2CE298A8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$45,427</w:t>
            </w:r>
          </w:p>
        </w:tc>
      </w:tr>
      <w:tr w:rsidR="00590EB2" w14:paraId="10615CB7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346E6935" w14:textId="0781FEEC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lastRenderedPageBreak/>
              <w:t>Port Fairy Folk Festival Committee Inc</w:t>
            </w:r>
          </w:p>
        </w:tc>
        <w:tc>
          <w:tcPr>
            <w:tcW w:w="3161" w:type="pct"/>
          </w:tcPr>
          <w:p w14:paraId="0AC6E1B6" w14:textId="211D6812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Port Fairy Folk Festival 2025 - Original Australian Artist Fees, Production and Accessibility Costs</w:t>
            </w:r>
          </w:p>
        </w:tc>
        <w:tc>
          <w:tcPr>
            <w:tcW w:w="566" w:type="pct"/>
          </w:tcPr>
          <w:p w14:paraId="0ACDB33A" w14:textId="0C072D6A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$146,181</w:t>
            </w:r>
          </w:p>
        </w:tc>
      </w:tr>
      <w:tr w:rsidR="00590EB2" w14:paraId="693BF3EF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022E8524" w14:textId="002E4732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Q Entertainment Pty Ltd</w:t>
            </w:r>
          </w:p>
        </w:tc>
        <w:tc>
          <w:tcPr>
            <w:tcW w:w="3161" w:type="pct"/>
          </w:tcPr>
          <w:p w14:paraId="4DB67372" w14:textId="0A6DF5AD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The Howler Melbourne - Acoustic Upgrade</w:t>
            </w:r>
          </w:p>
        </w:tc>
        <w:tc>
          <w:tcPr>
            <w:tcW w:w="566" w:type="pct"/>
          </w:tcPr>
          <w:p w14:paraId="6B77AD30" w14:textId="0A6600D2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$64,354</w:t>
            </w:r>
          </w:p>
        </w:tc>
      </w:tr>
      <w:tr w:rsidR="00590EB2" w14:paraId="60C211C8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3C0A0E70" w14:textId="37769D48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Queenscliff Music Festival</w:t>
            </w:r>
          </w:p>
        </w:tc>
        <w:tc>
          <w:tcPr>
            <w:tcW w:w="3161" w:type="pct"/>
          </w:tcPr>
          <w:p w14:paraId="68D8A6C4" w14:textId="5C7C942F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Queenscliff Music Festival 2025 - Production and Accessibility Costs</w:t>
            </w:r>
          </w:p>
        </w:tc>
        <w:tc>
          <w:tcPr>
            <w:tcW w:w="566" w:type="pct"/>
          </w:tcPr>
          <w:p w14:paraId="5A82A35D" w14:textId="063A2C71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$100,000</w:t>
            </w:r>
          </w:p>
        </w:tc>
      </w:tr>
      <w:tr w:rsidR="00590EB2" w14:paraId="7ED7D8D2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0310E2F" w14:textId="324DB31B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Roundhouse Entertainment Pty Ltd</w:t>
            </w:r>
          </w:p>
        </w:tc>
        <w:tc>
          <w:tcPr>
            <w:tcW w:w="3161" w:type="pct"/>
          </w:tcPr>
          <w:p w14:paraId="44F9E376" w14:textId="69DCD917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A Day On The Green 2024/25 - Accessibility Costs</w:t>
            </w:r>
          </w:p>
        </w:tc>
        <w:tc>
          <w:tcPr>
            <w:tcW w:w="566" w:type="pct"/>
          </w:tcPr>
          <w:p w14:paraId="4197FD29" w14:textId="00C7AEB7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$157,923</w:t>
            </w:r>
          </w:p>
        </w:tc>
      </w:tr>
      <w:tr w:rsidR="00590EB2" w14:paraId="499422A4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39A5E2B5" w14:textId="58812FBB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proofErr w:type="spellStart"/>
            <w:r w:rsidRPr="003C14B1">
              <w:t>Swancom</w:t>
            </w:r>
            <w:proofErr w:type="spellEnd"/>
            <w:r w:rsidRPr="003C14B1">
              <w:t xml:space="preserve"> Pty Ltd</w:t>
            </w:r>
          </w:p>
        </w:tc>
        <w:tc>
          <w:tcPr>
            <w:tcW w:w="3161" w:type="pct"/>
          </w:tcPr>
          <w:p w14:paraId="2BF6FB51" w14:textId="6F10F3BE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Corner Hotel - Artist Fees, Infrastructure and Accessibility Costs</w:t>
            </w:r>
          </w:p>
        </w:tc>
        <w:tc>
          <w:tcPr>
            <w:tcW w:w="566" w:type="pct"/>
          </w:tcPr>
          <w:p w14:paraId="3D1429CB" w14:textId="078656C9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$40,000</w:t>
            </w:r>
          </w:p>
        </w:tc>
      </w:tr>
      <w:tr w:rsidR="00590EB2" w14:paraId="3E94400C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301DBDF" w14:textId="7863C5EB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 xml:space="preserve">The </w:t>
            </w:r>
            <w:proofErr w:type="spellStart"/>
            <w:r w:rsidRPr="003C14B1">
              <w:t>Ballaarat</w:t>
            </w:r>
            <w:proofErr w:type="spellEnd"/>
            <w:r w:rsidRPr="003C14B1">
              <w:t xml:space="preserve"> Mechanics Institute</w:t>
            </w:r>
          </w:p>
        </w:tc>
        <w:tc>
          <w:tcPr>
            <w:tcW w:w="3161" w:type="pct"/>
          </w:tcPr>
          <w:p w14:paraId="095CE23E" w14:textId="26ACB8FD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Ballarat Mechanics Institute - Accessibility Costs</w:t>
            </w:r>
          </w:p>
        </w:tc>
        <w:tc>
          <w:tcPr>
            <w:tcW w:w="566" w:type="pct"/>
          </w:tcPr>
          <w:p w14:paraId="4B600B09" w14:textId="47BC0841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$35,900</w:t>
            </w:r>
          </w:p>
        </w:tc>
      </w:tr>
      <w:tr w:rsidR="00590EB2" w14:paraId="19D6F658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869D5CA" w14:textId="4B419C0C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The Trustee for Beyond The Valley Music Festival Unit Trust</w:t>
            </w:r>
          </w:p>
        </w:tc>
        <w:tc>
          <w:tcPr>
            <w:tcW w:w="3161" w:type="pct"/>
          </w:tcPr>
          <w:p w14:paraId="6F3B8085" w14:textId="2F0C65E8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 xml:space="preserve">Beyond The Valley Festival 2024 - Original Australian Artist Fees, Production and Accessibility Costs </w:t>
            </w:r>
          </w:p>
        </w:tc>
        <w:tc>
          <w:tcPr>
            <w:tcW w:w="566" w:type="pct"/>
          </w:tcPr>
          <w:p w14:paraId="58BE5BDC" w14:textId="1395838A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$147,900</w:t>
            </w:r>
          </w:p>
        </w:tc>
      </w:tr>
      <w:tr w:rsidR="00590EB2" w14:paraId="64028D2A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6B54544" w14:textId="09AE3E31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The Trustee for Cosmos Factory Business Trust</w:t>
            </w:r>
          </w:p>
        </w:tc>
        <w:tc>
          <w:tcPr>
            <w:tcW w:w="3161" w:type="pct"/>
          </w:tcPr>
          <w:p w14:paraId="532F1D7D" w14:textId="7C948728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3C14B1">
              <w:t>Lulie</w:t>
            </w:r>
            <w:proofErr w:type="spellEnd"/>
            <w:r w:rsidRPr="003C14B1">
              <w:t xml:space="preserve"> Tavern - Original Australian Artist Fees, Production and Acoustic Upgrades</w:t>
            </w:r>
          </w:p>
        </w:tc>
        <w:tc>
          <w:tcPr>
            <w:tcW w:w="566" w:type="pct"/>
          </w:tcPr>
          <w:p w14:paraId="518B31CE" w14:textId="69E3FFB9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$50,000</w:t>
            </w:r>
          </w:p>
        </w:tc>
      </w:tr>
      <w:tr w:rsidR="00590EB2" w14:paraId="25202CD6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0EE8296" w14:textId="691213EC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The Trustee for Ethos Productions Unit Trust</w:t>
            </w:r>
          </w:p>
        </w:tc>
        <w:tc>
          <w:tcPr>
            <w:tcW w:w="3161" w:type="pct"/>
          </w:tcPr>
          <w:p w14:paraId="691497C5" w14:textId="75933174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Kindred Studios - Original Australian Artists Fees and Lighting Upgrade</w:t>
            </w:r>
          </w:p>
        </w:tc>
        <w:tc>
          <w:tcPr>
            <w:tcW w:w="566" w:type="pct"/>
          </w:tcPr>
          <w:p w14:paraId="560F5441" w14:textId="6AD65E0E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$67,448</w:t>
            </w:r>
          </w:p>
        </w:tc>
      </w:tr>
      <w:tr w:rsidR="00590EB2" w14:paraId="64D99202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E64E4CF" w14:textId="2ADD1E7C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The Trustee for The Catfish Taproom Unit Trust</w:t>
            </w:r>
          </w:p>
        </w:tc>
        <w:tc>
          <w:tcPr>
            <w:tcW w:w="3161" w:type="pct"/>
          </w:tcPr>
          <w:p w14:paraId="5FAAB596" w14:textId="7FE751E3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The Catfish Taproom - Equipment and Accessibility Upgrades</w:t>
            </w:r>
          </w:p>
        </w:tc>
        <w:tc>
          <w:tcPr>
            <w:tcW w:w="566" w:type="pct"/>
          </w:tcPr>
          <w:p w14:paraId="330513E9" w14:textId="3CE336F9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$30,000</w:t>
            </w:r>
          </w:p>
        </w:tc>
      </w:tr>
      <w:tr w:rsidR="00590EB2" w14:paraId="09EA297A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09C331B1" w14:textId="683D5F4F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The Trustee for Theatre Royal Castlemaine Unit Trust</w:t>
            </w:r>
          </w:p>
        </w:tc>
        <w:tc>
          <w:tcPr>
            <w:tcW w:w="3161" w:type="pct"/>
          </w:tcPr>
          <w:p w14:paraId="20561A69" w14:textId="157E3EA1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Theatre Royal Castlemaine - Original Australian Artists Fees, Marketing and Accessibility Costs</w:t>
            </w:r>
          </w:p>
        </w:tc>
        <w:tc>
          <w:tcPr>
            <w:tcW w:w="566" w:type="pct"/>
          </w:tcPr>
          <w:p w14:paraId="223FF015" w14:textId="1C077E1D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$55,</w:t>
            </w:r>
            <w:r w:rsidR="00344259">
              <w:t>5</w:t>
            </w:r>
            <w:r w:rsidRPr="000353C6">
              <w:t>00</w:t>
            </w:r>
          </w:p>
        </w:tc>
      </w:tr>
      <w:tr w:rsidR="00590EB2" w14:paraId="4A5DEA04" w14:textId="77777777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7745EA9C" w14:textId="273573AB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C14B1">
              <w:t>The Trustee for Wes Anne Unit Trust</w:t>
            </w:r>
          </w:p>
        </w:tc>
        <w:tc>
          <w:tcPr>
            <w:tcW w:w="3161" w:type="pct"/>
          </w:tcPr>
          <w:p w14:paraId="504652D7" w14:textId="48A31E0B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C14B1">
              <w:t>Wesley Anne - Original Australian Artist Fees</w:t>
            </w:r>
          </w:p>
        </w:tc>
        <w:tc>
          <w:tcPr>
            <w:tcW w:w="566" w:type="pct"/>
          </w:tcPr>
          <w:p w14:paraId="34E4D8CC" w14:textId="43A8F61D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353C6">
              <w:t>$50,000</w:t>
            </w:r>
          </w:p>
        </w:tc>
      </w:tr>
      <w:tr w:rsidR="00D30146" w14:paraId="6CF2304C" w14:textId="77777777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2DDCE0F2" w14:textId="4D07F05D" w:rsidR="00D30146" w:rsidRPr="003C14B1" w:rsidRDefault="00D30146" w:rsidP="00D30146">
            <w:pPr>
              <w:suppressAutoHyphens w:val="0"/>
            </w:pPr>
            <w:r w:rsidRPr="00A44FE8">
              <w:t>Van Howler Pty Ltd</w:t>
            </w:r>
          </w:p>
        </w:tc>
        <w:tc>
          <w:tcPr>
            <w:tcW w:w="3161" w:type="pct"/>
          </w:tcPr>
          <w:p w14:paraId="0DAE7DD5" w14:textId="449CFAF9" w:rsidR="00D30146" w:rsidRPr="003C14B1" w:rsidRDefault="00D30146" w:rsidP="00D30146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FE8">
              <w:t>Echuca-Moama Winter Blues Festival 2025 - Accessibility and Production Costs</w:t>
            </w:r>
          </w:p>
        </w:tc>
        <w:tc>
          <w:tcPr>
            <w:tcW w:w="566" w:type="pct"/>
          </w:tcPr>
          <w:p w14:paraId="7A1E06A7" w14:textId="5554FE78" w:rsidR="00D30146" w:rsidRPr="000353C6" w:rsidRDefault="00D30146" w:rsidP="00D30146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DC7">
              <w:t>$115,000</w:t>
            </w:r>
          </w:p>
        </w:tc>
      </w:tr>
    </w:tbl>
    <w:p w14:paraId="564919A1" w14:textId="77777777" w:rsidR="00590EB2" w:rsidRDefault="00590EB2" w:rsidP="004F08DB">
      <w:pPr>
        <w:pStyle w:val="Heading2"/>
      </w:pPr>
      <w:bookmarkStart w:id="10" w:name="_Toc156234706"/>
    </w:p>
    <w:p w14:paraId="5E9E2929" w14:textId="4D6923B5" w:rsidR="004F08DB" w:rsidRDefault="00590EB2" w:rsidP="004F08DB">
      <w:pPr>
        <w:pStyle w:val="Heading2"/>
      </w:pPr>
      <w:r>
        <w:br w:type="column"/>
      </w:r>
      <w:r w:rsidR="004F08DB">
        <w:lastRenderedPageBreak/>
        <w:t>Western Australia</w:t>
      </w:r>
      <w:bookmarkEnd w:id="10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Western Australia"/>
      </w:tblPr>
      <w:tblGrid>
        <w:gridCol w:w="3767"/>
        <w:gridCol w:w="9354"/>
        <w:gridCol w:w="1675"/>
      </w:tblGrid>
      <w:tr w:rsidR="00E5095B" w14:paraId="5E9E292D" w14:textId="77777777" w:rsidTr="004F0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E9E292A" w14:textId="77777777" w:rsidR="00E5095B" w:rsidRPr="0092582D" w:rsidRDefault="00E5095B" w:rsidP="00666A7D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14:paraId="5E9E292B" w14:textId="77777777" w:rsidR="00E5095B" w:rsidRPr="0092582D" w:rsidRDefault="00E5095B" w:rsidP="00666A7D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14:paraId="5E9E292C" w14:textId="77777777" w:rsidR="00E5095B" w:rsidRPr="0092582D" w:rsidRDefault="00E5095B" w:rsidP="00666A7D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590EB2" w14:paraId="44CDDAF2" w14:textId="77777777" w:rsidTr="004F04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58847D71" w14:textId="733BE27D" w:rsidR="00590EB2" w:rsidRPr="00C35E41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proofErr w:type="spellStart"/>
            <w:r w:rsidRPr="000C14BD">
              <w:t>Beatslab</w:t>
            </w:r>
            <w:proofErr w:type="spellEnd"/>
            <w:r w:rsidRPr="000C14BD">
              <w:t xml:space="preserve"> Pty Ltd</w:t>
            </w:r>
          </w:p>
        </w:tc>
        <w:tc>
          <w:tcPr>
            <w:tcW w:w="3161" w:type="pct"/>
          </w:tcPr>
          <w:p w14:paraId="6DCD2C6B" w14:textId="75E7A0D6" w:rsidR="00590EB2" w:rsidRPr="00C35E41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>Mojo's Bar - Acoustic Upgrade</w:t>
            </w:r>
          </w:p>
        </w:tc>
        <w:tc>
          <w:tcPr>
            <w:tcW w:w="566" w:type="pct"/>
          </w:tcPr>
          <w:p w14:paraId="732DF2F0" w14:textId="682B7C2F" w:rsidR="00590EB2" w:rsidRPr="00C35E41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$60,531</w:t>
            </w:r>
          </w:p>
        </w:tc>
      </w:tr>
      <w:tr w:rsidR="00590EB2" w14:paraId="30F803C1" w14:textId="77777777" w:rsidTr="004F0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73F25C3" w14:textId="1CD6DC53" w:rsidR="00590EB2" w:rsidRPr="00C35E41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proofErr w:type="spellStart"/>
            <w:r w:rsidRPr="000C14BD">
              <w:t>Jamart</w:t>
            </w:r>
            <w:proofErr w:type="spellEnd"/>
            <w:r w:rsidRPr="000C14BD">
              <w:t xml:space="preserve"> Pty Ltd</w:t>
            </w:r>
          </w:p>
        </w:tc>
        <w:tc>
          <w:tcPr>
            <w:tcW w:w="3161" w:type="pct"/>
          </w:tcPr>
          <w:p w14:paraId="6C986614" w14:textId="19B0ECFB" w:rsidR="00590EB2" w:rsidRPr="00C35E41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0C14BD">
              <w:t>Jamart</w:t>
            </w:r>
            <w:proofErr w:type="spellEnd"/>
            <w:r w:rsidRPr="000C14BD">
              <w:t xml:space="preserve"> Sound Lounge - Accessibility Upgrades</w:t>
            </w:r>
          </w:p>
        </w:tc>
        <w:tc>
          <w:tcPr>
            <w:tcW w:w="566" w:type="pct"/>
          </w:tcPr>
          <w:p w14:paraId="2D910EF8" w14:textId="524A80A1" w:rsidR="00590EB2" w:rsidRPr="00C35E41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$48,039</w:t>
            </w:r>
          </w:p>
        </w:tc>
      </w:tr>
      <w:tr w:rsidR="00590EB2" w14:paraId="583CB3BF" w14:textId="77777777" w:rsidTr="004F04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0037FD8E" w14:textId="51E2C788" w:rsidR="00590EB2" w:rsidRPr="00C35E41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Johnny Fox's Pty Ltd</w:t>
            </w:r>
          </w:p>
        </w:tc>
        <w:tc>
          <w:tcPr>
            <w:tcW w:w="3161" w:type="pct"/>
          </w:tcPr>
          <w:p w14:paraId="7F06CE2E" w14:textId="17F4D8C4" w:rsidR="00590EB2" w:rsidRPr="00C35E41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>Lynott's Lounge - Acoustic and Infrastructure Upgrades</w:t>
            </w:r>
          </w:p>
        </w:tc>
        <w:tc>
          <w:tcPr>
            <w:tcW w:w="566" w:type="pct"/>
          </w:tcPr>
          <w:p w14:paraId="4320B140" w14:textId="1406FEA5" w:rsidR="00590EB2" w:rsidRPr="00C35E41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$40,000</w:t>
            </w:r>
          </w:p>
        </w:tc>
      </w:tr>
      <w:tr w:rsidR="00590EB2" w14:paraId="38C388D5" w14:textId="77777777" w:rsidTr="004F0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A986CAC" w14:textId="7418B823" w:rsidR="00590EB2" w:rsidRPr="00C35E41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Macro Music Pty Ltd</w:t>
            </w:r>
          </w:p>
        </w:tc>
        <w:tc>
          <w:tcPr>
            <w:tcW w:w="3161" w:type="pct"/>
          </w:tcPr>
          <w:p w14:paraId="748DEFA7" w14:textId="53C99830" w:rsidR="00590EB2" w:rsidRPr="00C35E41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>Good Day Sunshine Festival 2024 - Original Australian Artist Fees</w:t>
            </w:r>
          </w:p>
        </w:tc>
        <w:tc>
          <w:tcPr>
            <w:tcW w:w="566" w:type="pct"/>
          </w:tcPr>
          <w:p w14:paraId="042FCC76" w14:textId="6B84FA6D" w:rsidR="00590EB2" w:rsidRPr="00C35E41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$100,000</w:t>
            </w:r>
          </w:p>
        </w:tc>
      </w:tr>
      <w:tr w:rsidR="00590EB2" w14:paraId="3E907F75" w14:textId="77777777" w:rsidTr="004F04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9A8F5EB" w14:textId="7387352F" w:rsidR="00590EB2" w:rsidRPr="00C35E41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Move Party People Pty Ltd</w:t>
            </w:r>
          </w:p>
        </w:tc>
        <w:tc>
          <w:tcPr>
            <w:tcW w:w="3161" w:type="pct"/>
          </w:tcPr>
          <w:p w14:paraId="01EF0720" w14:textId="7B51284C" w:rsidR="00590EB2" w:rsidRPr="00C35E41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>Freedom Time NYE Festival 2024/25 - Original Australian Artist Fees, Marketing and Production Costs</w:t>
            </w:r>
          </w:p>
        </w:tc>
        <w:tc>
          <w:tcPr>
            <w:tcW w:w="566" w:type="pct"/>
          </w:tcPr>
          <w:p w14:paraId="49F1066E" w14:textId="38AE043D" w:rsidR="00590EB2" w:rsidRPr="00C35E41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$84,</w:t>
            </w:r>
            <w:r w:rsidR="00344259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590EB2" w14:paraId="4BCA73E5" w14:textId="77777777" w:rsidTr="004F0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6F44158C" w14:textId="276A7758" w:rsidR="00590EB2" w:rsidRPr="00C35E41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Rosemount Hotel</w:t>
            </w:r>
          </w:p>
        </w:tc>
        <w:tc>
          <w:tcPr>
            <w:tcW w:w="3161" w:type="pct"/>
          </w:tcPr>
          <w:p w14:paraId="21FB8F53" w14:textId="219B423A" w:rsidR="00590EB2" w:rsidRPr="00C35E41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 xml:space="preserve">Rosemount Hotel Amplify WA Program - Original Australian Artist Fees </w:t>
            </w:r>
          </w:p>
        </w:tc>
        <w:tc>
          <w:tcPr>
            <w:tcW w:w="566" w:type="pct"/>
          </w:tcPr>
          <w:p w14:paraId="4AB6398B" w14:textId="1DB0BD03" w:rsidR="00590EB2" w:rsidRPr="00C35E41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$40,000</w:t>
            </w:r>
          </w:p>
        </w:tc>
      </w:tr>
      <w:tr w:rsidR="00590EB2" w14:paraId="74B99FE3" w14:textId="77777777" w:rsidTr="004F04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786C8CC5" w14:textId="5C485D32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proofErr w:type="spellStart"/>
            <w:r w:rsidRPr="000C14BD">
              <w:t>Sidequest</w:t>
            </w:r>
            <w:proofErr w:type="spellEnd"/>
            <w:r w:rsidRPr="000C14BD">
              <w:t xml:space="preserve"> Music Pty Ltd</w:t>
            </w:r>
          </w:p>
        </w:tc>
        <w:tc>
          <w:tcPr>
            <w:tcW w:w="3161" w:type="pct"/>
          </w:tcPr>
          <w:p w14:paraId="77615ED8" w14:textId="5F2C34DC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0C14BD">
              <w:t>Sidefest</w:t>
            </w:r>
            <w:proofErr w:type="spellEnd"/>
            <w:r w:rsidRPr="000C14BD">
              <w:t xml:space="preserve"> 2025 - Original Australian Artist Fees </w:t>
            </w:r>
          </w:p>
        </w:tc>
        <w:tc>
          <w:tcPr>
            <w:tcW w:w="566" w:type="pct"/>
          </w:tcPr>
          <w:p w14:paraId="6D807948" w14:textId="204FEDD7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$83,490</w:t>
            </w:r>
          </w:p>
        </w:tc>
      </w:tr>
      <w:tr w:rsidR="00590EB2" w14:paraId="7328EFEB" w14:textId="77777777" w:rsidTr="004F0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1037B47D" w14:textId="3DF4B2C4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The Nannup Music Club Incorporated</w:t>
            </w:r>
          </w:p>
        </w:tc>
        <w:tc>
          <w:tcPr>
            <w:tcW w:w="3161" w:type="pct"/>
          </w:tcPr>
          <w:p w14:paraId="4413DDFA" w14:textId="6F7AD0AF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>Nannup Music Festival 2025 - Production Costs</w:t>
            </w:r>
          </w:p>
        </w:tc>
        <w:tc>
          <w:tcPr>
            <w:tcW w:w="566" w:type="pct"/>
          </w:tcPr>
          <w:p w14:paraId="49378CFF" w14:textId="35640B1A" w:rsidR="00590EB2" w:rsidRDefault="00590EB2" w:rsidP="00590EB2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$80,000</w:t>
            </w:r>
          </w:p>
        </w:tc>
      </w:tr>
      <w:tr w:rsidR="00590EB2" w14:paraId="09092747" w14:textId="77777777" w:rsidTr="004F04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14:paraId="0489100C" w14:textId="55A4AE5A" w:rsidR="00590EB2" w:rsidRDefault="00590EB2" w:rsidP="00590EB2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0C14BD">
              <w:t>YMCA of Western Australia Youth and Community Services Incorporated</w:t>
            </w:r>
          </w:p>
        </w:tc>
        <w:tc>
          <w:tcPr>
            <w:tcW w:w="3161" w:type="pct"/>
          </w:tcPr>
          <w:p w14:paraId="193951A3" w14:textId="29C19860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C14BD">
              <w:t>The Y HQ U18s Venue - Lighting and Equipment Upgrade</w:t>
            </w:r>
          </w:p>
        </w:tc>
        <w:tc>
          <w:tcPr>
            <w:tcW w:w="566" w:type="pct"/>
          </w:tcPr>
          <w:p w14:paraId="46FD934F" w14:textId="5A0AAE8C" w:rsidR="00590EB2" w:rsidRDefault="00590EB2" w:rsidP="00590EB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$17,804</w:t>
            </w:r>
          </w:p>
        </w:tc>
      </w:tr>
    </w:tbl>
    <w:p w14:paraId="5E9E293E" w14:textId="77777777" w:rsidR="00DE4FE2" w:rsidRDefault="00DE4FE2" w:rsidP="004F0401"/>
    <w:sectPr w:rsidR="00DE4FE2" w:rsidSect="007A00C7">
      <w:headerReference w:type="default" r:id="rId15"/>
      <w:footerReference w:type="default" r:id="rId16"/>
      <w:headerReference w:type="first" r:id="rId17"/>
      <w:pgSz w:w="16838" w:h="11906" w:orient="landscape" w:code="9"/>
      <w:pgMar w:top="1021" w:right="1021" w:bottom="1021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E2943" w14:textId="77777777" w:rsidR="00E075D5" w:rsidRDefault="00E075D5" w:rsidP="008456D5">
      <w:pPr>
        <w:spacing w:before="0" w:after="0"/>
      </w:pPr>
      <w:r>
        <w:separator/>
      </w:r>
    </w:p>
  </w:endnote>
  <w:endnote w:type="continuationSeparator" w:id="0">
    <w:p w14:paraId="5E9E2944" w14:textId="77777777" w:rsidR="00E075D5" w:rsidRDefault="00E075D5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2947" w14:textId="77777777" w:rsidR="00E075D5" w:rsidRDefault="00E075D5" w:rsidP="005D3FC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2948" w14:textId="77777777" w:rsidR="00E075D5" w:rsidRDefault="00E075D5" w:rsidP="00726088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>
      <w:rPr>
        <w:rFonts w:cs="Segoe UI"/>
        <w:noProof/>
        <w:szCs w:val="18"/>
      </w:rPr>
      <w:t>Live Music Australia grant recipients—Round 7—2023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6</w:t>
    </w:r>
    <w:r>
      <w:rPr>
        <w:rFonts w:cs="Segoe UI"/>
        <w:szCs w:val="18"/>
      </w:rPr>
      <w:fldChar w:fldCharType="end"/>
    </w:r>
  </w:p>
  <w:p w14:paraId="5E9E2949" w14:textId="77777777" w:rsidR="00E075D5" w:rsidRDefault="00E075D5" w:rsidP="00726088">
    <w:pPr>
      <w:spacing w:after="0"/>
      <w:ind w:left="-993"/>
    </w:pPr>
    <w:r>
      <w:rPr>
        <w:noProof/>
        <w:lang w:eastAsia="en-AU"/>
      </w:rPr>
      <w:drawing>
        <wp:inline distT="0" distB="0" distL="0" distR="0" wp14:anchorId="5E9E2950" wp14:editId="5E9E2951">
          <wp:extent cx="10692000" cy="183240"/>
          <wp:effectExtent l="0" t="0" r="0" b="762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294A" w14:textId="77777777" w:rsidR="00E075D5" w:rsidRDefault="00E075D5" w:rsidP="008F3DD3">
    <w:pPr>
      <w:pStyle w:val="Footer"/>
      <w:ind w:left="-993"/>
    </w:pPr>
    <w:r>
      <w:rPr>
        <w:noProof/>
        <w:lang w:eastAsia="en-AU"/>
      </w:rPr>
      <w:drawing>
        <wp:inline distT="0" distB="0" distL="0" distR="0" wp14:anchorId="5E9E2952" wp14:editId="5E9E2953">
          <wp:extent cx="10684300" cy="3087015"/>
          <wp:effectExtent l="0" t="0" r="3175" b="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748" cy="311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294C" w14:textId="5939F731" w:rsidR="00E075D5" w:rsidRDefault="00E075D5" w:rsidP="00726088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985DB1">
      <w:rPr>
        <w:rFonts w:cs="Segoe UI"/>
        <w:noProof/>
        <w:szCs w:val="18"/>
      </w:rPr>
      <w:t>Revive Live grant recipients—2024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6</w:t>
    </w:r>
    <w:r>
      <w:rPr>
        <w:rFonts w:cs="Segoe UI"/>
        <w:szCs w:val="18"/>
      </w:rPr>
      <w:fldChar w:fldCharType="end"/>
    </w:r>
  </w:p>
  <w:p w14:paraId="5E9E294D" w14:textId="77777777" w:rsidR="00E075D5" w:rsidRDefault="00E075D5" w:rsidP="00726088">
    <w:pPr>
      <w:spacing w:after="0"/>
      <w:ind w:left="-993"/>
    </w:pPr>
    <w:r>
      <w:rPr>
        <w:noProof/>
        <w:lang w:eastAsia="en-AU"/>
      </w:rPr>
      <w:drawing>
        <wp:inline distT="0" distB="0" distL="0" distR="0" wp14:anchorId="5E9E2954" wp14:editId="5E9E2955">
          <wp:extent cx="10692000" cy="183240"/>
          <wp:effectExtent l="0" t="0" r="0" b="762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E2941" w14:textId="77777777" w:rsidR="00E075D5" w:rsidRPr="005912BE" w:rsidRDefault="00E075D5" w:rsidP="005912BE">
      <w:pPr>
        <w:spacing w:before="300"/>
        <w:rPr>
          <w:color w:val="008089" w:themeColor="accent2"/>
        </w:rPr>
      </w:pPr>
      <w:r w:rsidRPr="000D244D">
        <w:rPr>
          <w:color w:val="004044" w:themeColor="accent2" w:themeShade="80"/>
        </w:rPr>
        <w:t>----------</w:t>
      </w:r>
    </w:p>
  </w:footnote>
  <w:footnote w:type="continuationSeparator" w:id="0">
    <w:p w14:paraId="5E9E2942" w14:textId="77777777" w:rsidR="00E075D5" w:rsidRDefault="00E075D5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2945" w14:textId="77777777" w:rsidR="00E075D5" w:rsidRDefault="00985DB1" w:rsidP="005D3FCB">
    <w:pPr>
      <w:pStyle w:val="Header"/>
      <w:spacing w:after="1320"/>
      <w:jc w:val="left"/>
    </w:pPr>
    <w:r>
      <w:fldChar w:fldCharType="begin"/>
    </w:r>
    <w:r>
      <w:instrText xml:space="preserve"> STYLEREF  "Heading 1"  \* MERGEFORMAT </w:instrText>
    </w:r>
    <w:r>
      <w:fldChar w:fldCharType="separate"/>
    </w:r>
    <w:r w:rsidR="00E075D5">
      <w:rPr>
        <w:noProof/>
      </w:rPr>
      <w:t>[H1]Title—subtitle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2946" w14:textId="77777777" w:rsidR="00E075D5" w:rsidRDefault="00E075D5" w:rsidP="00546218">
    <w:pPr>
      <w:pStyle w:val="Header"/>
      <w:spacing w:after="13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294B" w14:textId="52B91E16" w:rsidR="00E075D5" w:rsidRDefault="00E075D5" w:rsidP="004F0F85">
    <w:pPr>
      <w:pStyle w:val="Header"/>
      <w:spacing w:after="240"/>
      <w:rPr>
        <w:rFonts w:cs="Segoe UI Light"/>
        <w:color w:val="001C40"/>
        <w:sz w:val="20"/>
        <w:szCs w:val="20"/>
      </w:rPr>
    </w:pPr>
    <w:r>
      <w:rPr>
        <w:rFonts w:cs="Segoe UI Light"/>
        <w:color w:val="001C40"/>
        <w:sz w:val="20"/>
        <w:szCs w:val="20"/>
      </w:rPr>
      <w:fldChar w:fldCharType="begin"/>
    </w:r>
    <w:r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="00985DB1">
      <w:rPr>
        <w:rFonts w:cs="Segoe UI Light"/>
        <w:color w:val="001C40"/>
        <w:sz w:val="20"/>
        <w:szCs w:val="20"/>
      </w:rPr>
      <w:fldChar w:fldCharType="separate"/>
    </w:r>
    <w:r w:rsidR="00985DB1">
      <w:rPr>
        <w:rFonts w:cs="Segoe UI Light"/>
        <w:noProof/>
        <w:color w:val="001C40"/>
        <w:sz w:val="20"/>
        <w:szCs w:val="20"/>
      </w:rPr>
      <w:t>Australian Capital Territory</w:t>
    </w:r>
    <w:r>
      <w:rPr>
        <w:rFonts w:cs="Segoe UI Light"/>
        <w:color w:val="001C40"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tatus"/>
      <w:tag w:val=""/>
      <w:id w:val="-1813397779"/>
      <w:placeholder>
        <w:docPart w:val="BFDF2B5F914A4456BA428C01F03056BB"/>
      </w:placeholder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/>
    <w:sdtContent>
      <w:p w14:paraId="5E9E294E" w14:textId="77777777" w:rsidR="00E075D5" w:rsidRDefault="00E075D5" w:rsidP="00F82CA0">
        <w:pPr>
          <w:pStyle w:val="SecurityMarker"/>
        </w:pPr>
        <w:r>
          <w:t>&lt;SELECT THE CLASSIFICATION MARKER ABOVE THAT APPLIES TO YOUR DOCUMENT, THEN DELETE THE OTHERS AND THIS TEXT&gt;</w:t>
        </w:r>
      </w:p>
    </w:sdtContent>
  </w:sdt>
  <w:p w14:paraId="5E9E294F" w14:textId="77777777" w:rsidR="00E075D5" w:rsidRDefault="00985DB1" w:rsidP="00F82CA0">
    <w:pPr>
      <w:pStyle w:val="Header"/>
      <w:spacing w:after="7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E075D5">
      <w:rPr>
        <w:noProof/>
      </w:rPr>
      <w:t>Heading 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827E7D"/>
    <w:multiLevelType w:val="hybridMultilevel"/>
    <w:tmpl w:val="79D0BA36"/>
    <w:lvl w:ilvl="0" w:tplc="446AE6B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</w:num>
  <w:num w:numId="33">
    <w:abstractNumId w:val="2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3"/>
    <w:rsid w:val="0001430B"/>
    <w:rsid w:val="00073C0B"/>
    <w:rsid w:val="00080DD2"/>
    <w:rsid w:val="000D244D"/>
    <w:rsid w:val="000E24BA"/>
    <w:rsid w:val="000E5674"/>
    <w:rsid w:val="000F672E"/>
    <w:rsid w:val="00113AA3"/>
    <w:rsid w:val="00130E16"/>
    <w:rsid w:val="00131542"/>
    <w:rsid w:val="001349C6"/>
    <w:rsid w:val="00190FF4"/>
    <w:rsid w:val="00193EF3"/>
    <w:rsid w:val="001F44EA"/>
    <w:rsid w:val="001F5825"/>
    <w:rsid w:val="00203071"/>
    <w:rsid w:val="002254D5"/>
    <w:rsid w:val="0022611D"/>
    <w:rsid w:val="00260BD5"/>
    <w:rsid w:val="00284164"/>
    <w:rsid w:val="002B2E71"/>
    <w:rsid w:val="002B3569"/>
    <w:rsid w:val="002B7197"/>
    <w:rsid w:val="002C6396"/>
    <w:rsid w:val="002E1ADA"/>
    <w:rsid w:val="003177A7"/>
    <w:rsid w:val="00344259"/>
    <w:rsid w:val="00351AB4"/>
    <w:rsid w:val="00366BE5"/>
    <w:rsid w:val="00367483"/>
    <w:rsid w:val="003720E9"/>
    <w:rsid w:val="003B1961"/>
    <w:rsid w:val="003C2945"/>
    <w:rsid w:val="003C625A"/>
    <w:rsid w:val="003F775D"/>
    <w:rsid w:val="00420F04"/>
    <w:rsid w:val="00444726"/>
    <w:rsid w:val="00474647"/>
    <w:rsid w:val="00477E77"/>
    <w:rsid w:val="00486016"/>
    <w:rsid w:val="004B03E0"/>
    <w:rsid w:val="004F0401"/>
    <w:rsid w:val="004F08DB"/>
    <w:rsid w:val="004F0F85"/>
    <w:rsid w:val="004F3764"/>
    <w:rsid w:val="00515C0E"/>
    <w:rsid w:val="00524D1C"/>
    <w:rsid w:val="00541213"/>
    <w:rsid w:val="00546218"/>
    <w:rsid w:val="005603F5"/>
    <w:rsid w:val="005878B3"/>
    <w:rsid w:val="00590EB2"/>
    <w:rsid w:val="005912BE"/>
    <w:rsid w:val="00595036"/>
    <w:rsid w:val="005A31ED"/>
    <w:rsid w:val="005A535A"/>
    <w:rsid w:val="005C1DEA"/>
    <w:rsid w:val="005D2BAD"/>
    <w:rsid w:val="005D3FCB"/>
    <w:rsid w:val="005F794B"/>
    <w:rsid w:val="00645BA5"/>
    <w:rsid w:val="00666A7D"/>
    <w:rsid w:val="00690ABD"/>
    <w:rsid w:val="006E0395"/>
    <w:rsid w:val="006E1ECA"/>
    <w:rsid w:val="006F0C19"/>
    <w:rsid w:val="00726088"/>
    <w:rsid w:val="00763588"/>
    <w:rsid w:val="00782B49"/>
    <w:rsid w:val="007A00C7"/>
    <w:rsid w:val="007A05BE"/>
    <w:rsid w:val="007B0E4F"/>
    <w:rsid w:val="008067A1"/>
    <w:rsid w:val="00844A9E"/>
    <w:rsid w:val="008456D5"/>
    <w:rsid w:val="0084634B"/>
    <w:rsid w:val="008A1887"/>
    <w:rsid w:val="008B6A81"/>
    <w:rsid w:val="008E2A0D"/>
    <w:rsid w:val="008E6013"/>
    <w:rsid w:val="008F3DD3"/>
    <w:rsid w:val="00902D70"/>
    <w:rsid w:val="009230B1"/>
    <w:rsid w:val="0093520D"/>
    <w:rsid w:val="00951405"/>
    <w:rsid w:val="009560FF"/>
    <w:rsid w:val="00956737"/>
    <w:rsid w:val="00985DB1"/>
    <w:rsid w:val="009B00F2"/>
    <w:rsid w:val="009B52F3"/>
    <w:rsid w:val="009D2721"/>
    <w:rsid w:val="009F7051"/>
    <w:rsid w:val="00A070A2"/>
    <w:rsid w:val="00A95970"/>
    <w:rsid w:val="00AD7703"/>
    <w:rsid w:val="00B1450F"/>
    <w:rsid w:val="00B42AC2"/>
    <w:rsid w:val="00B80CD9"/>
    <w:rsid w:val="00BB37C0"/>
    <w:rsid w:val="00BB3AAC"/>
    <w:rsid w:val="00C058FD"/>
    <w:rsid w:val="00C35E41"/>
    <w:rsid w:val="00C50C85"/>
    <w:rsid w:val="00CB2A6F"/>
    <w:rsid w:val="00CD233E"/>
    <w:rsid w:val="00CE4DD5"/>
    <w:rsid w:val="00CF6CFD"/>
    <w:rsid w:val="00D07944"/>
    <w:rsid w:val="00D1674F"/>
    <w:rsid w:val="00D30146"/>
    <w:rsid w:val="00D34671"/>
    <w:rsid w:val="00D5655E"/>
    <w:rsid w:val="00D5724D"/>
    <w:rsid w:val="00D659E9"/>
    <w:rsid w:val="00DB59A7"/>
    <w:rsid w:val="00DE06AB"/>
    <w:rsid w:val="00DE4362"/>
    <w:rsid w:val="00DE4FE2"/>
    <w:rsid w:val="00E04908"/>
    <w:rsid w:val="00E075D5"/>
    <w:rsid w:val="00E1015B"/>
    <w:rsid w:val="00E5095B"/>
    <w:rsid w:val="00E71689"/>
    <w:rsid w:val="00E76F76"/>
    <w:rsid w:val="00E83B82"/>
    <w:rsid w:val="00EC74AF"/>
    <w:rsid w:val="00ED336E"/>
    <w:rsid w:val="00F201FB"/>
    <w:rsid w:val="00F54B38"/>
    <w:rsid w:val="00F67CDB"/>
    <w:rsid w:val="00F82CA0"/>
    <w:rsid w:val="00F97AF5"/>
    <w:rsid w:val="00FA54E8"/>
    <w:rsid w:val="00FB78D1"/>
    <w:rsid w:val="00FC32B2"/>
    <w:rsid w:val="00FC34AF"/>
    <w:rsid w:val="00FC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E9E286D"/>
  <w15:chartTrackingRefBased/>
  <w15:docId w15:val="{D7218218-A0CB-4E31-BCD9-99B3F008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B4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782B49"/>
    <w:pPr>
      <w:keepNext/>
      <w:keepLines/>
      <w:spacing w:before="720" w:after="160"/>
      <w:contextualSpacing/>
      <w:outlineLvl w:val="0"/>
    </w:pPr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44D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44D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2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2F3"/>
    <w:pPr>
      <w:keepNext/>
      <w:keepLines/>
      <w:suppressAutoHyphens w:val="0"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203071"/>
    <w:pPr>
      <w:spacing w:before="1680" w:after="480"/>
    </w:pPr>
    <w:rPr>
      <w:rFonts w:asciiTheme="majorHAnsi" w:eastAsiaTheme="majorEastAsia" w:hAnsiTheme="majorHAnsi" w:cstheme="majorBidi"/>
      <w:b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203071"/>
    <w:rPr>
      <w:rFonts w:asciiTheme="majorHAnsi" w:eastAsiaTheme="majorEastAsia" w:hAnsiTheme="majorHAnsi" w:cstheme="majorBidi"/>
      <w:b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03071"/>
    <w:pPr>
      <w:numPr>
        <w:ilvl w:val="1"/>
      </w:numPr>
      <w:spacing w:before="48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03071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0D244D"/>
    <w:rPr>
      <w:b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82B49"/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203071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0D244D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44D"/>
    <w:rPr>
      <w:rFonts w:asciiTheme="majorHAnsi" w:eastAsiaTheme="majorEastAsia" w:hAnsiTheme="majorHAnsi" w:cstheme="majorBidi"/>
      <w:b/>
      <w:iCs/>
      <w:color w:val="49515C" w:themeColor="accent4" w:themeShade="80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35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1F5825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1F5825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1F5825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F201F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1F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D659E9"/>
    <w:pPr>
      <w:keepLines/>
      <w:tabs>
        <w:tab w:val="right" w:pos="14786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99"/>
    <w:unhideWhenUsed/>
    <w:rsid w:val="006E1ECA"/>
    <w:pPr>
      <w:spacing w:before="80"/>
    </w:pPr>
  </w:style>
  <w:style w:type="paragraph" w:customStyle="1" w:styleId="Box2Checklist">
    <w:name w:val="Box 2 Checklist"/>
    <w:basedOn w:val="Box2Text"/>
    <w:uiPriority w:val="26"/>
    <w:qFormat/>
    <w:rsid w:val="001F5825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1F5825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44726"/>
    <w:rPr>
      <w:color w:val="0046FF" w:themeColor="followedHyperlink"/>
      <w:u w:val="single"/>
    </w:rPr>
  </w:style>
  <w:style w:type="paragraph" w:customStyle="1" w:styleId="SecurityMarker">
    <w:name w:val="Security Marker"/>
    <w:basedOn w:val="Normal"/>
    <w:qFormat/>
    <w:rsid w:val="00193EF3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2F3"/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customStyle="1" w:styleId="msonormal0">
    <w:name w:val="msonormal"/>
    <w:basedOn w:val="Normal"/>
    <w:rsid w:val="009B52F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B52F3"/>
    <w:pPr>
      <w:tabs>
        <w:tab w:val="right" w:leader="dot" w:pos="9072"/>
      </w:tabs>
      <w:suppressAutoHyphens w:val="0"/>
      <w:spacing w:before="0" w:after="0"/>
      <w:ind w:left="567" w:right="567" w:hanging="567"/>
    </w:pPr>
    <w:rPr>
      <w:rFonts w:ascii="Calibri" w:hAnsi="Calibri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B52F3"/>
    <w:pPr>
      <w:numPr>
        <w:numId w:val="29"/>
      </w:numPr>
      <w:suppressAutoHyphens w:val="0"/>
      <w:spacing w:before="0" w:after="160"/>
      <w:ind w:left="567" w:hanging="567"/>
      <w:contextualSpacing/>
    </w:pPr>
    <w:rPr>
      <w:rFonts w:ascii="Calibri" w:hAnsi="Calibri"/>
      <w:color w:val="auto"/>
    </w:rPr>
  </w:style>
  <w:style w:type="paragraph" w:customStyle="1" w:styleId="Heading2notshowing">
    <w:name w:val="Heading 2—not showing"/>
    <w:basedOn w:val="Normal"/>
    <w:next w:val="Normal"/>
    <w:qFormat/>
    <w:rsid w:val="009B52F3"/>
    <w:pPr>
      <w:keepNext/>
      <w:suppressAutoHyphens w:val="0"/>
      <w:spacing w:before="0" w:after="120"/>
      <w:outlineLvl w:val="1"/>
    </w:pPr>
    <w:rPr>
      <w:rFonts w:ascii="Calibri" w:eastAsia="MingLiU" w:hAnsi="Calibri" w:cs="Segoe UI Semibold"/>
      <w:b/>
      <w:color w:val="4C5564"/>
      <w:sz w:val="24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9B52F3"/>
    <w:pPr>
      <w:keepNext/>
      <w:suppressAutoHyphens w:val="0"/>
      <w:spacing w:before="0" w:after="120"/>
      <w:outlineLvl w:val="2"/>
    </w:pPr>
    <w:rPr>
      <w:rFonts w:ascii="Calibri" w:eastAsia="MingLiU" w:hAnsi="Calibri" w:cs="Segoe UI Semibold"/>
      <w:b/>
      <w:color w:val="4C5564"/>
      <w:sz w:val="24"/>
      <w:szCs w:val="30"/>
    </w:rPr>
  </w:style>
  <w:style w:type="paragraph" w:customStyle="1" w:styleId="Listparagraphbullets">
    <w:name w:val="List paragraph—bullets"/>
    <w:basedOn w:val="ListParagraph"/>
    <w:qFormat/>
    <w:rsid w:val="009B52F3"/>
    <w:pPr>
      <w:numPr>
        <w:numId w:val="31"/>
      </w:numPr>
      <w:ind w:left="567" w:hanging="567"/>
    </w:pPr>
    <w:rPr>
      <w:lang w:eastAsia="zh-TW"/>
    </w:rPr>
  </w:style>
  <w:style w:type="paragraph" w:customStyle="1" w:styleId="Tabletext">
    <w:name w:val="Table text"/>
    <w:basedOn w:val="Normal"/>
    <w:qFormat/>
    <w:rsid w:val="009B52F3"/>
    <w:pPr>
      <w:suppressAutoHyphens w:val="0"/>
      <w:spacing w:before="40" w:after="40"/>
    </w:pPr>
    <w:rPr>
      <w:rFonts w:ascii="Calibri" w:eastAsia="Times New Roman" w:hAnsi="Calibri" w:cs="Times New Roman"/>
      <w:color w:val="auto"/>
      <w:szCs w:val="20"/>
    </w:rPr>
  </w:style>
  <w:style w:type="paragraph" w:customStyle="1" w:styleId="Tablerowcolumnheading">
    <w:name w:val="Table row/column heading"/>
    <w:basedOn w:val="Normal"/>
    <w:next w:val="Normal"/>
    <w:rsid w:val="00690ABD"/>
    <w:pPr>
      <w:shd w:val="clear" w:color="auto" w:fill="081E3E"/>
      <w:suppressAutoHyphens w:val="0"/>
      <w:spacing w:before="60" w:after="60"/>
    </w:pPr>
    <w:rPr>
      <w:rFonts w:ascii="Calibri" w:hAnsi="Calibri"/>
      <w:b/>
      <w:color w:val="FFFFFF" w:themeColor="background1"/>
      <w:sz w:val="24"/>
      <w:szCs w:val="20"/>
    </w:rPr>
  </w:style>
  <w:style w:type="paragraph" w:customStyle="1" w:styleId="Tablefigureheading">
    <w:name w:val="Table/figure heading"/>
    <w:basedOn w:val="Normal"/>
    <w:next w:val="Normal"/>
    <w:qFormat/>
    <w:rsid w:val="009B52F3"/>
    <w:pPr>
      <w:keepNext/>
      <w:suppressAutoHyphens w:val="0"/>
      <w:spacing w:before="0" w:after="0"/>
    </w:pPr>
    <w:rPr>
      <w:rFonts w:ascii="Calibri" w:hAnsi="Calibri"/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9B52F3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9B52F3"/>
    <w:pPr>
      <w:jc w:val="center"/>
    </w:pPr>
  </w:style>
  <w:style w:type="paragraph" w:customStyle="1" w:styleId="Sourcenote">
    <w:name w:val="Source / note"/>
    <w:basedOn w:val="Normal"/>
    <w:qFormat/>
    <w:rsid w:val="009B52F3"/>
    <w:pPr>
      <w:suppressAutoHyphens w:val="0"/>
      <w:spacing w:before="0" w:after="160"/>
    </w:pPr>
    <w:rPr>
      <w:rFonts w:ascii="Calibri" w:eastAsia="PMingLiU" w:hAnsi="Calibri" w:cs="Mangal"/>
      <w:color w:val="595C6E"/>
      <w:sz w:val="20"/>
      <w:szCs w:val="20"/>
      <w:lang w:eastAsia="zh-TW"/>
    </w:rPr>
  </w:style>
  <w:style w:type="paragraph" w:customStyle="1" w:styleId="Normaldisclaimerpage">
    <w:name w:val="Normal—disclaimer page"/>
    <w:basedOn w:val="Normal"/>
    <w:qFormat/>
    <w:rsid w:val="009B52F3"/>
    <w:pPr>
      <w:suppressAutoHyphens w:val="0"/>
      <w:spacing w:before="0" w:after="120"/>
    </w:pPr>
    <w:rPr>
      <w:rFonts w:ascii="Calibri" w:hAnsi="Calibri"/>
      <w:color w:val="auto"/>
      <w:sz w:val="20"/>
      <w:szCs w:val="20"/>
    </w:rPr>
  </w:style>
  <w:style w:type="paragraph" w:customStyle="1" w:styleId="Tabletextbullets">
    <w:name w:val="Table text—bullets"/>
    <w:basedOn w:val="Listparagraphbullets"/>
    <w:qFormat/>
    <w:rsid w:val="009B52F3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customStyle="1" w:styleId="AreaHeading">
    <w:name w:val="Area Heading"/>
    <w:basedOn w:val="Normal"/>
    <w:qFormat/>
    <w:rsid w:val="009B52F3"/>
    <w:pPr>
      <w:spacing w:before="0"/>
      <w:ind w:left="-1020" w:firstLine="1020"/>
    </w:pPr>
    <w:rPr>
      <w:rFonts w:cs="Times New Roman (Body CS)"/>
      <w:caps/>
      <w:color w:val="6D7989" w:themeColor="accent4" w:themeShade="BF"/>
      <w:kern w:val="12"/>
      <w:sz w:val="21"/>
      <w:szCs w:val="20"/>
    </w:rPr>
  </w:style>
  <w:style w:type="table" w:styleId="PlainTable1">
    <w:name w:val="Plain Table 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1">
    <w:name w:val="Default Table 11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Listparagraphbulletssecondlevel">
    <w:name w:val="List paragraph—bullets—second level"/>
    <w:basedOn w:val="Listparagraphbullets"/>
    <w:autoRedefine/>
    <w:qFormat/>
    <w:rsid w:val="009B52F3"/>
    <w:pPr>
      <w:numPr>
        <w:numId w:val="33"/>
      </w:numPr>
      <w:spacing w:before="80"/>
      <w:ind w:left="1134" w:hanging="567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%20Report%20template%20landscape_2909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DF2B5F914A4456BA428C01F030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5967-E400-4381-9E38-C7DD8891534B}"/>
      </w:docPartPr>
      <w:docPartBody>
        <w:p w:rsidR="00EB7190" w:rsidRDefault="00EB7190">
          <w:pPr>
            <w:pStyle w:val="BFDF2B5F914A4456BA428C01F03056BB"/>
          </w:pPr>
          <w:r w:rsidRPr="00A64A8B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0"/>
    <w:rsid w:val="000632E9"/>
    <w:rsid w:val="000641E0"/>
    <w:rsid w:val="004462E1"/>
    <w:rsid w:val="0073389F"/>
    <w:rsid w:val="00E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2E9"/>
    <w:rPr>
      <w:color w:val="808080"/>
    </w:rPr>
  </w:style>
  <w:style w:type="paragraph" w:customStyle="1" w:styleId="C18323E2B75D456A869BD5B65C1516C2">
    <w:name w:val="C18323E2B75D456A869BD5B65C1516C2"/>
  </w:style>
  <w:style w:type="paragraph" w:customStyle="1" w:styleId="1399834A4A1740E5A40C53C46B41E401">
    <w:name w:val="1399834A4A1740E5A40C53C46B41E401"/>
  </w:style>
  <w:style w:type="paragraph" w:customStyle="1" w:styleId="340590B1B0AC49729B7E0183D15DA58C">
    <w:name w:val="340590B1B0AC49729B7E0183D15DA58C"/>
  </w:style>
  <w:style w:type="paragraph" w:customStyle="1" w:styleId="61F7829985474A46956F1AB709934D35">
    <w:name w:val="61F7829985474A46956F1AB709934D35"/>
  </w:style>
  <w:style w:type="paragraph" w:customStyle="1" w:styleId="26D777F0B97D43229702FBB58CB8327D">
    <w:name w:val="26D777F0B97D43229702FBB58CB8327D"/>
  </w:style>
  <w:style w:type="paragraph" w:customStyle="1" w:styleId="E95854C84F604CD1918DEC8EC5A81AA9">
    <w:name w:val="E95854C84F604CD1918DEC8EC5A81AA9"/>
  </w:style>
  <w:style w:type="paragraph" w:customStyle="1" w:styleId="F1043BBC1A8C43548D68E0575DB3DD41">
    <w:name w:val="F1043BBC1A8C43548D68E0575DB3DD41"/>
  </w:style>
  <w:style w:type="paragraph" w:customStyle="1" w:styleId="C9824CE2621B4AC9996BCA67EBCDDC46">
    <w:name w:val="C9824CE2621B4AC9996BCA67EBCDDC46"/>
  </w:style>
  <w:style w:type="paragraph" w:customStyle="1" w:styleId="96942B1B9C044668B80004541B44CE21">
    <w:name w:val="96942B1B9C044668B80004541B44CE21"/>
  </w:style>
  <w:style w:type="paragraph" w:customStyle="1" w:styleId="BFDF2B5F914A4456BA428C01F03056BB">
    <w:name w:val="BFDF2B5F914A4456BA428C01F03056BB"/>
  </w:style>
  <w:style w:type="paragraph" w:customStyle="1" w:styleId="D0EF59007F6E461EB3DC380778FDC6D5">
    <w:name w:val="D0EF59007F6E461EB3DC380778FDC6D5"/>
    <w:rsid w:val="00063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A9CEFF-8C2A-44A5-B1A5-2B4CC249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 Report template landscape_29092022.dotx</Template>
  <TotalTime>0</TotalTime>
  <Pages>11</Pages>
  <Words>2023</Words>
  <Characters>11760</Characters>
  <Application>Microsoft Office Word</Application>
  <DocSecurity>4</DocSecurity>
  <Lines>452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Music Australia grant recipients—Round 7—2023</vt:lpstr>
    </vt:vector>
  </TitlesOfParts>
  <Company>Department of Infrastructure, Transport, Regional Development, Communications and the Arts</Company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Music Australia grant recipients—Round 7—2023</dc:title>
  <dc:subject/>
  <dc:creator>Department of Infrastructure, Transport, Regional Development, Communications and the Arts</dc:creator>
  <cp:keywords/>
  <dc:description/>
  <cp:lastModifiedBy>Hobday, Luke</cp:lastModifiedBy>
  <cp:revision>2</cp:revision>
  <cp:lastPrinted>2024-10-22T00:38:00Z</cp:lastPrinted>
  <dcterms:created xsi:type="dcterms:W3CDTF">2024-10-22T00:39:00Z</dcterms:created>
  <dcterms:modified xsi:type="dcterms:W3CDTF">2024-10-22T00:39:00Z</dcterms:modified>
  <cp:contentStatus>&lt;SELECT THE CLASSIFICATION MARKER ABOVE THAT APPLIES TO YOUR DOCUMENT, THEN DELETE THE OTHERS AND THIS TEXT&gt;</cp:contentStatus>
</cp:coreProperties>
</file>