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A95C47" w14:textId="77777777" w:rsidR="0094124E" w:rsidRDefault="00477982" w:rsidP="0094124E">
      <w:pPr>
        <w:ind w:left="-1418"/>
      </w:pPr>
      <w:r w:rsidRPr="002E718B">
        <w:rPr>
          <w:noProof/>
          <w:lang w:eastAsia="en-AU"/>
        </w:rPr>
        <w:drawing>
          <wp:inline distT="0" distB="0" distL="0" distR="0" wp14:anchorId="0C8F6DAA" wp14:editId="756ED930">
            <wp:extent cx="7560000" cy="1397710"/>
            <wp:effectExtent l="0" t="0" r="3175" b="0"/>
            <wp:docPr id="2" name="Picture 2" descr="Header banner: Meeting of Cultural Ministers, Statistics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cm-header-banner.png"/>
                    <pic:cNvPicPr/>
                  </pic:nvPicPr>
                  <pic:blipFill rotWithShape="1">
                    <a:blip r:embed="rId11">
                      <a:extLst>
                        <a:ext uri="{28A0092B-C50C-407E-A947-70E740481C1C}">
                          <a14:useLocalDpi xmlns:a14="http://schemas.microsoft.com/office/drawing/2010/main" val="0"/>
                        </a:ext>
                      </a:extLst>
                    </a:blip>
                    <a:srcRect l="1709" t="7699" r="1875" b="1833"/>
                    <a:stretch/>
                  </pic:blipFill>
                  <pic:spPr bwMode="auto">
                    <a:xfrm>
                      <a:off x="0" y="0"/>
                      <a:ext cx="7560000" cy="1397710"/>
                    </a:xfrm>
                    <a:prstGeom prst="rect">
                      <a:avLst/>
                    </a:prstGeom>
                    <a:ln>
                      <a:noFill/>
                    </a:ln>
                    <a:extLst>
                      <a:ext uri="{53640926-AAD7-44D8-BBD7-CCE9431645EC}">
                        <a14:shadowObscured xmlns:a14="http://schemas.microsoft.com/office/drawing/2010/main"/>
                      </a:ext>
                    </a:extLst>
                  </pic:spPr>
                </pic:pic>
              </a:graphicData>
            </a:graphic>
          </wp:inline>
        </w:drawing>
      </w:r>
    </w:p>
    <w:p w14:paraId="1345C9B7" w14:textId="77777777" w:rsidR="00FC16F3" w:rsidRDefault="00FC16F3" w:rsidP="0094124E">
      <w:pPr>
        <w:ind w:left="-1418"/>
        <w:sectPr w:rsidR="00FC16F3" w:rsidSect="00477982">
          <w:headerReference w:type="even" r:id="rId12"/>
          <w:headerReference w:type="default" r:id="rId13"/>
          <w:footerReference w:type="even" r:id="rId14"/>
          <w:footerReference w:type="default" r:id="rId15"/>
          <w:headerReference w:type="first" r:id="rId16"/>
          <w:footerReference w:type="first" r:id="rId17"/>
          <w:type w:val="continuous"/>
          <w:pgSz w:w="11906" w:h="16838"/>
          <w:pgMar w:top="0" w:right="1440" w:bottom="1440" w:left="1440" w:header="0" w:footer="0" w:gutter="0"/>
          <w:cols w:space="708"/>
          <w:titlePg/>
          <w:docGrid w:linePitch="360"/>
        </w:sectPr>
      </w:pPr>
    </w:p>
    <w:p w14:paraId="7758349D" w14:textId="1AF6DD98" w:rsidR="002117E6" w:rsidRDefault="001D64AC" w:rsidP="00477982">
      <w:pPr>
        <w:pStyle w:val="Heading1"/>
      </w:pPr>
      <w:r>
        <w:t xml:space="preserve">Cultural </w:t>
      </w:r>
      <w:r w:rsidR="0039730D">
        <w:t>Funding by Government—2019</w:t>
      </w:r>
      <w:r w:rsidR="0086791A">
        <w:t>–</w:t>
      </w:r>
      <w:r w:rsidR="0039730D">
        <w:t>20</w:t>
      </w:r>
    </w:p>
    <w:p w14:paraId="0DE761A6" w14:textId="77777777" w:rsidR="00AF5FC0" w:rsidRDefault="0007783D" w:rsidP="00AF5FC0">
      <w:pPr>
        <w:pStyle w:val="Heading2"/>
      </w:pPr>
      <w:r>
        <w:rPr>
          <w:szCs w:val="36"/>
        </w:rPr>
        <w:t>Queensland</w:t>
      </w:r>
      <w:r w:rsidR="005262D2">
        <w:rPr>
          <w:szCs w:val="36"/>
        </w:rPr>
        <w:t xml:space="preserve"> </w:t>
      </w:r>
      <w:r w:rsidR="001D64AC" w:rsidRPr="00527D9C">
        <w:rPr>
          <w:szCs w:val="36"/>
        </w:rPr>
        <w:t>Government</w:t>
      </w:r>
    </w:p>
    <w:p w14:paraId="0099E577" w14:textId="31D0761E" w:rsidR="001D64AC" w:rsidRPr="00A91FC0" w:rsidRDefault="001D64AC" w:rsidP="001D64AC">
      <w:r w:rsidRPr="00A91FC0">
        <w:t>The estimate of expenditure funded by the</w:t>
      </w:r>
      <w:r w:rsidR="0007783D" w:rsidRPr="00A91FC0">
        <w:t xml:space="preserve"> Queensland </w:t>
      </w:r>
      <w:r w:rsidRPr="00A91FC0">
        <w:t xml:space="preserve">Government in </w:t>
      </w:r>
      <w:r w:rsidR="00C906BA">
        <w:t>2019</w:t>
      </w:r>
      <w:r w:rsidR="00C906BA" w:rsidRPr="00454636">
        <w:t xml:space="preserve">–20 </w:t>
      </w:r>
      <w:r w:rsidRPr="00A91FC0">
        <w:t xml:space="preserve">for cultural activities was </w:t>
      </w:r>
      <w:r w:rsidRPr="00A91FC0">
        <w:rPr>
          <w:b/>
        </w:rPr>
        <w:t>$</w:t>
      </w:r>
      <w:r w:rsidR="0039730D" w:rsidRPr="00A91FC0">
        <w:rPr>
          <w:b/>
        </w:rPr>
        <w:t>450.2m</w:t>
      </w:r>
      <w:r w:rsidR="00C034E4">
        <w:rPr>
          <w:rStyle w:val="FootnoteReference"/>
          <w:b/>
        </w:rPr>
        <w:footnoteReference w:id="1"/>
      </w:r>
      <w:r w:rsidRPr="00A91FC0">
        <w:t>.</w:t>
      </w:r>
      <w:r w:rsidR="005377F7" w:rsidRPr="00A91FC0">
        <w:t xml:space="preserve"> This represented an increase of </w:t>
      </w:r>
      <w:r w:rsidR="0039730D" w:rsidRPr="00A91FC0">
        <w:t>8</w:t>
      </w:r>
      <w:r w:rsidR="005377F7" w:rsidRPr="00A91FC0">
        <w:t>% or $</w:t>
      </w:r>
      <w:r w:rsidR="0039730D" w:rsidRPr="00A91FC0">
        <w:t>34.</w:t>
      </w:r>
      <w:r w:rsidR="00C85887">
        <w:t>4</w:t>
      </w:r>
      <w:r w:rsidR="002E2477" w:rsidRPr="00A91FC0">
        <w:t>m</w:t>
      </w:r>
      <w:r w:rsidR="0039730D" w:rsidRPr="00A91FC0">
        <w:t xml:space="preserve"> from </w:t>
      </w:r>
      <w:r w:rsidR="00C906BA">
        <w:t>2017</w:t>
      </w:r>
      <w:r w:rsidR="00C906BA" w:rsidRPr="00454636">
        <w:t>–</w:t>
      </w:r>
      <w:r w:rsidR="00C906BA">
        <w:t>18</w:t>
      </w:r>
      <w:r w:rsidR="00C906BA">
        <w:rPr>
          <w:rStyle w:val="FootnoteReference"/>
        </w:rPr>
        <w:footnoteReference w:id="2"/>
      </w:r>
      <w:r w:rsidR="005377F7" w:rsidRPr="00A91FC0">
        <w:t>.</w:t>
      </w:r>
    </w:p>
    <w:p w14:paraId="2B04B6A3" w14:textId="40338D59" w:rsidR="001D64AC" w:rsidRDefault="0024033A" w:rsidP="001D64AC">
      <w:pPr>
        <w:pStyle w:val="Tablefigureheading"/>
      </w:pPr>
      <w:r>
        <w:t xml:space="preserve">Table </w:t>
      </w:r>
      <w:r w:rsidR="00B97C76">
        <w:t>1</w:t>
      </w:r>
      <w:r w:rsidR="00736967">
        <w:t xml:space="preserve">. </w:t>
      </w:r>
      <w:r w:rsidR="0007783D">
        <w:t>Q</w:t>
      </w:r>
      <w:r w:rsidR="008B0ACA">
        <w:t>ueensland</w:t>
      </w:r>
      <w:r w:rsidR="00436F4C">
        <w:t xml:space="preserve"> Government </w:t>
      </w:r>
      <w:r w:rsidR="0082186E">
        <w:t>cultural expenditure</w:t>
      </w:r>
      <w:r w:rsidR="0039730D">
        <w:t xml:space="preserve">, </w:t>
      </w:r>
      <w:r w:rsidR="00802C3A">
        <w:t>2016–17 to 2019</w:t>
      </w:r>
      <w:r w:rsidR="0098758A">
        <w:t>–20</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Queensland Government cultural expenditure, 2015–16 to 2017–18."/>
      </w:tblPr>
      <w:tblGrid>
        <w:gridCol w:w="1276"/>
        <w:gridCol w:w="1985"/>
        <w:gridCol w:w="1984"/>
      </w:tblGrid>
      <w:tr w:rsidR="0098758A" w14:paraId="3E7F2E7E" w14:textId="77777777" w:rsidTr="001D64AC">
        <w:trPr>
          <w:cantSplit/>
          <w:tblHeader/>
        </w:trPr>
        <w:tc>
          <w:tcPr>
            <w:tcW w:w="1276" w:type="dxa"/>
            <w:tcBorders>
              <w:top w:val="nil"/>
              <w:left w:val="nil"/>
              <w:bottom w:val="thickThinLargeGap" w:sz="24" w:space="0" w:color="auto"/>
              <w:right w:val="nil"/>
            </w:tcBorders>
            <w:shd w:val="clear" w:color="auto" w:fill="C3AFF7"/>
          </w:tcPr>
          <w:p w14:paraId="6EDF4BBA" w14:textId="77777777" w:rsidR="0098758A" w:rsidRDefault="0098758A" w:rsidP="0098758A">
            <w:pPr>
              <w:pStyle w:val="Tablerowcolumnheading"/>
            </w:pPr>
            <w:r>
              <w:t>2016–17</w:t>
            </w:r>
          </w:p>
        </w:tc>
        <w:tc>
          <w:tcPr>
            <w:tcW w:w="1985" w:type="dxa"/>
            <w:tcBorders>
              <w:top w:val="nil"/>
              <w:left w:val="nil"/>
              <w:bottom w:val="thickThinLargeGap" w:sz="24" w:space="0" w:color="auto"/>
              <w:right w:val="nil"/>
            </w:tcBorders>
            <w:shd w:val="clear" w:color="auto" w:fill="C3AFF7"/>
          </w:tcPr>
          <w:p w14:paraId="076912FA" w14:textId="77777777" w:rsidR="0098758A" w:rsidRDefault="0098758A" w:rsidP="0098758A">
            <w:pPr>
              <w:pStyle w:val="Tablerowcolumnheadingcentred"/>
            </w:pPr>
            <w:r>
              <w:t>2017–18</w:t>
            </w:r>
          </w:p>
        </w:tc>
        <w:tc>
          <w:tcPr>
            <w:tcW w:w="1984" w:type="dxa"/>
            <w:tcBorders>
              <w:top w:val="nil"/>
              <w:left w:val="nil"/>
              <w:bottom w:val="thickThinLargeGap" w:sz="24" w:space="0" w:color="auto"/>
              <w:right w:val="nil"/>
            </w:tcBorders>
            <w:shd w:val="clear" w:color="auto" w:fill="C3AFF7"/>
          </w:tcPr>
          <w:p w14:paraId="6509A802" w14:textId="77777777" w:rsidR="0098758A" w:rsidRDefault="0098758A" w:rsidP="0098758A">
            <w:pPr>
              <w:pStyle w:val="Tablerowcolumnheadingcentred"/>
            </w:pPr>
            <w:r>
              <w:t>2019–20</w:t>
            </w:r>
          </w:p>
        </w:tc>
      </w:tr>
      <w:tr w:rsidR="001D64AC" w14:paraId="7DE4D2C7" w14:textId="77777777" w:rsidTr="001D64AC">
        <w:trPr>
          <w:cantSplit/>
        </w:trPr>
        <w:tc>
          <w:tcPr>
            <w:tcW w:w="1276" w:type="dxa"/>
            <w:tcBorders>
              <w:top w:val="single" w:sz="4" w:space="0" w:color="auto"/>
              <w:left w:val="nil"/>
              <w:bottom w:val="single" w:sz="12" w:space="0" w:color="auto"/>
              <w:right w:val="nil"/>
            </w:tcBorders>
          </w:tcPr>
          <w:p w14:paraId="3027627A" w14:textId="77777777" w:rsidR="001D64AC" w:rsidRPr="00303AC1" w:rsidRDefault="0039730D" w:rsidP="001D64AC">
            <w:pPr>
              <w:pStyle w:val="Tabletext"/>
            </w:pPr>
            <w:r w:rsidRPr="00303AC1">
              <w:t>$</w:t>
            </w:r>
            <w:r>
              <w:t>367.1</w:t>
            </w:r>
            <w:r w:rsidRPr="00303AC1">
              <w:t>m</w:t>
            </w:r>
          </w:p>
        </w:tc>
        <w:tc>
          <w:tcPr>
            <w:tcW w:w="1985" w:type="dxa"/>
            <w:tcBorders>
              <w:top w:val="single" w:sz="4" w:space="0" w:color="auto"/>
              <w:left w:val="nil"/>
              <w:bottom w:val="single" w:sz="12" w:space="0" w:color="auto"/>
              <w:right w:val="nil"/>
            </w:tcBorders>
          </w:tcPr>
          <w:p w14:paraId="71F9BFD4" w14:textId="14C27730" w:rsidR="001D64AC" w:rsidRPr="00303AC1" w:rsidRDefault="0039730D" w:rsidP="001D64AC">
            <w:pPr>
              <w:pStyle w:val="Tabletextcentred"/>
            </w:pPr>
            <w:r w:rsidRPr="00303AC1">
              <w:t>$</w:t>
            </w:r>
            <w:r>
              <w:t>415.8</w:t>
            </w:r>
            <w:r w:rsidRPr="00303AC1">
              <w:t>m ↑</w:t>
            </w:r>
            <w:r>
              <w:t>13</w:t>
            </w:r>
            <w:r w:rsidRPr="00303AC1">
              <w:t>%</w:t>
            </w:r>
          </w:p>
        </w:tc>
        <w:tc>
          <w:tcPr>
            <w:tcW w:w="1984" w:type="dxa"/>
            <w:tcBorders>
              <w:top w:val="single" w:sz="4" w:space="0" w:color="auto"/>
              <w:left w:val="nil"/>
              <w:bottom w:val="single" w:sz="12" w:space="0" w:color="auto"/>
              <w:right w:val="nil"/>
            </w:tcBorders>
          </w:tcPr>
          <w:p w14:paraId="15411C3B" w14:textId="48263F60" w:rsidR="001D64AC" w:rsidRPr="00303AC1" w:rsidRDefault="001D64AC" w:rsidP="001D64AC">
            <w:pPr>
              <w:pStyle w:val="Tabletextcentred"/>
            </w:pPr>
            <w:r w:rsidRPr="00303AC1">
              <w:t>$</w:t>
            </w:r>
            <w:r w:rsidR="0039730D">
              <w:t>450.2</w:t>
            </w:r>
            <w:r w:rsidRPr="00303AC1">
              <w:t xml:space="preserve"> ↑</w:t>
            </w:r>
            <w:r w:rsidR="00736967">
              <w:t>8</w:t>
            </w:r>
            <w:r w:rsidRPr="00303AC1">
              <w:t>%</w:t>
            </w:r>
          </w:p>
        </w:tc>
      </w:tr>
    </w:tbl>
    <w:p w14:paraId="4E772A35" w14:textId="77777777" w:rsidR="00426F0B" w:rsidRPr="0039730D" w:rsidRDefault="001D64AC" w:rsidP="0086791A">
      <w:pPr>
        <w:pStyle w:val="ListParagraph"/>
        <w:numPr>
          <w:ilvl w:val="0"/>
          <w:numId w:val="6"/>
        </w:numPr>
        <w:spacing w:before="240"/>
        <w:ind w:left="567" w:hanging="567"/>
      </w:pPr>
      <w:r w:rsidRPr="0039730D">
        <w:t xml:space="preserve">Recurrent expenses accounted for </w:t>
      </w:r>
      <w:r w:rsidR="0039730D" w:rsidRPr="0039730D">
        <w:t>83</w:t>
      </w:r>
      <w:r w:rsidRPr="0039730D">
        <w:t>% ($</w:t>
      </w:r>
      <w:r w:rsidR="0039730D" w:rsidRPr="0039730D">
        <w:t>373.9</w:t>
      </w:r>
      <w:r w:rsidRPr="0039730D">
        <w:t xml:space="preserve">m) </w:t>
      </w:r>
      <w:r w:rsidR="0086791A" w:rsidRPr="0039730D">
        <w:t>of funded cultural expenditure.</w:t>
      </w:r>
    </w:p>
    <w:p w14:paraId="4C9B0E4B" w14:textId="24DC1063" w:rsidR="00426F0B" w:rsidRPr="00A91FC0" w:rsidRDefault="0039730D" w:rsidP="0086791A">
      <w:pPr>
        <w:pStyle w:val="ListParagraph"/>
        <w:numPr>
          <w:ilvl w:val="0"/>
          <w:numId w:val="6"/>
        </w:numPr>
        <w:ind w:left="567" w:hanging="567"/>
      </w:pPr>
      <w:r w:rsidRPr="00A91FC0">
        <w:t>Capital expenditure was $76.3m</w:t>
      </w:r>
      <w:r w:rsidR="001D64AC" w:rsidRPr="00A91FC0">
        <w:t xml:space="preserve">, and the largest two categories were </w:t>
      </w:r>
      <w:r w:rsidR="00B834A4" w:rsidRPr="00A91FC0">
        <w:rPr>
          <w:i/>
        </w:rPr>
        <w:t>Performing art venues</w:t>
      </w:r>
      <w:r w:rsidR="00B834A4" w:rsidRPr="00A91FC0">
        <w:t xml:space="preserve"> ($31.0m)</w:t>
      </w:r>
      <w:r w:rsidR="00B834A4">
        <w:t xml:space="preserve"> and </w:t>
      </w:r>
      <w:r w:rsidR="0007783D" w:rsidRPr="00A91FC0">
        <w:rPr>
          <w:i/>
        </w:rPr>
        <w:t>Other museums and cultural heritage</w:t>
      </w:r>
      <w:r w:rsidR="0007783D" w:rsidRPr="00A91FC0">
        <w:t xml:space="preserve"> </w:t>
      </w:r>
      <w:r w:rsidR="001D64AC" w:rsidRPr="00A91FC0">
        <w:t>($</w:t>
      </w:r>
      <w:r w:rsidR="00A91FC0" w:rsidRPr="00A91FC0">
        <w:t>26.8m</w:t>
      </w:r>
      <w:r w:rsidR="001D64AC" w:rsidRPr="00A91FC0">
        <w:t>)</w:t>
      </w:r>
      <w:r w:rsidR="00B834A4">
        <w:t xml:space="preserve">. </w:t>
      </w:r>
    </w:p>
    <w:p w14:paraId="73802152" w14:textId="77777777" w:rsidR="00426F0B" w:rsidRPr="00A91FC0" w:rsidRDefault="00426F0B" w:rsidP="0086791A">
      <w:pPr>
        <w:pStyle w:val="ListParagraph"/>
        <w:numPr>
          <w:ilvl w:val="0"/>
          <w:numId w:val="6"/>
        </w:numPr>
        <w:ind w:left="567" w:hanging="567"/>
      </w:pPr>
      <w:r w:rsidRPr="00A91FC0">
        <w:t>The estimate of per person cultural funding was $</w:t>
      </w:r>
      <w:r w:rsidR="00640A4C" w:rsidRPr="00A91FC0">
        <w:t>8</w:t>
      </w:r>
      <w:r w:rsidR="00A91FC0" w:rsidRPr="00A91FC0">
        <w:t>7.64</w:t>
      </w:r>
      <w:r w:rsidR="00AF4EB3" w:rsidRPr="00A91FC0">
        <w:t>.</w:t>
      </w:r>
    </w:p>
    <w:p w14:paraId="158B2AF9" w14:textId="77777777" w:rsidR="005607E8" w:rsidRPr="00A91FC0" w:rsidRDefault="005607E8" w:rsidP="005607E8">
      <w:r w:rsidRPr="00A91FC0">
        <w:t xml:space="preserve">Funds on </w:t>
      </w:r>
      <w:r w:rsidRPr="00A91FC0">
        <w:rPr>
          <w:i/>
        </w:rPr>
        <w:t>Heritage</w:t>
      </w:r>
      <w:r w:rsidRPr="00A91FC0">
        <w:t xml:space="preserve"> activities rose </w:t>
      </w:r>
      <w:r w:rsidR="00A91FC0" w:rsidRPr="00A91FC0">
        <w:t>5</w:t>
      </w:r>
      <w:r w:rsidRPr="00A91FC0">
        <w:t>% (or $</w:t>
      </w:r>
      <w:r w:rsidR="00A91FC0" w:rsidRPr="00A91FC0">
        <w:t>11.8</w:t>
      </w:r>
      <w:r w:rsidRPr="00A91FC0">
        <w:t>m) to $</w:t>
      </w:r>
      <w:r w:rsidR="00A91FC0" w:rsidRPr="00A91FC0">
        <w:t>253.1</w:t>
      </w:r>
      <w:r w:rsidRPr="00A91FC0">
        <w:t>m.</w:t>
      </w:r>
    </w:p>
    <w:p w14:paraId="16FC4064" w14:textId="683A3A1A" w:rsidR="005607E8" w:rsidRPr="00A91FC0" w:rsidRDefault="005607E8" w:rsidP="005607E8">
      <w:r w:rsidRPr="00A91FC0">
        <w:t xml:space="preserve">This increase was driven by expenditure on the categories of </w:t>
      </w:r>
      <w:r w:rsidR="00A91FC0" w:rsidRPr="00A91FC0">
        <w:rPr>
          <w:i/>
        </w:rPr>
        <w:t xml:space="preserve">Art </w:t>
      </w:r>
      <w:r w:rsidR="00B834A4">
        <w:rPr>
          <w:i/>
        </w:rPr>
        <w:t>m</w:t>
      </w:r>
      <w:r w:rsidR="00A91FC0" w:rsidRPr="00A91FC0">
        <w:rPr>
          <w:i/>
        </w:rPr>
        <w:t>useums</w:t>
      </w:r>
      <w:r w:rsidRPr="00A91FC0">
        <w:t xml:space="preserve"> (↑$</w:t>
      </w:r>
      <w:r w:rsidR="00A91FC0" w:rsidRPr="00A91FC0">
        <w:t>5.9</w:t>
      </w:r>
      <w:r w:rsidRPr="00A91FC0">
        <w:t xml:space="preserve">m) and </w:t>
      </w:r>
      <w:r w:rsidRPr="00A91FC0">
        <w:rPr>
          <w:i/>
        </w:rPr>
        <w:t>Other museums and cultural heritage</w:t>
      </w:r>
      <w:r w:rsidRPr="00A91FC0">
        <w:t xml:space="preserve"> (↑$</w:t>
      </w:r>
      <w:r w:rsidR="00A91FC0" w:rsidRPr="00A91FC0">
        <w:t>4.8</w:t>
      </w:r>
      <w:r w:rsidRPr="00A91FC0">
        <w:t>m).</w:t>
      </w:r>
      <w:r w:rsidR="00640A4C" w:rsidRPr="00A91FC0">
        <w:t xml:space="preserve"> Increases were offset by a fall in </w:t>
      </w:r>
      <w:r w:rsidR="00A91FC0" w:rsidRPr="00A91FC0">
        <w:rPr>
          <w:i/>
        </w:rPr>
        <w:t>Libraries</w:t>
      </w:r>
      <w:r w:rsidR="00A91FC0" w:rsidRPr="00A91FC0">
        <w:t xml:space="preserve"> (↓$2.3</w:t>
      </w:r>
      <w:r w:rsidR="00640A4C" w:rsidRPr="00A91FC0">
        <w:t>m).</w:t>
      </w:r>
    </w:p>
    <w:p w14:paraId="663EFD10" w14:textId="24E0C0AF" w:rsidR="001D64AC" w:rsidRPr="00556FA4" w:rsidRDefault="00426F0B" w:rsidP="00426F0B">
      <w:pPr>
        <w:rPr>
          <w:iCs/>
        </w:rPr>
      </w:pPr>
      <w:r w:rsidRPr="00A91FC0">
        <w:t xml:space="preserve">The largest categories of </w:t>
      </w:r>
      <w:r w:rsidRPr="00A91FC0">
        <w:rPr>
          <w:i/>
        </w:rPr>
        <w:t>Heritage</w:t>
      </w:r>
      <w:r w:rsidRPr="00A91FC0">
        <w:t xml:space="preserve"> expenditure were</w:t>
      </w:r>
      <w:r w:rsidR="00B834A4">
        <w:t xml:space="preserve"> </w:t>
      </w:r>
      <w:r w:rsidR="00B834A4">
        <w:rPr>
          <w:i/>
          <w:iCs/>
        </w:rPr>
        <w:t xml:space="preserve">Libraries </w:t>
      </w:r>
      <w:r w:rsidR="00B834A4">
        <w:t>$88.5m</w:t>
      </w:r>
      <w:r w:rsidR="001637CA">
        <w:t xml:space="preserve">, </w:t>
      </w:r>
      <w:r w:rsidR="00B834A4">
        <w:t>followed by</w:t>
      </w:r>
      <w:r w:rsidR="00A91FC0" w:rsidRPr="00A91FC0">
        <w:t xml:space="preserve"> </w:t>
      </w:r>
      <w:r w:rsidR="00A91FC0" w:rsidRPr="00A91FC0">
        <w:rPr>
          <w:i/>
        </w:rPr>
        <w:t>Other museums and cultural heritage</w:t>
      </w:r>
      <w:r w:rsidRPr="00A91FC0">
        <w:t xml:space="preserve"> with $</w:t>
      </w:r>
      <w:r w:rsidR="00A91FC0" w:rsidRPr="00A91FC0">
        <w:t>80.5</w:t>
      </w:r>
      <w:r w:rsidRPr="00A91FC0">
        <w:t>m.</w:t>
      </w:r>
      <w:r w:rsidR="00A91FC0" w:rsidRPr="00A91FC0">
        <w:rPr>
          <w:i/>
        </w:rPr>
        <w:t xml:space="preserve"> </w:t>
      </w:r>
    </w:p>
    <w:p w14:paraId="197F4C9F" w14:textId="77777777" w:rsidR="001D64AC" w:rsidRPr="00303AC1" w:rsidRDefault="001D64AC" w:rsidP="001D64AC">
      <w:pPr>
        <w:pStyle w:val="Tablefigureheading"/>
      </w:pPr>
      <w:bookmarkStart w:id="0" w:name="_Toc524533023"/>
      <w:r w:rsidRPr="00303AC1">
        <w:t xml:space="preserve">Figure 1. </w:t>
      </w:r>
      <w:r w:rsidR="008B0ACA">
        <w:t>Queensland Government</w:t>
      </w:r>
      <w:r w:rsidRPr="00303AC1">
        <w:t xml:space="preserve"> heritage expenditure</w:t>
      </w:r>
      <w:bookmarkEnd w:id="0"/>
    </w:p>
    <w:p w14:paraId="43AB2243" w14:textId="77777777" w:rsidR="001D64AC" w:rsidRDefault="00A91FC0" w:rsidP="001D64AC">
      <w:r>
        <w:rPr>
          <w:noProof/>
          <w:lang w:eastAsia="en-AU"/>
        </w:rPr>
        <w:t xml:space="preserve"> </w:t>
      </w:r>
      <w:r>
        <w:rPr>
          <w:noProof/>
          <w:lang w:eastAsia="en-AU"/>
        </w:rPr>
        <w:drawing>
          <wp:inline distT="0" distB="0" distL="0" distR="0" wp14:anchorId="388EFCC0" wp14:editId="1CB2F56B">
            <wp:extent cx="4410075" cy="2295525"/>
            <wp:effectExtent l="0" t="0" r="0" b="0"/>
            <wp:docPr id="1" name="Chart 1" descr="Figure 1. Queensland Government heritage expenditure.&#10;&#10;A column graph compares expenditure across the heritage categories of Art museums, Other museums and cultural heritage, Libraries and Archives between the financial years of 2016-17, 2017-18, and 2019-20 for Queensland Government.">
              <a:extLst xmlns:a="http://schemas.openxmlformats.org/drawingml/2006/main">
                <a:ext uri="{FF2B5EF4-FFF2-40B4-BE49-F238E27FC236}">
                  <a16:creationId xmlns:a16="http://schemas.microsoft.com/office/drawing/2014/main" id="{EAD833C3-BFE2-41FA-A628-B38B4EA17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058AED4" w14:textId="06BA49B7" w:rsidR="001A1384" w:rsidRDefault="001D64AC" w:rsidP="001D64AC">
      <w:r w:rsidRPr="00A91FC0">
        <w:t xml:space="preserve">Funds for </w:t>
      </w:r>
      <w:r w:rsidRPr="00A91FC0">
        <w:rPr>
          <w:i/>
        </w:rPr>
        <w:t>Arts</w:t>
      </w:r>
      <w:r w:rsidRPr="00A91FC0">
        <w:t xml:space="preserve"> activities rose </w:t>
      </w:r>
      <w:r w:rsidR="00E54D63" w:rsidRPr="00A91FC0">
        <w:t>13</w:t>
      </w:r>
      <w:r w:rsidRPr="00A91FC0">
        <w:t>% (or $</w:t>
      </w:r>
      <w:r w:rsidR="00A91FC0" w:rsidRPr="00A91FC0">
        <w:t>22</w:t>
      </w:r>
      <w:r w:rsidR="00E54D63" w:rsidRPr="00A91FC0">
        <w:t>.</w:t>
      </w:r>
      <w:r w:rsidR="00A91FC0" w:rsidRPr="00A91FC0">
        <w:t>6</w:t>
      </w:r>
      <w:r w:rsidRPr="00A91FC0">
        <w:t>m) to $</w:t>
      </w:r>
      <w:r w:rsidR="00A91FC0" w:rsidRPr="00A91FC0">
        <w:t>197.1</w:t>
      </w:r>
      <w:r w:rsidRPr="00A91FC0">
        <w:t>m</w:t>
      </w:r>
      <w:r w:rsidR="0024033A" w:rsidRPr="00A91FC0">
        <w:t>.</w:t>
      </w:r>
    </w:p>
    <w:p w14:paraId="3226E031" w14:textId="7BCC7B1D" w:rsidR="00ED7D65" w:rsidRPr="00A91FC0" w:rsidRDefault="00736967" w:rsidP="001D64AC">
      <w:r>
        <w:lastRenderedPageBreak/>
        <w:t xml:space="preserve">Three </w:t>
      </w:r>
      <w:r w:rsidR="00880D08" w:rsidRPr="00A91FC0">
        <w:t xml:space="preserve">main contributors to this movement were </w:t>
      </w:r>
      <w:r w:rsidR="00FE6CBA" w:rsidRPr="00A91FC0">
        <w:rPr>
          <w:i/>
        </w:rPr>
        <w:t>Performing art</w:t>
      </w:r>
      <w:r w:rsidR="00B834A4">
        <w:rPr>
          <w:i/>
        </w:rPr>
        <w:t>s</w:t>
      </w:r>
      <w:r w:rsidR="00FE6CBA" w:rsidRPr="00A91FC0">
        <w:rPr>
          <w:i/>
        </w:rPr>
        <w:t xml:space="preserve"> venues</w:t>
      </w:r>
      <w:r w:rsidR="00880D08" w:rsidRPr="00A91FC0">
        <w:t xml:space="preserve"> ↑$</w:t>
      </w:r>
      <w:r w:rsidR="00A91FC0" w:rsidRPr="00A91FC0">
        <w:t>26.9</w:t>
      </w:r>
      <w:r w:rsidR="00880D08" w:rsidRPr="00A91FC0">
        <w:t xml:space="preserve">m, </w:t>
      </w:r>
      <w:r w:rsidR="00A91FC0" w:rsidRPr="00A91FC0">
        <w:rPr>
          <w:i/>
        </w:rPr>
        <w:t>Arts education</w:t>
      </w:r>
      <w:r w:rsidR="00E54D63" w:rsidRPr="00A91FC0">
        <w:t xml:space="preserve"> ↑$</w:t>
      </w:r>
      <w:r w:rsidR="00A91FC0" w:rsidRPr="00A91FC0">
        <w:t>6.</w:t>
      </w:r>
      <w:r w:rsidR="002C1D71">
        <w:t>3</w:t>
      </w:r>
      <w:r w:rsidR="00E54D63" w:rsidRPr="00A91FC0">
        <w:t xml:space="preserve">m </w:t>
      </w:r>
      <w:r w:rsidR="00880D08" w:rsidRPr="00A91FC0">
        <w:t xml:space="preserve">and </w:t>
      </w:r>
      <w:r w:rsidR="00A91FC0" w:rsidRPr="00A91FC0">
        <w:rPr>
          <w:i/>
        </w:rPr>
        <w:t>Community arts and cultural development</w:t>
      </w:r>
      <w:r w:rsidR="0009659E" w:rsidRPr="00A91FC0">
        <w:t xml:space="preserve"> </w:t>
      </w:r>
      <w:r w:rsidR="00880D08" w:rsidRPr="00A91FC0">
        <w:t>↑$</w:t>
      </w:r>
      <w:r w:rsidR="00E54D63" w:rsidRPr="00A91FC0">
        <w:t>2.</w:t>
      </w:r>
      <w:r w:rsidR="00A91FC0" w:rsidRPr="00A91FC0">
        <w:t>2</w:t>
      </w:r>
      <w:r w:rsidR="00880D08" w:rsidRPr="00A91FC0">
        <w:t>m.</w:t>
      </w:r>
      <w:r w:rsidR="00FE6CBA" w:rsidRPr="00A91FC0">
        <w:t xml:space="preserve"> </w:t>
      </w:r>
      <w:r w:rsidR="00E54D63" w:rsidRPr="00A91FC0">
        <w:t>Conversely, funding for</w:t>
      </w:r>
      <w:r w:rsidR="001A1384">
        <w:t xml:space="preserve"> both</w:t>
      </w:r>
      <w:r w:rsidR="00E54D63" w:rsidRPr="00A91FC0">
        <w:t xml:space="preserve"> </w:t>
      </w:r>
      <w:r w:rsidR="00A91FC0" w:rsidRPr="00A91FC0">
        <w:rPr>
          <w:i/>
        </w:rPr>
        <w:t xml:space="preserve">Music </w:t>
      </w:r>
      <w:r w:rsidR="00A91FC0" w:rsidRPr="00B834A4">
        <w:rPr>
          <w:iCs/>
        </w:rPr>
        <w:t>and</w:t>
      </w:r>
      <w:r w:rsidR="00A91FC0" w:rsidRPr="00A91FC0">
        <w:rPr>
          <w:i/>
        </w:rPr>
        <w:t xml:space="preserve"> Radio and television services</w:t>
      </w:r>
      <w:r w:rsidR="00E54D63" w:rsidRPr="00A91FC0">
        <w:rPr>
          <w:i/>
        </w:rPr>
        <w:t xml:space="preserve"> </w:t>
      </w:r>
      <w:r w:rsidR="00E54D63" w:rsidRPr="00A91FC0">
        <w:t>dropped $3.</w:t>
      </w:r>
      <w:r w:rsidR="00E45B93" w:rsidRPr="00A91FC0">
        <w:t>4</w:t>
      </w:r>
      <w:r w:rsidR="00E54D63" w:rsidRPr="00A91FC0">
        <w:t>m.</w:t>
      </w:r>
    </w:p>
    <w:p w14:paraId="18738129" w14:textId="77777777" w:rsidR="001D64AC" w:rsidRPr="00303AC1" w:rsidRDefault="001D64AC" w:rsidP="001D64AC">
      <w:pPr>
        <w:pStyle w:val="Tablefigureheading"/>
      </w:pPr>
      <w:bookmarkStart w:id="1" w:name="_Toc524533024"/>
      <w:r w:rsidRPr="00303AC1">
        <w:t xml:space="preserve">Figure 2. </w:t>
      </w:r>
      <w:r w:rsidR="008B0ACA">
        <w:t>Queensland</w:t>
      </w:r>
      <w:r w:rsidRPr="00303AC1">
        <w:t xml:space="preserve"> Government arts expenditure, by selected categories</w:t>
      </w:r>
      <w:bookmarkEnd w:id="1"/>
    </w:p>
    <w:p w14:paraId="222EAEB4" w14:textId="77777777" w:rsidR="00436F4C" w:rsidRDefault="00B834DE" w:rsidP="001D64AC">
      <w:r>
        <w:rPr>
          <w:noProof/>
          <w:lang w:eastAsia="en-AU"/>
        </w:rPr>
        <w:drawing>
          <wp:inline distT="0" distB="0" distL="0" distR="0" wp14:anchorId="22181DF2" wp14:editId="67514BBD">
            <wp:extent cx="5633720" cy="2231922"/>
            <wp:effectExtent l="0" t="0" r="5080" b="0"/>
            <wp:docPr id="9" name="Chart 9" descr="Figure 2. Queensland Government arts expenditure, by selected categories.&#10;&#10;A column graph compares expenditure across selected arts categories of Music, Theatre, Performing arts venues, Film and video production and distribution, Arts education, Multi-arts festivals and Arts administration between the financial years of  2016-17, 2017-18, and 2019-20 for Queensland Government.">
              <a:extLst xmlns:a="http://schemas.openxmlformats.org/drawingml/2006/main">
                <a:ext uri="{FF2B5EF4-FFF2-40B4-BE49-F238E27FC236}">
                  <a16:creationId xmlns:a16="http://schemas.microsoft.com/office/drawing/2014/main" id="{2F0370F1-A942-4FA3-B905-9FF6FA3915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F0FAB1" w14:textId="77777777" w:rsidR="00903111" w:rsidRPr="004A1A98" w:rsidRDefault="00903111" w:rsidP="001D64AC">
      <w:r w:rsidRPr="004A1A98">
        <w:rPr>
          <w:i/>
        </w:rPr>
        <w:t>Performing arts venues</w:t>
      </w:r>
      <w:r w:rsidRPr="004A1A98">
        <w:t xml:space="preserve"> ($</w:t>
      </w:r>
      <w:r w:rsidR="004A1A98" w:rsidRPr="004A1A98">
        <w:t>74.2</w:t>
      </w:r>
      <w:r w:rsidRPr="004A1A98">
        <w:t xml:space="preserve">m), accounted for </w:t>
      </w:r>
      <w:r w:rsidR="004A1A98" w:rsidRPr="004A1A98">
        <w:t>over</w:t>
      </w:r>
      <w:r w:rsidRPr="004A1A98">
        <w:t xml:space="preserve"> one-third (</w:t>
      </w:r>
      <w:r w:rsidR="004A1A98" w:rsidRPr="004A1A98">
        <w:t>or 38</w:t>
      </w:r>
      <w:r w:rsidRPr="004A1A98">
        <w:t xml:space="preserve">%) of all funded expenditure by the </w:t>
      </w:r>
      <w:r w:rsidR="00185BD8" w:rsidRPr="004A1A98">
        <w:t>Queensland</w:t>
      </w:r>
      <w:r w:rsidRPr="004A1A98">
        <w:t xml:space="preserve"> Government on </w:t>
      </w:r>
      <w:r w:rsidRPr="004A1A98">
        <w:rPr>
          <w:i/>
        </w:rPr>
        <w:t>Arts</w:t>
      </w:r>
      <w:r w:rsidRPr="004A1A98">
        <w:t xml:space="preserve"> activities.</w:t>
      </w:r>
    </w:p>
    <w:p w14:paraId="7ECE4731" w14:textId="77777777" w:rsidR="005377F7" w:rsidRPr="00A91FC0" w:rsidRDefault="00903111" w:rsidP="00880D08">
      <w:r w:rsidRPr="00A91FC0">
        <w:t>Other</w:t>
      </w:r>
      <w:r w:rsidR="001D64AC" w:rsidRPr="00A91FC0">
        <w:t xml:space="preserve"> main categories of </w:t>
      </w:r>
      <w:r w:rsidR="001D64AC" w:rsidRPr="00A91FC0">
        <w:rPr>
          <w:i/>
        </w:rPr>
        <w:t>Arts</w:t>
      </w:r>
      <w:r w:rsidR="001D64AC" w:rsidRPr="00A91FC0">
        <w:t xml:space="preserve"> activit</w:t>
      </w:r>
      <w:r w:rsidR="00ED7D65" w:rsidRPr="00A91FC0">
        <w:t>ies</w:t>
      </w:r>
      <w:r w:rsidR="001D64AC" w:rsidRPr="00A91FC0">
        <w:t xml:space="preserve"> funding were:</w:t>
      </w:r>
    </w:p>
    <w:p w14:paraId="4A8E1C69" w14:textId="77777777" w:rsidR="00ED7D65" w:rsidRPr="00A91FC0" w:rsidRDefault="006C18BE" w:rsidP="0086791A">
      <w:pPr>
        <w:pStyle w:val="ListParagraph"/>
        <w:numPr>
          <w:ilvl w:val="0"/>
          <w:numId w:val="8"/>
        </w:numPr>
        <w:ind w:left="567" w:hanging="567"/>
      </w:pPr>
      <w:r w:rsidRPr="00A91FC0">
        <w:rPr>
          <w:i/>
        </w:rPr>
        <w:t>Arts education</w:t>
      </w:r>
      <w:r w:rsidR="00880D08" w:rsidRPr="00A91FC0">
        <w:t>—$</w:t>
      </w:r>
      <w:r w:rsidR="00A91FC0" w:rsidRPr="00A91FC0">
        <w:t>41.5</w:t>
      </w:r>
      <w:r w:rsidR="00ED7D65" w:rsidRPr="00A91FC0">
        <w:t>m</w:t>
      </w:r>
    </w:p>
    <w:p w14:paraId="48E4BA7E" w14:textId="77777777" w:rsidR="00ED7D65" w:rsidRPr="00A91FC0" w:rsidRDefault="00185BD8" w:rsidP="0086791A">
      <w:pPr>
        <w:pStyle w:val="ListParagraph"/>
        <w:numPr>
          <w:ilvl w:val="0"/>
          <w:numId w:val="8"/>
        </w:numPr>
        <w:ind w:left="567" w:hanging="567"/>
      </w:pPr>
      <w:r w:rsidRPr="00A91FC0">
        <w:rPr>
          <w:i/>
        </w:rPr>
        <w:t>Film and video production and distribution</w:t>
      </w:r>
      <w:r w:rsidR="00880D08" w:rsidRPr="00A91FC0">
        <w:t>—$</w:t>
      </w:r>
      <w:r w:rsidR="00A91FC0" w:rsidRPr="00A91FC0">
        <w:t>19.3</w:t>
      </w:r>
      <w:r w:rsidR="00880D08" w:rsidRPr="00A91FC0">
        <w:t>m</w:t>
      </w:r>
    </w:p>
    <w:p w14:paraId="09D33F28" w14:textId="77777777" w:rsidR="00880D08" w:rsidRPr="00A91FC0" w:rsidRDefault="006C18BE" w:rsidP="0086791A">
      <w:pPr>
        <w:pStyle w:val="ListParagraph"/>
        <w:numPr>
          <w:ilvl w:val="0"/>
          <w:numId w:val="8"/>
        </w:numPr>
        <w:ind w:left="567" w:hanging="567"/>
      </w:pPr>
      <w:r w:rsidRPr="00A91FC0">
        <w:rPr>
          <w:i/>
        </w:rPr>
        <w:t>Music</w:t>
      </w:r>
      <w:r w:rsidR="00880D08" w:rsidRPr="00A91FC0">
        <w:t>—$</w:t>
      </w:r>
      <w:r w:rsidR="00A91FC0" w:rsidRPr="00A91FC0">
        <w:t>8.5</w:t>
      </w:r>
      <w:r w:rsidR="00880D08" w:rsidRPr="00A91FC0">
        <w:t>m</w:t>
      </w:r>
    </w:p>
    <w:p w14:paraId="082A8AAC" w14:textId="77777777" w:rsidR="00903111" w:rsidRPr="00A91FC0" w:rsidRDefault="0098758A" w:rsidP="0086791A">
      <w:pPr>
        <w:pStyle w:val="ListParagraph"/>
        <w:numPr>
          <w:ilvl w:val="0"/>
          <w:numId w:val="8"/>
        </w:numPr>
        <w:ind w:left="567" w:hanging="567"/>
      </w:pPr>
      <w:r>
        <w:rPr>
          <w:i/>
        </w:rPr>
        <w:t>Multi-</w:t>
      </w:r>
      <w:r w:rsidR="00A91FC0" w:rsidRPr="00A91FC0">
        <w:rPr>
          <w:i/>
        </w:rPr>
        <w:t>arts festivals</w:t>
      </w:r>
      <w:r w:rsidR="00903111" w:rsidRPr="00A91FC0">
        <w:t>—$</w:t>
      </w:r>
      <w:r w:rsidR="00A91FC0" w:rsidRPr="00A91FC0">
        <w:t>8.4</w:t>
      </w:r>
      <w:r w:rsidR="00903111" w:rsidRPr="00A91FC0">
        <w:t>m</w:t>
      </w:r>
    </w:p>
    <w:p w14:paraId="6316913E" w14:textId="77777777" w:rsidR="00185BD8" w:rsidRPr="00A91FC0" w:rsidRDefault="00A91FC0" w:rsidP="0086791A">
      <w:pPr>
        <w:pStyle w:val="ListParagraph"/>
        <w:numPr>
          <w:ilvl w:val="0"/>
          <w:numId w:val="8"/>
        </w:numPr>
        <w:ind w:left="567" w:hanging="567"/>
      </w:pPr>
      <w:r w:rsidRPr="00A91FC0">
        <w:rPr>
          <w:i/>
        </w:rPr>
        <w:t>Theatre</w:t>
      </w:r>
      <w:r w:rsidR="00185BD8" w:rsidRPr="00A91FC0">
        <w:t>—$</w:t>
      </w:r>
      <w:r w:rsidRPr="00A91FC0">
        <w:t>6.7</w:t>
      </w:r>
      <w:r w:rsidR="00185BD8" w:rsidRPr="00A91FC0">
        <w:t>m.</w:t>
      </w:r>
    </w:p>
    <w:p w14:paraId="73CEF088" w14:textId="77777777" w:rsidR="005377F7" w:rsidRPr="00C034E4" w:rsidRDefault="005377F7" w:rsidP="005377F7">
      <w:r w:rsidRPr="00A91FC0">
        <w:t xml:space="preserve">Recurrent expenditure rose </w:t>
      </w:r>
      <w:r w:rsidR="00A91FC0" w:rsidRPr="00A91FC0">
        <w:t>2</w:t>
      </w:r>
      <w:r w:rsidRPr="00A91FC0">
        <w:t>% (or $</w:t>
      </w:r>
      <w:r w:rsidR="00A91FC0" w:rsidRPr="00A91FC0">
        <w:t>7.4</w:t>
      </w:r>
      <w:r w:rsidRPr="00A91FC0">
        <w:t>m) to $</w:t>
      </w:r>
      <w:r w:rsidR="00A91FC0" w:rsidRPr="00A91FC0">
        <w:t>373.9</w:t>
      </w:r>
      <w:r w:rsidRPr="00A91FC0">
        <w:t>m.</w:t>
      </w:r>
    </w:p>
    <w:p w14:paraId="64EE78A8" w14:textId="41FEB197" w:rsidR="00221CCC" w:rsidRPr="00A91FC0" w:rsidRDefault="00221CCC" w:rsidP="005377F7">
      <w:r w:rsidRPr="00A91FC0">
        <w:t xml:space="preserve">The largest recurrent expenditure was for </w:t>
      </w:r>
      <w:r w:rsidR="00085F20">
        <w:rPr>
          <w:i/>
        </w:rPr>
        <w:t>Libraries</w:t>
      </w:r>
      <w:r w:rsidR="00085F20">
        <w:t xml:space="preserve"> </w:t>
      </w:r>
      <w:r w:rsidRPr="00A91FC0">
        <w:t>$</w:t>
      </w:r>
      <w:r w:rsidR="00085F20">
        <w:t>79.5</w:t>
      </w:r>
      <w:r w:rsidRPr="00A91FC0">
        <w:t xml:space="preserve">m, followed by </w:t>
      </w:r>
      <w:r w:rsidR="00085F20">
        <w:rPr>
          <w:i/>
        </w:rPr>
        <w:t xml:space="preserve">Art museums </w:t>
      </w:r>
      <w:r w:rsidR="00085F20" w:rsidRPr="00085F20">
        <w:rPr>
          <w:iCs/>
        </w:rPr>
        <w:t>($56.5m)</w:t>
      </w:r>
      <w:r w:rsidR="00085F20">
        <w:rPr>
          <w:iCs/>
        </w:rPr>
        <w:t xml:space="preserve"> and </w:t>
      </w:r>
      <w:r w:rsidR="00CC17D8" w:rsidRPr="00CC17D8">
        <w:rPr>
          <w:i/>
        </w:rPr>
        <w:t>Other museums and cultural heritage</w:t>
      </w:r>
      <w:r w:rsidR="00CC17D8">
        <w:rPr>
          <w:iCs/>
        </w:rPr>
        <w:t xml:space="preserve"> ($53.6m).</w:t>
      </w:r>
    </w:p>
    <w:p w14:paraId="2B97AA90" w14:textId="77777777" w:rsidR="001D64AC" w:rsidRPr="00303AC1" w:rsidRDefault="001D64AC" w:rsidP="001D64AC">
      <w:pPr>
        <w:pStyle w:val="Tablefigureheading"/>
      </w:pPr>
      <w:r w:rsidRPr="00303AC1">
        <w:t xml:space="preserve">Figure 3. </w:t>
      </w:r>
      <w:r w:rsidR="008B0ACA">
        <w:t>Queensland</w:t>
      </w:r>
      <w:r w:rsidRPr="00303AC1">
        <w:t xml:space="preserve"> Government recurrent cultural expenditure, by selected categories</w:t>
      </w:r>
    </w:p>
    <w:p w14:paraId="74770E81" w14:textId="77777777" w:rsidR="00221CCC" w:rsidRDefault="00B834DE" w:rsidP="001D64AC">
      <w:r>
        <w:rPr>
          <w:noProof/>
          <w:lang w:eastAsia="en-AU"/>
        </w:rPr>
        <w:drawing>
          <wp:inline distT="0" distB="0" distL="0" distR="0" wp14:anchorId="77A1FA15" wp14:editId="78121B92">
            <wp:extent cx="5840095" cy="2399071"/>
            <wp:effectExtent l="0" t="0" r="8255" b="1270"/>
            <wp:docPr id="10" name="Chart 10" descr="Figure 3. Queensland Government heritage recurrent cultural expenditure, by selected categories.&#10;&#10;A bar chart compares recurrent expenditure across selected categories of Art museums, Other museums and cultural heritage, Libraries, Archives, Music, Performing arts venues, Film and video production and distribution, Arts education, and Arts administration between the financial years of 2016-17, 2017-18, and 2019-20 for Queensland Government.">
              <a:extLst xmlns:a="http://schemas.openxmlformats.org/drawingml/2006/main">
                <a:ext uri="{FF2B5EF4-FFF2-40B4-BE49-F238E27FC236}">
                  <a16:creationId xmlns:a16="http://schemas.microsoft.com/office/drawing/2014/main" id="{ECD1DD83-4E29-40A8-921F-AD02FD9412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67473E9" w14:textId="2C96B0D5" w:rsidR="00221CCC" w:rsidRPr="00A91FC0" w:rsidRDefault="00221CCC" w:rsidP="0086791A">
      <w:pPr>
        <w:pStyle w:val="ListParagraph"/>
        <w:numPr>
          <w:ilvl w:val="0"/>
          <w:numId w:val="7"/>
        </w:numPr>
        <w:ind w:left="567" w:hanging="567"/>
      </w:pPr>
      <w:r w:rsidRPr="00A91FC0">
        <w:t>The largest recurrent dollar increase was for the category of</w:t>
      </w:r>
      <w:r w:rsidR="00F45E7E" w:rsidRPr="00A91FC0">
        <w:t xml:space="preserve"> </w:t>
      </w:r>
      <w:r w:rsidR="00A91FC0" w:rsidRPr="00A91FC0">
        <w:rPr>
          <w:i/>
        </w:rPr>
        <w:t>Performing arts venues</w:t>
      </w:r>
      <w:r w:rsidRPr="00A91FC0">
        <w:t>, ↑$</w:t>
      </w:r>
      <w:r w:rsidR="00A91FC0" w:rsidRPr="00A91FC0">
        <w:t>10.</w:t>
      </w:r>
      <w:r w:rsidR="00EE68BC">
        <w:t>3</w:t>
      </w:r>
      <w:r w:rsidRPr="00A91FC0">
        <w:t>m</w:t>
      </w:r>
      <w:r w:rsidR="00A91FC0" w:rsidRPr="00A91FC0">
        <w:t xml:space="preserve"> between 2017</w:t>
      </w:r>
      <w:r w:rsidR="0086791A" w:rsidRPr="00A91FC0">
        <w:t>–</w:t>
      </w:r>
      <w:r w:rsidR="00A91FC0" w:rsidRPr="00A91FC0">
        <w:t>18 and 2019</w:t>
      </w:r>
      <w:r w:rsidR="00EA799B" w:rsidRPr="00A91FC0">
        <w:t>–</w:t>
      </w:r>
      <w:r w:rsidR="00A91FC0" w:rsidRPr="00A91FC0">
        <w:t>20</w:t>
      </w:r>
      <w:r w:rsidRPr="00A91FC0">
        <w:t>.</w:t>
      </w:r>
    </w:p>
    <w:sectPr w:rsidR="00221CCC" w:rsidRPr="00A91FC0" w:rsidSect="00BE64CD">
      <w:type w:val="continuous"/>
      <w:pgSz w:w="11906" w:h="16838"/>
      <w:pgMar w:top="1418" w:right="1134"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04F02" w14:textId="77777777" w:rsidR="00EF213E" w:rsidRDefault="00EF213E" w:rsidP="002117E6">
      <w:pPr>
        <w:spacing w:after="0"/>
      </w:pPr>
      <w:r>
        <w:separator/>
      </w:r>
    </w:p>
  </w:endnote>
  <w:endnote w:type="continuationSeparator" w:id="0">
    <w:p w14:paraId="23ADEF86" w14:textId="77777777" w:rsidR="00EF213E" w:rsidRDefault="00EF213E"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59ADE" w14:textId="77777777" w:rsidR="002B755E" w:rsidRDefault="002B75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EF2B1" w14:textId="54DEBE30" w:rsidR="00842CA0" w:rsidRPr="000D3D9D" w:rsidRDefault="0086791A" w:rsidP="00842CA0">
    <w:pPr>
      <w:pStyle w:val="Footer"/>
      <w:tabs>
        <w:tab w:val="clear" w:pos="9026"/>
        <w:tab w:val="right" w:pos="9333"/>
      </w:tabs>
      <w:rPr>
        <w:rStyle w:val="Hyperlink"/>
        <w:sz w:val="18"/>
        <w:szCs w:val="18"/>
      </w:rPr>
    </w:pPr>
    <w:r w:rsidRPr="0086791A">
      <w:rPr>
        <w:sz w:val="18"/>
        <w:szCs w:val="18"/>
      </w:rPr>
      <w:t>Cultu</w:t>
    </w:r>
    <w:r w:rsidR="00837F94">
      <w:rPr>
        <w:sz w:val="18"/>
        <w:szCs w:val="18"/>
      </w:rPr>
      <w:t>ral Funding by Government—2019–20</w:t>
    </w:r>
    <w:r w:rsidRPr="0086791A">
      <w:rPr>
        <w:sz w:val="18"/>
        <w:szCs w:val="18"/>
      </w:rPr>
      <w:t>—Queensland Government</w:t>
    </w:r>
    <w:r w:rsidR="00842CA0" w:rsidRPr="0037566A">
      <w:rPr>
        <w:sz w:val="18"/>
        <w:szCs w:val="18"/>
      </w:rPr>
      <w:tab/>
    </w:r>
    <w:sdt>
      <w:sdtPr>
        <w:rPr>
          <w:sz w:val="18"/>
          <w:szCs w:val="18"/>
        </w:rPr>
        <w:id w:val="-924028759"/>
        <w:docPartObj>
          <w:docPartGallery w:val="Page Numbers (Top of Page)"/>
          <w:docPartUnique/>
        </w:docPartObj>
      </w:sdtPr>
      <w:sdtEndPr/>
      <w:sdtContent>
        <w:r w:rsidR="00842CA0" w:rsidRPr="0037566A">
          <w:rPr>
            <w:sz w:val="18"/>
            <w:szCs w:val="18"/>
          </w:rPr>
          <w:t xml:space="preserve">Page </w:t>
        </w:r>
        <w:r w:rsidR="00842CA0" w:rsidRPr="0037566A">
          <w:rPr>
            <w:bCs/>
            <w:sz w:val="18"/>
            <w:szCs w:val="18"/>
          </w:rPr>
          <w:fldChar w:fldCharType="begin"/>
        </w:r>
        <w:r w:rsidR="00842CA0" w:rsidRPr="0037566A">
          <w:rPr>
            <w:bCs/>
            <w:sz w:val="18"/>
            <w:szCs w:val="18"/>
          </w:rPr>
          <w:instrText xml:space="preserve"> PAGE </w:instrText>
        </w:r>
        <w:r w:rsidR="00842CA0" w:rsidRPr="0037566A">
          <w:rPr>
            <w:bCs/>
            <w:sz w:val="18"/>
            <w:szCs w:val="18"/>
          </w:rPr>
          <w:fldChar w:fldCharType="separate"/>
        </w:r>
        <w:r w:rsidR="00093A72">
          <w:rPr>
            <w:bCs/>
            <w:noProof/>
            <w:sz w:val="18"/>
            <w:szCs w:val="18"/>
          </w:rPr>
          <w:t>2</w:t>
        </w:r>
        <w:r w:rsidR="00842CA0" w:rsidRPr="0037566A">
          <w:rPr>
            <w:bCs/>
            <w:sz w:val="18"/>
            <w:szCs w:val="18"/>
          </w:rPr>
          <w:fldChar w:fldCharType="end"/>
        </w:r>
        <w:r w:rsidR="00842CA0" w:rsidRPr="0037566A">
          <w:rPr>
            <w:sz w:val="18"/>
            <w:szCs w:val="18"/>
          </w:rPr>
          <w:t xml:space="preserve"> of </w:t>
        </w:r>
        <w:r w:rsidR="00842CA0" w:rsidRPr="0037566A">
          <w:rPr>
            <w:bCs/>
            <w:sz w:val="18"/>
            <w:szCs w:val="18"/>
          </w:rPr>
          <w:fldChar w:fldCharType="begin"/>
        </w:r>
        <w:r w:rsidR="00842CA0" w:rsidRPr="0037566A">
          <w:rPr>
            <w:bCs/>
            <w:sz w:val="18"/>
            <w:szCs w:val="18"/>
          </w:rPr>
          <w:instrText xml:space="preserve"> NUMPAGES  </w:instrText>
        </w:r>
        <w:r w:rsidR="00842CA0" w:rsidRPr="0037566A">
          <w:rPr>
            <w:bCs/>
            <w:sz w:val="18"/>
            <w:szCs w:val="18"/>
          </w:rPr>
          <w:fldChar w:fldCharType="separate"/>
        </w:r>
        <w:r w:rsidR="00093A72">
          <w:rPr>
            <w:bCs/>
            <w:noProof/>
            <w:sz w:val="18"/>
            <w:szCs w:val="18"/>
          </w:rPr>
          <w:t>2</w:t>
        </w:r>
        <w:r w:rsidR="00842CA0" w:rsidRPr="0037566A">
          <w:rPr>
            <w:bCs/>
            <w:sz w:val="18"/>
            <w:szCs w:val="18"/>
          </w:rPr>
          <w:fldChar w:fldCharType="end"/>
        </w:r>
      </w:sdtContent>
    </w:sdt>
  </w:p>
  <w:p w14:paraId="07F129ED" w14:textId="77777777" w:rsidR="00842CA0" w:rsidRDefault="00842CA0" w:rsidP="00842CA0">
    <w:pPr>
      <w:spacing w:after="0"/>
      <w:ind w:left="-1418"/>
    </w:pPr>
    <w:r>
      <w:rPr>
        <w:noProof/>
        <w:lang w:eastAsia="en-AU"/>
      </w:rPr>
      <w:drawing>
        <wp:inline distT="0" distB="0" distL="0" distR="0" wp14:anchorId="205D32B3" wp14:editId="326EB719">
          <wp:extent cx="7560000" cy="358181"/>
          <wp:effectExtent l="0" t="0" r="3175" b="3810"/>
          <wp:docPr id="7" name="Picture 7"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7560000" cy="35818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D6FE9" w14:textId="77777777" w:rsidR="001637CA" w:rsidRDefault="001637CA" w:rsidP="001637CA">
    <w:pPr>
      <w:pStyle w:val="Footer"/>
      <w:rPr>
        <w:sz w:val="18"/>
        <w:szCs w:val="18"/>
      </w:rPr>
    </w:pPr>
    <w:r w:rsidRPr="00E66A59">
      <w:rPr>
        <w:rStyle w:val="Hyperlink"/>
        <w:b w:val="0"/>
        <w:bCs/>
        <w:color w:val="auto"/>
        <w:sz w:val="18"/>
        <w:szCs w:val="18"/>
        <w:u w:val="none"/>
      </w:rPr>
      <w:t>Source</w:t>
    </w:r>
    <w:r w:rsidRPr="00E66A59">
      <w:rPr>
        <w:b/>
        <w:bCs/>
        <w:noProof/>
        <w:sz w:val="18"/>
        <w:szCs w:val="18"/>
        <w:lang w:eastAsia="en-AU"/>
      </w:rPr>
      <w:t>:</w:t>
    </w:r>
    <w:r w:rsidRPr="00E66A59">
      <w:rPr>
        <w:noProof/>
        <w:sz w:val="18"/>
        <w:szCs w:val="18"/>
        <w:lang w:eastAsia="en-AU"/>
      </w:rPr>
      <w:t xml:space="preserve"> </w:t>
    </w:r>
    <w:r>
      <w:rPr>
        <w:i/>
        <w:iCs/>
        <w:noProof/>
        <w:sz w:val="18"/>
        <w:szCs w:val="18"/>
        <w:lang w:eastAsia="en-AU"/>
      </w:rPr>
      <w:t>Cultural Funding by Government 2019</w:t>
    </w:r>
    <w:r>
      <w:t>–</w:t>
    </w:r>
    <w:r>
      <w:rPr>
        <w:i/>
        <w:iCs/>
        <w:noProof/>
        <w:sz w:val="18"/>
        <w:szCs w:val="18"/>
        <w:lang w:eastAsia="en-AU"/>
      </w:rPr>
      <w:t>20</w:t>
    </w:r>
    <w:r>
      <w:rPr>
        <w:noProof/>
        <w:sz w:val="18"/>
        <w:szCs w:val="18"/>
        <w:lang w:eastAsia="en-AU"/>
      </w:rPr>
      <w:t xml:space="preserve"> survey</w:t>
    </w:r>
  </w:p>
  <w:p w14:paraId="009A7A29" w14:textId="43FBCD90" w:rsidR="00BA0A5A" w:rsidRPr="00477982" w:rsidRDefault="00842CA0" w:rsidP="00477982">
    <w:pPr>
      <w:pStyle w:val="Footer"/>
      <w:ind w:left="-1418"/>
      <w:rPr>
        <w:rStyle w:val="Hyperlink"/>
        <w:color w:val="auto"/>
        <w:u w:val="none"/>
      </w:rPr>
    </w:pPr>
    <w:r>
      <w:rPr>
        <w:noProof/>
        <w:lang w:eastAsia="en-AU"/>
      </w:rPr>
      <w:drawing>
        <wp:inline distT="0" distB="0" distL="0" distR="0" wp14:anchorId="5C730B27" wp14:editId="447FC58A">
          <wp:extent cx="7560000" cy="358181"/>
          <wp:effectExtent l="0" t="0" r="3175" b="3810"/>
          <wp:docPr id="8" name="Picture 8" descr="Purple Border "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1935" t="-12324" r="1078" b="19102"/>
                  <a:stretch/>
                </pic:blipFill>
                <pic:spPr bwMode="auto">
                  <a:xfrm>
                    <a:off x="0" y="0"/>
                    <a:ext cx="7560000" cy="358181"/>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171CDA" w14:textId="77777777" w:rsidR="00EF213E" w:rsidRDefault="00EF213E" w:rsidP="002117E6">
      <w:pPr>
        <w:spacing w:after="0"/>
      </w:pPr>
      <w:r>
        <w:separator/>
      </w:r>
    </w:p>
  </w:footnote>
  <w:footnote w:type="continuationSeparator" w:id="0">
    <w:p w14:paraId="020BEB12" w14:textId="77777777" w:rsidR="00EF213E" w:rsidRDefault="00EF213E" w:rsidP="002117E6">
      <w:pPr>
        <w:spacing w:after="0"/>
      </w:pPr>
      <w:r>
        <w:continuationSeparator/>
      </w:r>
    </w:p>
  </w:footnote>
  <w:footnote w:id="1">
    <w:p w14:paraId="742DA0B9" w14:textId="1FF4A067" w:rsidR="00C034E4" w:rsidRDefault="00C034E4">
      <w:pPr>
        <w:pStyle w:val="FootnoteText"/>
      </w:pPr>
      <w:r>
        <w:rPr>
          <w:rStyle w:val="FootnoteReference"/>
        </w:rPr>
        <w:footnoteRef/>
      </w:r>
      <w:r>
        <w:t xml:space="preserve"> </w:t>
      </w:r>
      <w:r w:rsidRPr="00C034E4">
        <w:rPr>
          <w:sz w:val="18"/>
          <w:szCs w:val="18"/>
        </w:rPr>
        <w:t>In 2019–20, the Queensland Government reallocated and bought forward $12.5m in funding to support creative and cultural industries in direct response to the impact of COVID, with this expenditure reported across categories.</w:t>
      </w:r>
    </w:p>
  </w:footnote>
  <w:footnote w:id="2">
    <w:p w14:paraId="74CA07F6" w14:textId="12A9AAA2" w:rsidR="00C906BA" w:rsidRDefault="00C906BA">
      <w:pPr>
        <w:pStyle w:val="FootnoteText"/>
      </w:pPr>
      <w:r>
        <w:rPr>
          <w:rStyle w:val="FootnoteReference"/>
        </w:rPr>
        <w:footnoteRef/>
      </w:r>
      <w:r>
        <w:t xml:space="preserve"> </w:t>
      </w:r>
      <w:r w:rsidR="00802C3A" w:rsidRPr="00B834A4">
        <w:rPr>
          <w:i/>
          <w:iCs/>
          <w:sz w:val="18"/>
          <w:szCs w:val="18"/>
        </w:rPr>
        <w:t>Cultural Funding by Government</w:t>
      </w:r>
      <w:r w:rsidR="00802C3A" w:rsidRPr="008B78B2">
        <w:rPr>
          <w:sz w:val="18"/>
          <w:szCs w:val="18"/>
        </w:rPr>
        <w:t xml:space="preserve"> survey not conducted in 2018–19</w:t>
      </w:r>
      <w:r w:rsidR="001637CA">
        <w:rPr>
          <w:sz w:val="18"/>
          <w:szCs w:val="18"/>
        </w:rPr>
        <w:t>,</w:t>
      </w:r>
      <w:r w:rsidR="00802C3A" w:rsidRPr="008B78B2">
        <w:rPr>
          <w:sz w:val="18"/>
          <w:szCs w:val="18"/>
        </w:rPr>
        <w:t xml:space="preserve"> as </w:t>
      </w:r>
      <w:r w:rsidR="001637CA">
        <w:rPr>
          <w:sz w:val="18"/>
          <w:szCs w:val="18"/>
        </w:rPr>
        <w:t xml:space="preserve">it </w:t>
      </w:r>
      <w:r w:rsidR="00802C3A" w:rsidRPr="008B78B2">
        <w:rPr>
          <w:sz w:val="18"/>
          <w:szCs w:val="18"/>
        </w:rPr>
        <w:t>changed to a biennial collection.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60FD7" w14:textId="77777777" w:rsidR="002B755E" w:rsidRDefault="002B75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92367" w14:textId="77777777" w:rsidR="00477982" w:rsidRDefault="00477982" w:rsidP="00477982">
    <w:pPr>
      <w:pStyle w:val="Header"/>
      <w:ind w:left="-1418"/>
    </w:pPr>
    <w:r>
      <w:rPr>
        <w:noProof/>
        <w:lang w:eastAsia="en-AU"/>
      </w:rPr>
      <w:drawing>
        <wp:inline distT="0" distB="0" distL="0" distR="0" wp14:anchorId="56E3B207" wp14:editId="78318F8E">
          <wp:extent cx="7560000" cy="544479"/>
          <wp:effectExtent l="0" t="0" r="3175" b="8255"/>
          <wp:docPr id="6" name="Picture 6" descr="Purple Border"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654" t="19214" r="1857"/>
                  <a:stretch/>
                </pic:blipFill>
                <pic:spPr bwMode="auto">
                  <a:xfrm>
                    <a:off x="0" y="0"/>
                    <a:ext cx="7560000" cy="544479"/>
                  </a:xfrm>
                  <a:prstGeom prst="rect">
                    <a:avLst/>
                  </a:prstGeom>
                  <a:noFill/>
                  <a:ln>
                    <a:noFill/>
                  </a:ln>
                  <a:extLst>
                    <a:ext uri="{53640926-AAD7-44D8-BBD7-CCE9431645EC}">
                      <a14:shadowObscured xmlns:a14="http://schemas.microsoft.com/office/drawing/2010/main"/>
                    </a:ext>
                  </a:extLst>
                </pic:spPr>
              </pic:pic>
            </a:graphicData>
          </a:graphic>
        </wp:inline>
      </w:drawing>
    </w:r>
  </w:p>
  <w:p w14:paraId="236FD5C6" w14:textId="4F97CD72" w:rsidR="00477982" w:rsidRDefault="00477982" w:rsidP="00477982">
    <w:pPr>
      <w:pStyle w:val="Header"/>
      <w:tabs>
        <w:tab w:val="clear" w:pos="9026"/>
        <w:tab w:val="right" w:pos="9333"/>
      </w:tabs>
    </w:pPr>
    <w:r>
      <w:t>MCM Statistics Working Group</w:t>
    </w:r>
    <w:r w:rsidRPr="00A96536">
      <w:tab/>
    </w:r>
    <w:r w:rsidRPr="00A96536">
      <w:tab/>
    </w:r>
    <w:r w:rsidR="002B755E">
      <w:t>August</w:t>
    </w:r>
    <w:r w:rsidR="00837F94">
      <w:t xml:space="preserve">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C9F4C" w14:textId="77777777" w:rsidR="002B755E" w:rsidRDefault="002B75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12D9E"/>
    <w:multiLevelType w:val="hybridMultilevel"/>
    <w:tmpl w:val="790075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117C6A73"/>
    <w:multiLevelType w:val="hybridMultilevel"/>
    <w:tmpl w:val="528A0CE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2B508A"/>
    <w:multiLevelType w:val="hybridMultilevel"/>
    <w:tmpl w:val="F3CA4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1F7139D"/>
    <w:multiLevelType w:val="hybridMultilevel"/>
    <w:tmpl w:val="5B38CF7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93E1F26"/>
    <w:multiLevelType w:val="hybridMultilevel"/>
    <w:tmpl w:val="1A685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
  </w:num>
  <w:num w:numId="4">
    <w:abstractNumId w:val="7"/>
  </w:num>
  <w:num w:numId="5">
    <w:abstractNumId w:val="2"/>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3E"/>
    <w:rsid w:val="000056F7"/>
    <w:rsid w:val="00024E6D"/>
    <w:rsid w:val="00055258"/>
    <w:rsid w:val="0007783D"/>
    <w:rsid w:val="00085F20"/>
    <w:rsid w:val="00093A72"/>
    <w:rsid w:val="0009659E"/>
    <w:rsid w:val="000C66BA"/>
    <w:rsid w:val="000D421A"/>
    <w:rsid w:val="000E398B"/>
    <w:rsid w:val="001031A7"/>
    <w:rsid w:val="00111A64"/>
    <w:rsid w:val="001471EA"/>
    <w:rsid w:val="001472FC"/>
    <w:rsid w:val="001504D7"/>
    <w:rsid w:val="001637CA"/>
    <w:rsid w:val="001736CC"/>
    <w:rsid w:val="00185BD8"/>
    <w:rsid w:val="00185E9F"/>
    <w:rsid w:val="0019701B"/>
    <w:rsid w:val="001A1384"/>
    <w:rsid w:val="001A350B"/>
    <w:rsid w:val="001D64AC"/>
    <w:rsid w:val="001D7905"/>
    <w:rsid w:val="002117E6"/>
    <w:rsid w:val="00221CCC"/>
    <w:rsid w:val="00233671"/>
    <w:rsid w:val="0024033A"/>
    <w:rsid w:val="00242B78"/>
    <w:rsid w:val="00290FEC"/>
    <w:rsid w:val="00293DD6"/>
    <w:rsid w:val="002A4338"/>
    <w:rsid w:val="002B755E"/>
    <w:rsid w:val="002C1D71"/>
    <w:rsid w:val="002C5369"/>
    <w:rsid w:val="002E2477"/>
    <w:rsid w:val="002E449F"/>
    <w:rsid w:val="002F3895"/>
    <w:rsid w:val="00302513"/>
    <w:rsid w:val="00327F06"/>
    <w:rsid w:val="00335334"/>
    <w:rsid w:val="00336DDD"/>
    <w:rsid w:val="0034396E"/>
    <w:rsid w:val="00381364"/>
    <w:rsid w:val="0039730D"/>
    <w:rsid w:val="003B5B1D"/>
    <w:rsid w:val="003F495D"/>
    <w:rsid w:val="00400E77"/>
    <w:rsid w:val="0041185C"/>
    <w:rsid w:val="00426F0B"/>
    <w:rsid w:val="00436F4C"/>
    <w:rsid w:val="004442E0"/>
    <w:rsid w:val="00450D6E"/>
    <w:rsid w:val="00456F44"/>
    <w:rsid w:val="00467552"/>
    <w:rsid w:val="004753FE"/>
    <w:rsid w:val="004755A2"/>
    <w:rsid w:val="00477692"/>
    <w:rsid w:val="00477982"/>
    <w:rsid w:val="004A1A98"/>
    <w:rsid w:val="004A7312"/>
    <w:rsid w:val="004F0AC6"/>
    <w:rsid w:val="005262D2"/>
    <w:rsid w:val="00526687"/>
    <w:rsid w:val="00530E99"/>
    <w:rsid w:val="005377F7"/>
    <w:rsid w:val="00542695"/>
    <w:rsid w:val="00544465"/>
    <w:rsid w:val="00556FA4"/>
    <w:rsid w:val="005607E8"/>
    <w:rsid w:val="00561190"/>
    <w:rsid w:val="005658F1"/>
    <w:rsid w:val="00565B47"/>
    <w:rsid w:val="00575A5A"/>
    <w:rsid w:val="00577308"/>
    <w:rsid w:val="005932D0"/>
    <w:rsid w:val="00597F9B"/>
    <w:rsid w:val="005C7EE7"/>
    <w:rsid w:val="005F23E0"/>
    <w:rsid w:val="0061446D"/>
    <w:rsid w:val="00625397"/>
    <w:rsid w:val="00640A4C"/>
    <w:rsid w:val="0064138E"/>
    <w:rsid w:val="006A2F0E"/>
    <w:rsid w:val="006C18BE"/>
    <w:rsid w:val="006D096B"/>
    <w:rsid w:val="006D4BB3"/>
    <w:rsid w:val="006F06FD"/>
    <w:rsid w:val="00705B86"/>
    <w:rsid w:val="007312EE"/>
    <w:rsid w:val="00734581"/>
    <w:rsid w:val="00736967"/>
    <w:rsid w:val="0074177F"/>
    <w:rsid w:val="00753BB6"/>
    <w:rsid w:val="0076317C"/>
    <w:rsid w:val="007665C2"/>
    <w:rsid w:val="007960EA"/>
    <w:rsid w:val="007A4B0F"/>
    <w:rsid w:val="007D00FE"/>
    <w:rsid w:val="00802C3A"/>
    <w:rsid w:val="008169A6"/>
    <w:rsid w:val="0082186E"/>
    <w:rsid w:val="00834A94"/>
    <w:rsid w:val="00834DE8"/>
    <w:rsid w:val="00837F94"/>
    <w:rsid w:val="00842CA0"/>
    <w:rsid w:val="0085670C"/>
    <w:rsid w:val="008646E6"/>
    <w:rsid w:val="00866475"/>
    <w:rsid w:val="0086791A"/>
    <w:rsid w:val="00880D08"/>
    <w:rsid w:val="008A4B1F"/>
    <w:rsid w:val="008B0ACA"/>
    <w:rsid w:val="008B767F"/>
    <w:rsid w:val="008D4E53"/>
    <w:rsid w:val="008F5F11"/>
    <w:rsid w:val="008F7FA4"/>
    <w:rsid w:val="00903111"/>
    <w:rsid w:val="009313D2"/>
    <w:rsid w:val="0093312F"/>
    <w:rsid w:val="0094124E"/>
    <w:rsid w:val="009654E0"/>
    <w:rsid w:val="00972787"/>
    <w:rsid w:val="00975833"/>
    <w:rsid w:val="0098758A"/>
    <w:rsid w:val="009B7EF0"/>
    <w:rsid w:val="009E12E4"/>
    <w:rsid w:val="009F4363"/>
    <w:rsid w:val="00A22246"/>
    <w:rsid w:val="00A241FE"/>
    <w:rsid w:val="00A35CD0"/>
    <w:rsid w:val="00A52A3C"/>
    <w:rsid w:val="00A606B1"/>
    <w:rsid w:val="00A91FC0"/>
    <w:rsid w:val="00AA38E6"/>
    <w:rsid w:val="00AC0B64"/>
    <w:rsid w:val="00AE0BE1"/>
    <w:rsid w:val="00AE4F02"/>
    <w:rsid w:val="00AF4EB3"/>
    <w:rsid w:val="00AF5FC0"/>
    <w:rsid w:val="00B049A4"/>
    <w:rsid w:val="00B04E5C"/>
    <w:rsid w:val="00B1045C"/>
    <w:rsid w:val="00B27F54"/>
    <w:rsid w:val="00B40560"/>
    <w:rsid w:val="00B43C56"/>
    <w:rsid w:val="00B55747"/>
    <w:rsid w:val="00B704AE"/>
    <w:rsid w:val="00B834A4"/>
    <w:rsid w:val="00B834DE"/>
    <w:rsid w:val="00B96893"/>
    <w:rsid w:val="00B97C76"/>
    <w:rsid w:val="00BA0A5A"/>
    <w:rsid w:val="00BA1263"/>
    <w:rsid w:val="00BA7F94"/>
    <w:rsid w:val="00BC0D30"/>
    <w:rsid w:val="00BC19F0"/>
    <w:rsid w:val="00BC329E"/>
    <w:rsid w:val="00BC7D72"/>
    <w:rsid w:val="00BD597E"/>
    <w:rsid w:val="00BE1F34"/>
    <w:rsid w:val="00BE64CD"/>
    <w:rsid w:val="00BE7E66"/>
    <w:rsid w:val="00C034E4"/>
    <w:rsid w:val="00C16794"/>
    <w:rsid w:val="00C240E2"/>
    <w:rsid w:val="00C451EE"/>
    <w:rsid w:val="00C55F55"/>
    <w:rsid w:val="00C85887"/>
    <w:rsid w:val="00C906BA"/>
    <w:rsid w:val="00CC17D8"/>
    <w:rsid w:val="00CC75CC"/>
    <w:rsid w:val="00CD6EAB"/>
    <w:rsid w:val="00CF5E24"/>
    <w:rsid w:val="00CF5FFC"/>
    <w:rsid w:val="00D03AE2"/>
    <w:rsid w:val="00D47936"/>
    <w:rsid w:val="00D76B2F"/>
    <w:rsid w:val="00D82A33"/>
    <w:rsid w:val="00D92957"/>
    <w:rsid w:val="00DB4FA3"/>
    <w:rsid w:val="00DC2DFA"/>
    <w:rsid w:val="00DC6A98"/>
    <w:rsid w:val="00DD5D52"/>
    <w:rsid w:val="00DF3729"/>
    <w:rsid w:val="00E34E34"/>
    <w:rsid w:val="00E45B93"/>
    <w:rsid w:val="00E54D63"/>
    <w:rsid w:val="00E57BCF"/>
    <w:rsid w:val="00E92EB5"/>
    <w:rsid w:val="00E97404"/>
    <w:rsid w:val="00E978C6"/>
    <w:rsid w:val="00EA2F26"/>
    <w:rsid w:val="00EA5BA4"/>
    <w:rsid w:val="00EA6D34"/>
    <w:rsid w:val="00EA799B"/>
    <w:rsid w:val="00EB40A5"/>
    <w:rsid w:val="00ED3D4B"/>
    <w:rsid w:val="00ED7D65"/>
    <w:rsid w:val="00EE4583"/>
    <w:rsid w:val="00EE68BC"/>
    <w:rsid w:val="00EF213E"/>
    <w:rsid w:val="00EF61B4"/>
    <w:rsid w:val="00F14A16"/>
    <w:rsid w:val="00F31503"/>
    <w:rsid w:val="00F3567E"/>
    <w:rsid w:val="00F37816"/>
    <w:rsid w:val="00F408EE"/>
    <w:rsid w:val="00F45E7E"/>
    <w:rsid w:val="00F56262"/>
    <w:rsid w:val="00F6769C"/>
    <w:rsid w:val="00F7051B"/>
    <w:rsid w:val="00FA2DCD"/>
    <w:rsid w:val="00FC16F3"/>
    <w:rsid w:val="00FE0978"/>
    <w:rsid w:val="00FE6CBA"/>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02094114"/>
  <w15:docId w15:val="{8A79D7D2-3C4D-49F2-8DF2-051F69B6E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7552"/>
    <w:pPr>
      <w:spacing w:after="200" w:line="240" w:lineRule="auto"/>
    </w:pPr>
  </w:style>
  <w:style w:type="paragraph" w:styleId="Heading1">
    <w:name w:val="heading 1"/>
    <w:basedOn w:val="Normal"/>
    <w:next w:val="Normal"/>
    <w:link w:val="Heading1Char"/>
    <w:uiPriority w:val="9"/>
    <w:qFormat/>
    <w:rsid w:val="00DC6A98"/>
    <w:pPr>
      <w:keepNext/>
      <w:spacing w:before="360" w:after="240"/>
      <w:outlineLvl w:val="0"/>
    </w:pPr>
    <w:rPr>
      <w:rFonts w:asciiTheme="majorHAnsi" w:eastAsiaTheme="majorEastAsia" w:hAnsiTheme="majorHAnsi" w:cstheme="majorBidi"/>
      <w:b/>
      <w:sz w:val="48"/>
      <w:szCs w:val="32"/>
      <w:lang w:eastAsia="en-US"/>
    </w:rPr>
  </w:style>
  <w:style w:type="paragraph" w:styleId="Heading2">
    <w:name w:val="heading 2"/>
    <w:basedOn w:val="Normal"/>
    <w:next w:val="Normal"/>
    <w:link w:val="Heading2Char"/>
    <w:uiPriority w:val="9"/>
    <w:unhideWhenUsed/>
    <w:qFormat/>
    <w:rsid w:val="00242B78"/>
    <w:pPr>
      <w:keepNext/>
      <w:outlineLvl w:val="1"/>
    </w:pPr>
    <w:rPr>
      <w:rFonts w:asciiTheme="majorHAnsi" w:eastAsiaTheme="majorEastAsia" w:hAnsiTheme="majorHAnsi" w:cstheme="majorBidi"/>
      <w:b/>
      <w:color w:val="554B87"/>
      <w:sz w:val="36"/>
      <w:szCs w:val="26"/>
      <w:lang w:eastAsia="en-US"/>
    </w:rPr>
  </w:style>
  <w:style w:type="paragraph" w:styleId="Heading3">
    <w:name w:val="heading 3"/>
    <w:basedOn w:val="Normal"/>
    <w:next w:val="Normal"/>
    <w:link w:val="Heading3Char"/>
    <w:uiPriority w:val="9"/>
    <w:unhideWhenUsed/>
    <w:qFormat/>
    <w:rsid w:val="00242B78"/>
    <w:pPr>
      <w:keepNext/>
      <w:spacing w:after="120"/>
      <w:outlineLvl w:val="2"/>
    </w:pPr>
    <w:rPr>
      <w:rFonts w:asciiTheme="majorHAnsi" w:eastAsiaTheme="majorEastAsia" w:hAnsiTheme="majorHAnsi" w:cstheme="majorBidi"/>
      <w:b/>
      <w:color w:val="554B87"/>
      <w:sz w:val="30"/>
      <w:szCs w:val="24"/>
      <w:lang w:eastAsia="en-US"/>
    </w:rPr>
  </w:style>
  <w:style w:type="paragraph" w:styleId="Heading4">
    <w:name w:val="heading 4"/>
    <w:basedOn w:val="Normal"/>
    <w:next w:val="Normal"/>
    <w:link w:val="Heading4Char"/>
    <w:uiPriority w:val="9"/>
    <w:unhideWhenUsed/>
    <w:qFormat/>
    <w:rsid w:val="00242B78"/>
    <w:pPr>
      <w:keepNext/>
      <w:keepLines/>
      <w:spacing w:after="120"/>
      <w:outlineLvl w:val="3"/>
    </w:pPr>
    <w:rPr>
      <w:rFonts w:asciiTheme="majorHAnsi" w:eastAsiaTheme="majorEastAsia" w:hAnsiTheme="majorHAnsi" w:cstheme="majorBidi"/>
      <w:b/>
      <w:bCs/>
      <w:color w:val="554B87"/>
      <w:sz w:val="24"/>
      <w:szCs w:val="24"/>
    </w:rPr>
  </w:style>
  <w:style w:type="paragraph" w:styleId="Heading5">
    <w:name w:val="heading 5"/>
    <w:basedOn w:val="Normal"/>
    <w:next w:val="Normal"/>
    <w:link w:val="Heading5Char"/>
    <w:uiPriority w:val="9"/>
    <w:unhideWhenUsed/>
    <w:qFormat/>
    <w:rsid w:val="00242B78"/>
    <w:pPr>
      <w:keepNext/>
      <w:keepLines/>
      <w:spacing w:after="60"/>
      <w:outlineLvl w:val="4"/>
    </w:pPr>
    <w:rPr>
      <w:rFonts w:asciiTheme="majorHAnsi" w:eastAsiaTheme="majorEastAsia" w:hAnsiTheme="majorHAnsi" w:cstheme="majorBidi"/>
      <w:b/>
      <w:color w:val="554B87"/>
    </w:rPr>
  </w:style>
  <w:style w:type="paragraph" w:styleId="Heading6">
    <w:name w:val="heading 6"/>
    <w:basedOn w:val="Normal"/>
    <w:next w:val="Normal"/>
    <w:link w:val="Heading6Char"/>
    <w:uiPriority w:val="9"/>
    <w:unhideWhenUsed/>
    <w:qFormat/>
    <w:rsid w:val="00242B78"/>
    <w:pPr>
      <w:keepNext/>
      <w:keepLines/>
      <w:spacing w:after="60"/>
      <w:outlineLvl w:val="5"/>
    </w:pPr>
    <w:rPr>
      <w:rFonts w:asciiTheme="majorHAnsi" w:eastAsiaTheme="majorEastAsia" w:hAnsiTheme="majorHAnsi" w:cstheme="majorBidi"/>
      <w:b/>
      <w:i/>
      <w:iCs/>
      <w:color w:val="554B87"/>
    </w:rPr>
  </w:style>
  <w:style w:type="paragraph" w:styleId="Heading7">
    <w:name w:val="heading 7"/>
    <w:basedOn w:val="Normal"/>
    <w:next w:val="Normal"/>
    <w:link w:val="Heading7Char"/>
    <w:uiPriority w:val="9"/>
    <w:unhideWhenUsed/>
    <w:qFormat/>
    <w:rsid w:val="00242B78"/>
    <w:pPr>
      <w:keepNext/>
      <w:keepLines/>
      <w:spacing w:before="40" w:after="0"/>
      <w:outlineLvl w:val="6"/>
    </w:pPr>
    <w:rPr>
      <w:rFonts w:asciiTheme="majorHAnsi" w:eastAsiaTheme="majorEastAsia" w:hAnsiTheme="majorHAnsi" w:cstheme="majorBidi"/>
      <w:b/>
      <w:i/>
      <w:iCs/>
      <w:color w:val="554B87"/>
    </w:rPr>
  </w:style>
  <w:style w:type="paragraph" w:styleId="Heading8">
    <w:name w:val="heading 8"/>
    <w:basedOn w:val="Normal"/>
    <w:next w:val="Normal"/>
    <w:link w:val="Heading8Char"/>
    <w:uiPriority w:val="9"/>
    <w:unhideWhenUsed/>
    <w:qFormat/>
    <w:rsid w:val="00242B78"/>
    <w:pPr>
      <w:keepNext/>
      <w:keepLines/>
      <w:spacing w:before="40" w:after="0"/>
      <w:outlineLvl w:val="7"/>
    </w:pPr>
    <w:rPr>
      <w:rFonts w:asciiTheme="majorHAnsi" w:eastAsiaTheme="majorEastAsia" w:hAnsiTheme="majorHAnsi" w:cstheme="majorBidi"/>
      <w:b/>
      <w:color w:val="554B87"/>
      <w:sz w:val="21"/>
      <w:szCs w:val="21"/>
    </w:rPr>
  </w:style>
  <w:style w:type="paragraph" w:styleId="Heading9">
    <w:name w:val="heading 9"/>
    <w:basedOn w:val="Normal"/>
    <w:next w:val="Normal"/>
    <w:link w:val="Heading9Char"/>
    <w:uiPriority w:val="9"/>
    <w:unhideWhenUsed/>
    <w:qFormat/>
    <w:rsid w:val="00242B78"/>
    <w:pPr>
      <w:keepNext/>
      <w:keepLines/>
      <w:spacing w:before="40" w:after="0"/>
      <w:outlineLvl w:val="8"/>
    </w:pPr>
    <w:rPr>
      <w:rFonts w:asciiTheme="majorHAnsi" w:eastAsiaTheme="majorEastAsia" w:hAnsiTheme="majorHAnsi" w:cstheme="majorBidi"/>
      <w:b/>
      <w:i/>
      <w:iCs/>
      <w:color w:val="554B87"/>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A98"/>
    <w:rPr>
      <w:rFonts w:asciiTheme="majorHAnsi" w:eastAsiaTheme="majorEastAsia" w:hAnsiTheme="majorHAnsi" w:cstheme="majorBidi"/>
      <w:b/>
      <w:sz w:val="48"/>
      <w:szCs w:val="32"/>
      <w:lang w:eastAsia="en-US"/>
    </w:rPr>
  </w:style>
  <w:style w:type="character" w:customStyle="1" w:styleId="Heading2Char">
    <w:name w:val="Heading 2 Char"/>
    <w:basedOn w:val="DefaultParagraphFont"/>
    <w:link w:val="Heading2"/>
    <w:uiPriority w:val="9"/>
    <w:rsid w:val="00242B78"/>
    <w:rPr>
      <w:rFonts w:asciiTheme="majorHAnsi" w:eastAsiaTheme="majorEastAsia" w:hAnsiTheme="majorHAnsi" w:cstheme="majorBidi"/>
      <w:b/>
      <w:color w:val="554B87"/>
      <w:sz w:val="36"/>
      <w:szCs w:val="26"/>
      <w:lang w:eastAsia="en-US"/>
    </w:rPr>
  </w:style>
  <w:style w:type="character" w:customStyle="1" w:styleId="Heading3Char">
    <w:name w:val="Heading 3 Char"/>
    <w:basedOn w:val="DefaultParagraphFont"/>
    <w:link w:val="Heading3"/>
    <w:uiPriority w:val="9"/>
    <w:rsid w:val="00242B78"/>
    <w:rPr>
      <w:rFonts w:asciiTheme="majorHAnsi" w:eastAsiaTheme="majorEastAsia" w:hAnsiTheme="majorHAnsi" w:cstheme="majorBidi"/>
      <w:b/>
      <w:color w:val="554B87"/>
      <w:sz w:val="30"/>
      <w:szCs w:val="24"/>
      <w:lang w:eastAsia="en-US"/>
    </w:rPr>
  </w:style>
  <w:style w:type="character" w:styleId="Hyperlink">
    <w:name w:val="Hyperlink"/>
    <w:basedOn w:val="DefaultParagraphFont"/>
    <w:uiPriority w:val="99"/>
    <w:unhideWhenUsed/>
    <w:rsid w:val="00F56262"/>
    <w:rPr>
      <w:b/>
      <w:color w:val="554B87"/>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467552"/>
    <w:pPr>
      <w:ind w:left="567"/>
    </w:pPr>
    <w:rPr>
      <w:rFonts w:eastAsiaTheme="minorHAnsi"/>
      <w:b/>
      <w:i/>
      <w:iCs/>
      <w:color w:val="554B87"/>
      <w:lang w:eastAsia="en-US"/>
    </w:rPr>
  </w:style>
  <w:style w:type="character" w:customStyle="1" w:styleId="QuoteChar">
    <w:name w:val="Quote Char"/>
    <w:basedOn w:val="DefaultParagraphFont"/>
    <w:link w:val="Quote"/>
    <w:uiPriority w:val="29"/>
    <w:rsid w:val="00467552"/>
    <w:rPr>
      <w:rFonts w:eastAsiaTheme="minorHAnsi"/>
      <w:b/>
      <w:i/>
      <w:iCs/>
      <w:color w:val="554B87"/>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242B78"/>
    <w:rPr>
      <w:rFonts w:asciiTheme="majorHAnsi" w:eastAsiaTheme="majorEastAsia" w:hAnsiTheme="majorHAnsi" w:cstheme="majorBidi"/>
      <w:b/>
      <w:bCs/>
      <w:color w:val="554B87"/>
      <w:sz w:val="24"/>
      <w:szCs w:val="24"/>
    </w:rPr>
  </w:style>
  <w:style w:type="character" w:customStyle="1" w:styleId="Heading5Char">
    <w:name w:val="Heading 5 Char"/>
    <w:basedOn w:val="DefaultParagraphFont"/>
    <w:link w:val="Heading5"/>
    <w:uiPriority w:val="9"/>
    <w:rsid w:val="00242B78"/>
    <w:rPr>
      <w:rFonts w:asciiTheme="majorHAnsi" w:eastAsiaTheme="majorEastAsia" w:hAnsiTheme="majorHAnsi" w:cstheme="majorBidi"/>
      <w:b/>
      <w:color w:val="554B87"/>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8B767F"/>
    <w:pPr>
      <w:keepNext/>
      <w:spacing w:after="0"/>
    </w:pPr>
    <w:rPr>
      <w:rFonts w:asciiTheme="majorHAnsi" w:eastAsiaTheme="minorHAnsi" w:hAnsiTheme="majorHAnsi"/>
      <w:b/>
      <w:color w:val="554B87"/>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242B78"/>
    <w:rPr>
      <w:rFonts w:asciiTheme="majorHAnsi" w:eastAsiaTheme="majorEastAsia" w:hAnsiTheme="majorHAnsi" w:cstheme="majorBidi"/>
      <w:b/>
      <w:i/>
      <w:iCs/>
      <w:color w:val="554B87"/>
    </w:rPr>
  </w:style>
  <w:style w:type="character" w:customStyle="1" w:styleId="Heading7Char">
    <w:name w:val="Heading 7 Char"/>
    <w:basedOn w:val="DefaultParagraphFont"/>
    <w:link w:val="Heading7"/>
    <w:uiPriority w:val="9"/>
    <w:rsid w:val="00242B78"/>
    <w:rPr>
      <w:rFonts w:asciiTheme="majorHAnsi" w:eastAsiaTheme="majorEastAsia" w:hAnsiTheme="majorHAnsi" w:cstheme="majorBidi"/>
      <w:b/>
      <w:i/>
      <w:iCs/>
      <w:color w:val="554B87"/>
    </w:rPr>
  </w:style>
  <w:style w:type="character" w:customStyle="1" w:styleId="Heading8Char">
    <w:name w:val="Heading 8 Char"/>
    <w:basedOn w:val="DefaultParagraphFont"/>
    <w:link w:val="Heading8"/>
    <w:uiPriority w:val="9"/>
    <w:rsid w:val="00242B78"/>
    <w:rPr>
      <w:rFonts w:asciiTheme="majorHAnsi" w:eastAsiaTheme="majorEastAsia" w:hAnsiTheme="majorHAnsi" w:cstheme="majorBidi"/>
      <w:b/>
      <w:color w:val="554B87"/>
      <w:sz w:val="21"/>
      <w:szCs w:val="21"/>
    </w:rPr>
  </w:style>
  <w:style w:type="character" w:customStyle="1" w:styleId="Heading9Char">
    <w:name w:val="Heading 9 Char"/>
    <w:basedOn w:val="DefaultParagraphFont"/>
    <w:link w:val="Heading9"/>
    <w:uiPriority w:val="9"/>
    <w:rsid w:val="00242B78"/>
    <w:rPr>
      <w:rFonts w:asciiTheme="majorHAnsi" w:eastAsiaTheme="majorEastAsia" w:hAnsiTheme="majorHAnsi" w:cstheme="majorBidi"/>
      <w:b/>
      <w:i/>
      <w:iCs/>
      <w:color w:val="554B87"/>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1">
    <w:name w:val="Unresolved Mention1"/>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D03AE2"/>
    <w:pPr>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4755A2"/>
    <w:pPr>
      <w:tabs>
        <w:tab w:val="right" w:leader="dot" w:pos="9072"/>
      </w:tabs>
      <w:spacing w:before="120" w:after="0"/>
    </w:pPr>
    <w:rPr>
      <w:b/>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C16794"/>
    <w:pPr>
      <w:numPr>
        <w:numId w:val="3"/>
      </w:numPr>
      <w:ind w:left="567" w:hanging="567"/>
      <w:contextualSpacing/>
    </w:pPr>
  </w:style>
  <w:style w:type="paragraph" w:styleId="FootnoteText">
    <w:name w:val="footnote text"/>
    <w:basedOn w:val="Normal"/>
    <w:link w:val="FootnoteTextChar"/>
    <w:uiPriority w:val="99"/>
    <w:semiHidden/>
    <w:unhideWhenUsed/>
    <w:rsid w:val="003B5B1D"/>
    <w:pPr>
      <w:spacing w:after="0"/>
    </w:pPr>
    <w:rPr>
      <w:sz w:val="20"/>
      <w:szCs w:val="20"/>
    </w:rPr>
  </w:style>
  <w:style w:type="character" w:customStyle="1" w:styleId="FootnoteTextChar">
    <w:name w:val="Footnote Text Char"/>
    <w:basedOn w:val="DefaultParagraphFont"/>
    <w:link w:val="FootnoteText"/>
    <w:uiPriority w:val="99"/>
    <w:semiHidden/>
    <w:rsid w:val="003B5B1D"/>
    <w:rPr>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paragraph" w:styleId="BalloonText">
    <w:name w:val="Balloon Text"/>
    <w:basedOn w:val="Normal"/>
    <w:link w:val="BalloonTextChar"/>
    <w:uiPriority w:val="99"/>
    <w:semiHidden/>
    <w:unhideWhenUsed/>
    <w:rsid w:val="00FE097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9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373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dminsrvad.sa.gov.au\DfsRoot\DataDPC\ArtsSA\ABS\Cultural%20Funding%20Collections\2019-2020\Data%20Management\Data%20-%20Input_Output\CF%20Analysis%202019-2020.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74332239720034998"/>
        </c:manualLayout>
      </c:layout>
      <c:barChart>
        <c:barDir val="col"/>
        <c:grouping val="clustered"/>
        <c:varyColors val="0"/>
        <c:ser>
          <c:idx val="0"/>
          <c:order val="0"/>
          <c:tx>
            <c:strRef>
              <c:f>QLD!$B$39</c:f>
              <c:strCache>
                <c:ptCount val="1"/>
                <c:pt idx="0">
                  <c:v>2016-17</c:v>
                </c:pt>
              </c:strCache>
            </c:strRef>
          </c:tx>
          <c:spPr>
            <a:solidFill>
              <a:srgbClr val="646464"/>
            </a:solidFill>
            <a:ln>
              <a:solidFill>
                <a:srgbClr val="646464"/>
              </a:solidFill>
            </a:ln>
            <a:effectLst/>
          </c:spPr>
          <c:invertIfNegative val="0"/>
          <c:cat>
            <c:strRef>
              <c:f>QLD!$A$40:$A$43</c:f>
              <c:strCache>
                <c:ptCount val="4"/>
                <c:pt idx="0">
                  <c:v>Art museums</c:v>
                </c:pt>
                <c:pt idx="1">
                  <c:v>Other museums &amp; cultural heritage</c:v>
                </c:pt>
                <c:pt idx="2">
                  <c:v>Libraries</c:v>
                </c:pt>
                <c:pt idx="3">
                  <c:v>Archives</c:v>
                </c:pt>
              </c:strCache>
            </c:strRef>
          </c:cat>
          <c:val>
            <c:numRef>
              <c:f>QLD!$B$40:$B$43</c:f>
              <c:numCache>
                <c:formatCode>0.0</c:formatCode>
                <c:ptCount val="4"/>
                <c:pt idx="0">
                  <c:v>52.857999999999997</c:v>
                </c:pt>
                <c:pt idx="1">
                  <c:v>67.257999999999996</c:v>
                </c:pt>
                <c:pt idx="2">
                  <c:v>74.366</c:v>
                </c:pt>
                <c:pt idx="3">
                  <c:v>17.576000000000001</c:v>
                </c:pt>
              </c:numCache>
            </c:numRef>
          </c:val>
          <c:extLst>
            <c:ext xmlns:c16="http://schemas.microsoft.com/office/drawing/2014/chart" uri="{C3380CC4-5D6E-409C-BE32-E72D297353CC}">
              <c16:uniqueId val="{00000000-E956-4203-94A1-3F6FAC5D56FA}"/>
            </c:ext>
          </c:extLst>
        </c:ser>
        <c:ser>
          <c:idx val="1"/>
          <c:order val="1"/>
          <c:tx>
            <c:strRef>
              <c:f>QLD!$C$39</c:f>
              <c:strCache>
                <c:ptCount val="1"/>
                <c:pt idx="0">
                  <c:v>2017-18</c:v>
                </c:pt>
              </c:strCache>
            </c:strRef>
          </c:tx>
          <c:spPr>
            <a:solidFill>
              <a:srgbClr val="0F293A"/>
            </a:solidFill>
            <a:ln>
              <a:solidFill>
                <a:srgbClr val="0F293A"/>
              </a:solidFill>
            </a:ln>
            <a:effectLst/>
          </c:spPr>
          <c:invertIfNegative val="0"/>
          <c:cat>
            <c:strRef>
              <c:f>QLD!$A$40:$A$43</c:f>
              <c:strCache>
                <c:ptCount val="4"/>
                <c:pt idx="0">
                  <c:v>Art museums</c:v>
                </c:pt>
                <c:pt idx="1">
                  <c:v>Other museums &amp; cultural heritage</c:v>
                </c:pt>
                <c:pt idx="2">
                  <c:v>Libraries</c:v>
                </c:pt>
                <c:pt idx="3">
                  <c:v>Archives</c:v>
                </c:pt>
              </c:strCache>
            </c:strRef>
          </c:cat>
          <c:val>
            <c:numRef>
              <c:f>QLD!$C$40:$C$43</c:f>
              <c:numCache>
                <c:formatCode>#,##0.0</c:formatCode>
                <c:ptCount val="4"/>
                <c:pt idx="0">
                  <c:v>59.673000000000002</c:v>
                </c:pt>
                <c:pt idx="1">
                  <c:v>75.691999999999993</c:v>
                </c:pt>
                <c:pt idx="2">
                  <c:v>90.835999999999999</c:v>
                </c:pt>
                <c:pt idx="3">
                  <c:v>15.106999999999999</c:v>
                </c:pt>
              </c:numCache>
            </c:numRef>
          </c:val>
          <c:extLst>
            <c:ext xmlns:c16="http://schemas.microsoft.com/office/drawing/2014/chart" uri="{C3380CC4-5D6E-409C-BE32-E72D297353CC}">
              <c16:uniqueId val="{00000001-E956-4203-94A1-3F6FAC5D56FA}"/>
            </c:ext>
          </c:extLst>
        </c:ser>
        <c:ser>
          <c:idx val="2"/>
          <c:order val="2"/>
          <c:tx>
            <c:strRef>
              <c:f>QLD!$D$39</c:f>
              <c:strCache>
                <c:ptCount val="1"/>
                <c:pt idx="0">
                  <c:v>2019-20</c:v>
                </c:pt>
              </c:strCache>
            </c:strRef>
          </c:tx>
          <c:spPr>
            <a:solidFill>
              <a:srgbClr val="513AC4"/>
            </a:solidFill>
            <a:ln>
              <a:solidFill>
                <a:srgbClr val="513AC4"/>
              </a:solidFill>
            </a:ln>
            <a:effectLst/>
          </c:spPr>
          <c:invertIfNegative val="0"/>
          <c:cat>
            <c:strRef>
              <c:f>QLD!$A$40:$A$43</c:f>
              <c:strCache>
                <c:ptCount val="4"/>
                <c:pt idx="0">
                  <c:v>Art museums</c:v>
                </c:pt>
                <c:pt idx="1">
                  <c:v>Other museums &amp; cultural heritage</c:v>
                </c:pt>
                <c:pt idx="2">
                  <c:v>Libraries</c:v>
                </c:pt>
                <c:pt idx="3">
                  <c:v>Archives</c:v>
                </c:pt>
              </c:strCache>
            </c:strRef>
          </c:cat>
          <c:val>
            <c:numRef>
              <c:f>QLD!$D$40:$D$43</c:f>
              <c:numCache>
                <c:formatCode>#,##0.0</c:formatCode>
                <c:ptCount val="4"/>
                <c:pt idx="0">
                  <c:v>65.596999999999994</c:v>
                </c:pt>
                <c:pt idx="1">
                  <c:v>80.477000000000004</c:v>
                </c:pt>
                <c:pt idx="2">
                  <c:v>88.516000000000005</c:v>
                </c:pt>
                <c:pt idx="3">
                  <c:v>18.550999999999998</c:v>
                </c:pt>
              </c:numCache>
            </c:numRef>
          </c:val>
          <c:extLst>
            <c:ext xmlns:c16="http://schemas.microsoft.com/office/drawing/2014/chart" uri="{C3380CC4-5D6E-409C-BE32-E72D297353CC}">
              <c16:uniqueId val="{00000002-E956-4203-94A1-3F6FAC5D56FA}"/>
            </c:ext>
          </c:extLst>
        </c:ser>
        <c:dLbls>
          <c:showLegendKey val="0"/>
          <c:showVal val="0"/>
          <c:showCatName val="0"/>
          <c:showSerName val="0"/>
          <c:showPercent val="0"/>
          <c:showBubbleSize val="0"/>
        </c:dLbls>
        <c:gapWidth val="100"/>
        <c:overlap val="-10"/>
        <c:axId val="233174528"/>
        <c:axId val="233176064"/>
      </c:barChart>
      <c:catAx>
        <c:axId val="233174528"/>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3176064"/>
        <c:crosses val="autoZero"/>
        <c:auto val="1"/>
        <c:lblAlgn val="ctr"/>
        <c:lblOffset val="100"/>
        <c:noMultiLvlLbl val="0"/>
      </c:catAx>
      <c:valAx>
        <c:axId val="233176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3174528"/>
        <c:crosses val="autoZero"/>
        <c:crossBetween val="between"/>
      </c:valAx>
      <c:spPr>
        <a:noFill/>
        <a:ln>
          <a:noFill/>
        </a:ln>
        <a:effectLst/>
      </c:spPr>
    </c:plotArea>
    <c:legend>
      <c:legendPos val="tr"/>
      <c:layout>
        <c:manualLayout>
          <c:xMode val="edge"/>
          <c:yMode val="edge"/>
          <c:x val="0.82819477195305169"/>
          <c:y val="0.21381962671332749"/>
          <c:w val="0.12888451443569557"/>
          <c:h val="0.1707987022455526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804133760936596E-2"/>
          <c:y val="0.10801062711197798"/>
          <c:w val="0.92060062315153779"/>
          <c:h val="0.6877669143425138"/>
        </c:manualLayout>
      </c:layout>
      <c:barChart>
        <c:barDir val="col"/>
        <c:grouping val="clustered"/>
        <c:varyColors val="0"/>
        <c:ser>
          <c:idx val="0"/>
          <c:order val="0"/>
          <c:tx>
            <c:strRef>
              <c:f>QLD!$B$49</c:f>
              <c:strCache>
                <c:ptCount val="1"/>
                <c:pt idx="0">
                  <c:v>2016-17</c:v>
                </c:pt>
              </c:strCache>
            </c:strRef>
          </c:tx>
          <c:spPr>
            <a:solidFill>
              <a:srgbClr val="646464"/>
            </a:solidFill>
            <a:ln>
              <a:solidFill>
                <a:srgbClr val="646464"/>
              </a:solidFill>
            </a:ln>
            <a:effectLst/>
          </c:spPr>
          <c:invertIfNegative val="0"/>
          <c:cat>
            <c:strRef>
              <c:f>QLD!$A$50:$A$56</c:f>
              <c:strCache>
                <c:ptCount val="7"/>
                <c:pt idx="0">
                  <c:v>Music </c:v>
                </c:pt>
                <c:pt idx="1">
                  <c:v>Theatre</c:v>
                </c:pt>
                <c:pt idx="2">
                  <c:v>Performing arts venues</c:v>
                </c:pt>
                <c:pt idx="3">
                  <c:v>Film &amp; video production &amp; distribution</c:v>
                </c:pt>
                <c:pt idx="4">
                  <c:v>Arts education</c:v>
                </c:pt>
                <c:pt idx="5">
                  <c:v>Multi-arts festivals</c:v>
                </c:pt>
                <c:pt idx="6">
                  <c:v>Arts administration</c:v>
                </c:pt>
              </c:strCache>
            </c:strRef>
          </c:cat>
          <c:val>
            <c:numRef>
              <c:f>QLD!$B$50:$B$56</c:f>
              <c:numCache>
                <c:formatCode>#,##0.0</c:formatCode>
                <c:ptCount val="7"/>
                <c:pt idx="0">
                  <c:v>10.055</c:v>
                </c:pt>
                <c:pt idx="1">
                  <c:v>6.173</c:v>
                </c:pt>
                <c:pt idx="2">
                  <c:v>35.627000000000002</c:v>
                </c:pt>
                <c:pt idx="3">
                  <c:v>19.969000000000001</c:v>
                </c:pt>
                <c:pt idx="4">
                  <c:v>38.555</c:v>
                </c:pt>
                <c:pt idx="5">
                  <c:v>5.9340000000000002</c:v>
                </c:pt>
                <c:pt idx="6">
                  <c:v>8.9309999999999992</c:v>
                </c:pt>
              </c:numCache>
            </c:numRef>
          </c:val>
          <c:extLst>
            <c:ext xmlns:c16="http://schemas.microsoft.com/office/drawing/2014/chart" uri="{C3380CC4-5D6E-409C-BE32-E72D297353CC}">
              <c16:uniqueId val="{00000000-0491-4D7C-8A97-1FFDFCF8AC93}"/>
            </c:ext>
          </c:extLst>
        </c:ser>
        <c:ser>
          <c:idx val="1"/>
          <c:order val="1"/>
          <c:tx>
            <c:strRef>
              <c:f>QLD!$C$49</c:f>
              <c:strCache>
                <c:ptCount val="1"/>
                <c:pt idx="0">
                  <c:v>2017-18</c:v>
                </c:pt>
              </c:strCache>
            </c:strRef>
          </c:tx>
          <c:spPr>
            <a:solidFill>
              <a:srgbClr val="0F293A"/>
            </a:solidFill>
            <a:ln>
              <a:solidFill>
                <a:srgbClr val="0F293A"/>
              </a:solidFill>
            </a:ln>
            <a:effectLst/>
          </c:spPr>
          <c:invertIfNegative val="0"/>
          <c:cat>
            <c:strRef>
              <c:f>QLD!$A$50:$A$56</c:f>
              <c:strCache>
                <c:ptCount val="7"/>
                <c:pt idx="0">
                  <c:v>Music </c:v>
                </c:pt>
                <c:pt idx="1">
                  <c:v>Theatre</c:v>
                </c:pt>
                <c:pt idx="2">
                  <c:v>Performing arts venues</c:v>
                </c:pt>
                <c:pt idx="3">
                  <c:v>Film &amp; video production &amp; distribution</c:v>
                </c:pt>
                <c:pt idx="4">
                  <c:v>Arts education</c:v>
                </c:pt>
                <c:pt idx="5">
                  <c:v>Multi-arts festivals</c:v>
                </c:pt>
                <c:pt idx="6">
                  <c:v>Arts administration</c:v>
                </c:pt>
              </c:strCache>
            </c:strRef>
          </c:cat>
          <c:val>
            <c:numRef>
              <c:f>QLD!$C$50:$C$56</c:f>
              <c:numCache>
                <c:formatCode>#,##0.0</c:formatCode>
                <c:ptCount val="7"/>
                <c:pt idx="0">
                  <c:v>11.877000000000001</c:v>
                </c:pt>
                <c:pt idx="1">
                  <c:v>6.4580000000000002</c:v>
                </c:pt>
                <c:pt idx="2">
                  <c:v>47.308</c:v>
                </c:pt>
                <c:pt idx="3">
                  <c:v>19.393999999999998</c:v>
                </c:pt>
                <c:pt idx="4">
                  <c:v>35.235999999999997</c:v>
                </c:pt>
                <c:pt idx="5">
                  <c:v>8.5670000000000002</c:v>
                </c:pt>
                <c:pt idx="6">
                  <c:v>9.3580000000000005</c:v>
                </c:pt>
              </c:numCache>
            </c:numRef>
          </c:val>
          <c:extLst>
            <c:ext xmlns:c16="http://schemas.microsoft.com/office/drawing/2014/chart" uri="{C3380CC4-5D6E-409C-BE32-E72D297353CC}">
              <c16:uniqueId val="{00000001-0491-4D7C-8A97-1FFDFCF8AC93}"/>
            </c:ext>
          </c:extLst>
        </c:ser>
        <c:ser>
          <c:idx val="2"/>
          <c:order val="2"/>
          <c:tx>
            <c:strRef>
              <c:f>QLD!$D$49</c:f>
              <c:strCache>
                <c:ptCount val="1"/>
                <c:pt idx="0">
                  <c:v>2019-20</c:v>
                </c:pt>
              </c:strCache>
            </c:strRef>
          </c:tx>
          <c:spPr>
            <a:solidFill>
              <a:srgbClr val="513AC4"/>
            </a:solidFill>
            <a:ln>
              <a:solidFill>
                <a:srgbClr val="513AC4"/>
              </a:solidFill>
            </a:ln>
            <a:effectLst/>
          </c:spPr>
          <c:invertIfNegative val="0"/>
          <c:cat>
            <c:strRef>
              <c:f>QLD!$A$50:$A$56</c:f>
              <c:strCache>
                <c:ptCount val="7"/>
                <c:pt idx="0">
                  <c:v>Music </c:v>
                </c:pt>
                <c:pt idx="1">
                  <c:v>Theatre</c:v>
                </c:pt>
                <c:pt idx="2">
                  <c:v>Performing arts venues</c:v>
                </c:pt>
                <c:pt idx="3">
                  <c:v>Film &amp; video production &amp; distribution</c:v>
                </c:pt>
                <c:pt idx="4">
                  <c:v>Arts education</c:v>
                </c:pt>
                <c:pt idx="5">
                  <c:v>Multi-arts festivals</c:v>
                </c:pt>
                <c:pt idx="6">
                  <c:v>Arts administration</c:v>
                </c:pt>
              </c:strCache>
            </c:strRef>
          </c:cat>
          <c:val>
            <c:numRef>
              <c:f>QLD!$D$50:$D$56</c:f>
              <c:numCache>
                <c:formatCode>#,##0.0</c:formatCode>
                <c:ptCount val="7"/>
                <c:pt idx="0">
                  <c:v>8.4979999999999993</c:v>
                </c:pt>
                <c:pt idx="1">
                  <c:v>6.6980000000000004</c:v>
                </c:pt>
                <c:pt idx="2">
                  <c:v>74.167000000000002</c:v>
                </c:pt>
                <c:pt idx="3">
                  <c:v>19.283000000000001</c:v>
                </c:pt>
                <c:pt idx="4">
                  <c:v>41.481999999999999</c:v>
                </c:pt>
                <c:pt idx="5">
                  <c:v>8.3819999999999997</c:v>
                </c:pt>
                <c:pt idx="6">
                  <c:v>8.5129999999999999</c:v>
                </c:pt>
              </c:numCache>
            </c:numRef>
          </c:val>
          <c:extLst>
            <c:ext xmlns:c16="http://schemas.microsoft.com/office/drawing/2014/chart" uri="{C3380CC4-5D6E-409C-BE32-E72D297353CC}">
              <c16:uniqueId val="{00000002-0491-4D7C-8A97-1FFDFCF8AC93}"/>
            </c:ext>
          </c:extLst>
        </c:ser>
        <c:dLbls>
          <c:showLegendKey val="0"/>
          <c:showVal val="0"/>
          <c:showCatName val="0"/>
          <c:showSerName val="0"/>
          <c:showPercent val="0"/>
          <c:showBubbleSize val="0"/>
        </c:dLbls>
        <c:gapWidth val="100"/>
        <c:overlap val="-10"/>
        <c:axId val="232569472"/>
        <c:axId val="232571264"/>
      </c:barChart>
      <c:catAx>
        <c:axId val="232569472"/>
        <c:scaling>
          <c:orientation val="minMax"/>
        </c:scaling>
        <c:delete val="0"/>
        <c:axPos val="b"/>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571264"/>
        <c:crosses val="autoZero"/>
        <c:auto val="1"/>
        <c:lblAlgn val="ctr"/>
        <c:lblOffset val="100"/>
        <c:noMultiLvlLbl val="0"/>
      </c:catAx>
      <c:valAx>
        <c:axId val="23257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t" anchorCtr="0"/>
              <a:lstStyle/>
              <a:p>
                <a:pPr>
                  <a:defRPr sz="800" b="0" i="0" u="none" strike="noStrike" kern="1200" baseline="0">
                    <a:solidFill>
                      <a:schemeClr val="tx1"/>
                    </a:solidFill>
                    <a:latin typeface="+mn-lt"/>
                    <a:ea typeface="+mn-ea"/>
                    <a:cs typeface="+mn-cs"/>
                  </a:defRPr>
                </a:pPr>
                <a:r>
                  <a:rPr lang="en-AU"/>
                  <a:t>$m</a:t>
                </a:r>
              </a:p>
            </c:rich>
          </c:tx>
          <c:layout>
            <c:manualLayout>
              <c:xMode val="edge"/>
              <c:yMode val="edge"/>
              <c:x val="1.1915397301565945E-2"/>
              <c:y val="1.271981627296586E-2"/>
            </c:manualLayout>
          </c:layout>
          <c:overlay val="0"/>
          <c:spPr>
            <a:noFill/>
            <a:ln>
              <a:noFill/>
            </a:ln>
            <a:effectLst/>
          </c:spPr>
          <c:txPr>
            <a:bodyPr rot="0" spcFirstLastPara="1" vertOverflow="ellipsis" wrap="square" anchor="t" anchorCtr="0"/>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569472"/>
        <c:crosses val="autoZero"/>
        <c:crossBetween val="between"/>
        <c:majorUnit val="20"/>
      </c:valAx>
      <c:spPr>
        <a:noFill/>
        <a:ln>
          <a:noFill/>
        </a:ln>
        <a:effectLst/>
      </c:spPr>
    </c:plotArea>
    <c:legend>
      <c:legendPos val="tr"/>
      <c:layout>
        <c:manualLayout>
          <c:xMode val="edge"/>
          <c:yMode val="edge"/>
          <c:x val="0.82819474773111568"/>
          <c:y val="0.15766330735375636"/>
          <c:w val="0.13180835184994599"/>
          <c:h val="0.1867729002068125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782052104181368"/>
          <c:y val="6.663697674082962E-2"/>
          <c:w val="0.66030422793807442"/>
          <c:h val="0.83629278048496247"/>
        </c:manualLayout>
      </c:layout>
      <c:barChart>
        <c:barDir val="bar"/>
        <c:grouping val="clustered"/>
        <c:varyColors val="0"/>
        <c:ser>
          <c:idx val="0"/>
          <c:order val="0"/>
          <c:tx>
            <c:strRef>
              <c:f>QLD!$B$61</c:f>
              <c:strCache>
                <c:ptCount val="1"/>
                <c:pt idx="0">
                  <c:v>2019-20</c:v>
                </c:pt>
              </c:strCache>
            </c:strRef>
          </c:tx>
          <c:spPr>
            <a:solidFill>
              <a:srgbClr val="513AC4"/>
            </a:solidFill>
            <a:ln>
              <a:solidFill>
                <a:srgbClr val="513AC4"/>
              </a:solidFill>
            </a:ln>
            <a:effectLst/>
          </c:spPr>
          <c:invertIfNegative val="0"/>
          <c:cat>
            <c:strRef>
              <c:f>QLD!$A$62:$A$70</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QLD!$B$62:$B$70</c:f>
              <c:numCache>
                <c:formatCode>0.0</c:formatCode>
                <c:ptCount val="9"/>
                <c:pt idx="0">
                  <c:v>8.5129999999999999</c:v>
                </c:pt>
                <c:pt idx="1">
                  <c:v>41.481999999999999</c:v>
                </c:pt>
                <c:pt idx="2">
                  <c:v>19.283000000000001</c:v>
                </c:pt>
                <c:pt idx="3" formatCode="#,##0.0">
                  <c:v>43.162999999999997</c:v>
                </c:pt>
                <c:pt idx="4" formatCode="#,##0.0">
                  <c:v>8.4979999999999993</c:v>
                </c:pt>
                <c:pt idx="5">
                  <c:v>18.245999999999999</c:v>
                </c:pt>
                <c:pt idx="6">
                  <c:v>79.528999999999996</c:v>
                </c:pt>
                <c:pt idx="7">
                  <c:v>53.636000000000003</c:v>
                </c:pt>
                <c:pt idx="8">
                  <c:v>56.52</c:v>
                </c:pt>
              </c:numCache>
            </c:numRef>
          </c:val>
          <c:extLst>
            <c:ext xmlns:c16="http://schemas.microsoft.com/office/drawing/2014/chart" uri="{C3380CC4-5D6E-409C-BE32-E72D297353CC}">
              <c16:uniqueId val="{00000000-5587-40F7-A19B-60F67B061562}"/>
            </c:ext>
          </c:extLst>
        </c:ser>
        <c:ser>
          <c:idx val="1"/>
          <c:order val="1"/>
          <c:tx>
            <c:strRef>
              <c:f>QLD!$C$61</c:f>
              <c:strCache>
                <c:ptCount val="1"/>
                <c:pt idx="0">
                  <c:v>2017-18</c:v>
                </c:pt>
              </c:strCache>
            </c:strRef>
          </c:tx>
          <c:spPr>
            <a:solidFill>
              <a:srgbClr val="0F293A"/>
            </a:solidFill>
            <a:ln>
              <a:solidFill>
                <a:srgbClr val="0F293A"/>
              </a:solidFill>
            </a:ln>
            <a:effectLst/>
          </c:spPr>
          <c:invertIfNegative val="0"/>
          <c:cat>
            <c:strRef>
              <c:f>QLD!$A$62:$A$70</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QLD!$C$62:$C$70</c:f>
              <c:numCache>
                <c:formatCode>0.0</c:formatCode>
                <c:ptCount val="9"/>
                <c:pt idx="0">
                  <c:v>9.16</c:v>
                </c:pt>
                <c:pt idx="1">
                  <c:v>35.235999999999997</c:v>
                </c:pt>
                <c:pt idx="2">
                  <c:v>19.352</c:v>
                </c:pt>
                <c:pt idx="3" formatCode="#,##0.0">
                  <c:v>32.917000000000002</c:v>
                </c:pt>
                <c:pt idx="4" formatCode="#,##0.0">
                  <c:v>11.842000000000001</c:v>
                </c:pt>
                <c:pt idx="5">
                  <c:v>15.047000000000001</c:v>
                </c:pt>
                <c:pt idx="6">
                  <c:v>84.796999999999997</c:v>
                </c:pt>
                <c:pt idx="7">
                  <c:v>56.985999999999997</c:v>
                </c:pt>
                <c:pt idx="8">
                  <c:v>55.332999999999998</c:v>
                </c:pt>
              </c:numCache>
            </c:numRef>
          </c:val>
          <c:extLst>
            <c:ext xmlns:c16="http://schemas.microsoft.com/office/drawing/2014/chart" uri="{C3380CC4-5D6E-409C-BE32-E72D297353CC}">
              <c16:uniqueId val="{00000001-5587-40F7-A19B-60F67B061562}"/>
            </c:ext>
          </c:extLst>
        </c:ser>
        <c:ser>
          <c:idx val="2"/>
          <c:order val="2"/>
          <c:tx>
            <c:strRef>
              <c:f>QLD!$D$61</c:f>
              <c:strCache>
                <c:ptCount val="1"/>
                <c:pt idx="0">
                  <c:v>2016-17</c:v>
                </c:pt>
              </c:strCache>
            </c:strRef>
          </c:tx>
          <c:spPr>
            <a:solidFill>
              <a:srgbClr val="646464"/>
            </a:solidFill>
            <a:ln>
              <a:solidFill>
                <a:srgbClr val="646464"/>
              </a:solidFill>
            </a:ln>
            <a:effectLst/>
          </c:spPr>
          <c:invertIfNegative val="0"/>
          <c:cat>
            <c:strRef>
              <c:f>QLD!$A$62:$A$70</c:f>
              <c:strCache>
                <c:ptCount val="9"/>
                <c:pt idx="0">
                  <c:v>Arts administration</c:v>
                </c:pt>
                <c:pt idx="1">
                  <c:v>Arts education</c:v>
                </c:pt>
                <c:pt idx="2">
                  <c:v>Film &amp; video production &amp; distribution</c:v>
                </c:pt>
                <c:pt idx="3">
                  <c:v>Performing arts venues</c:v>
                </c:pt>
                <c:pt idx="4">
                  <c:v>Music </c:v>
                </c:pt>
                <c:pt idx="5">
                  <c:v>Archives</c:v>
                </c:pt>
                <c:pt idx="6">
                  <c:v>Libraries</c:v>
                </c:pt>
                <c:pt idx="7">
                  <c:v>Other museums &amp; cultural heritage</c:v>
                </c:pt>
                <c:pt idx="8">
                  <c:v>Art museums</c:v>
                </c:pt>
              </c:strCache>
            </c:strRef>
          </c:cat>
          <c:val>
            <c:numRef>
              <c:f>QLD!$D$62:$D$70</c:f>
              <c:numCache>
                <c:formatCode>0.0</c:formatCode>
                <c:ptCount val="9"/>
                <c:pt idx="0">
                  <c:v>8.9309999999999992</c:v>
                </c:pt>
                <c:pt idx="1">
                  <c:v>38.39</c:v>
                </c:pt>
                <c:pt idx="2">
                  <c:v>19.951000000000001</c:v>
                </c:pt>
                <c:pt idx="3" formatCode="#,##0.0">
                  <c:v>30.768000000000001</c:v>
                </c:pt>
                <c:pt idx="4" formatCode="#,##0.0">
                  <c:v>9.8550000000000004</c:v>
                </c:pt>
                <c:pt idx="5">
                  <c:v>17.306999999999999</c:v>
                </c:pt>
                <c:pt idx="6">
                  <c:v>70.626000000000005</c:v>
                </c:pt>
                <c:pt idx="7">
                  <c:v>53.512999999999998</c:v>
                </c:pt>
                <c:pt idx="8">
                  <c:v>44.91</c:v>
                </c:pt>
              </c:numCache>
            </c:numRef>
          </c:val>
          <c:extLst>
            <c:ext xmlns:c16="http://schemas.microsoft.com/office/drawing/2014/chart" uri="{C3380CC4-5D6E-409C-BE32-E72D297353CC}">
              <c16:uniqueId val="{00000002-5587-40F7-A19B-60F67B061562}"/>
            </c:ext>
          </c:extLst>
        </c:ser>
        <c:dLbls>
          <c:showLegendKey val="0"/>
          <c:showVal val="0"/>
          <c:showCatName val="0"/>
          <c:showSerName val="0"/>
          <c:showPercent val="0"/>
          <c:showBubbleSize val="0"/>
        </c:dLbls>
        <c:gapWidth val="182"/>
        <c:axId val="232960000"/>
        <c:axId val="232961536"/>
      </c:barChart>
      <c:catAx>
        <c:axId val="232960000"/>
        <c:scaling>
          <c:orientation val="minMax"/>
        </c:scaling>
        <c:delete val="0"/>
        <c:axPos val="l"/>
        <c:numFmt formatCode="General" sourceLinked="1"/>
        <c:majorTickMark val="none"/>
        <c:minorTickMark val="none"/>
        <c:tickLblPos val="nextTo"/>
        <c:spPr>
          <a:noFill/>
          <a:ln w="9525" cap="flat" cmpd="sng" algn="ctr">
            <a:solidFill>
              <a:srgbClr val="646464"/>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961536"/>
        <c:crosses val="autoZero"/>
        <c:auto val="1"/>
        <c:lblAlgn val="ctr"/>
        <c:lblOffset val="100"/>
        <c:noMultiLvlLbl val="0"/>
      </c:catAx>
      <c:valAx>
        <c:axId val="232961536"/>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en-AU" sz="800">
                    <a:latin typeface="+mn-lt"/>
                  </a:rPr>
                  <a:t>$m</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title>
        <c:numFmt formatCode="0" sourceLinked="0"/>
        <c:majorTickMark val="none"/>
        <c:minorTickMark val="none"/>
        <c:tickLblPos val="nextTo"/>
        <c:spPr>
          <a:noFill/>
          <a:ln>
            <a:solidFill>
              <a:srgbClr val="646464"/>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232960000"/>
        <c:crosses val="autoZero"/>
        <c:crossBetween val="between"/>
        <c:majorUnit val="20"/>
      </c:valAx>
      <c:spPr>
        <a:noFill/>
        <a:ln>
          <a:noFill/>
        </a:ln>
        <a:effectLst/>
      </c:spPr>
    </c:plotArea>
    <c:legend>
      <c:legendPos val="r"/>
      <c:layout>
        <c:manualLayout>
          <c:xMode val="edge"/>
          <c:yMode val="edge"/>
          <c:x val="0.84045043555153554"/>
          <c:y val="0.36787261372375585"/>
          <c:w val="0.10557127690485461"/>
          <c:h val="0.199902079209346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8DFF0E8D596C459BF6924D447E3E9E" ma:contentTypeVersion="0" ma:contentTypeDescription="Create a new document." ma:contentTypeScope="" ma:versionID="bb3dd3da83ee067048d483c7eaa6ef8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41CC56-E6C3-4D29-BCD7-A348BAABA5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6A7B9E-5BD0-4F63-8F8D-1187124C6A1D}">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20A2B9D1-2290-4650-873B-98861879E17E}">
  <ds:schemaRefs>
    <ds:schemaRef ds:uri="http://schemas.openxmlformats.org/officeDocument/2006/bibliography"/>
  </ds:schemaRefs>
</ds:datastoreItem>
</file>

<file path=customXml/itemProps4.xml><?xml version="1.0" encoding="utf-8"?>
<ds:datastoreItem xmlns:ds="http://schemas.openxmlformats.org/officeDocument/2006/customXml" ds:itemID="{F32A4504-C9CB-453C-8761-1105EED3AE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Pages>
  <Words>327</Words>
  <Characters>1866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Cultural Funding by Government — 2017–18 — Queensland Government</vt:lpstr>
    </vt:vector>
  </TitlesOfParts>
  <Company>Department of Communications and the Arts</Company>
  <LinksUpToDate>false</LinksUpToDate>
  <CharactersWithSpaces>2189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Funding by Government — 2017–18 — Queensland Government</dc:title>
  <dc:subject/>
  <dc:creator>Department of Communications and the Arts</dc:creator>
  <cp:keywords/>
  <dc:description>22 November 2018</dc:description>
  <cp:lastModifiedBy>Tammie Butterick</cp:lastModifiedBy>
  <cp:revision>15</cp:revision>
  <cp:lastPrinted>2021-06-02T01:34:00Z</cp:lastPrinted>
  <dcterms:created xsi:type="dcterms:W3CDTF">2021-06-11T06:27:00Z</dcterms:created>
  <dcterms:modified xsi:type="dcterms:W3CDTF">2021-07-25T01:19:00Z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0x010100878DFF0E8D596C459BF6924D447E3E9E</vt:lpwstr>
  </property>
  <property fmtid="{D5CDD505-2E9C-101B-9397-08002B2CF9AE}" pid="3" name="TrimRevisionNumber">
    <vt:i4>15</vt:i4>
  </property>
  <property fmtid="{D5CDD505-2E9C-101B-9397-08002B2CF9AE}" pid="4" name="MSIP_Label_c8e5a7ee-c283-40b0-98eb-fa437df4c031_Enabled">
    <vt:lpwstr>true</vt:lpwstr>
  </property>
  <property fmtid="{D5CDD505-2E9C-101B-9397-08002B2CF9AE}" pid="5" name="MSIP_Label_c8e5a7ee-c283-40b0-98eb-fa437df4c031_SetDate">
    <vt:lpwstr>2021-06-10T05:46:45Z</vt:lpwstr>
  </property>
  <property fmtid="{D5CDD505-2E9C-101B-9397-08002B2CF9AE}" pid="6" name="MSIP_Label_c8e5a7ee-c283-40b0-98eb-fa437df4c031_Method">
    <vt:lpwstr>Privileged</vt:lpwstr>
  </property>
  <property fmtid="{D5CDD505-2E9C-101B-9397-08002B2CF9AE}" pid="7" name="MSIP_Label_c8e5a7ee-c283-40b0-98eb-fa437df4c031_Name">
    <vt:lpwstr>OFFICIAL</vt:lpwstr>
  </property>
  <property fmtid="{D5CDD505-2E9C-101B-9397-08002B2CF9AE}" pid="8" name="MSIP_Label_c8e5a7ee-c283-40b0-98eb-fa437df4c031_SiteId">
    <vt:lpwstr>34cdb737-c4fa-4c21-9a34-88ac2d721f88</vt:lpwstr>
  </property>
  <property fmtid="{D5CDD505-2E9C-101B-9397-08002B2CF9AE}" pid="9" name="MSIP_Label_c8e5a7ee-c283-40b0-98eb-fa437df4c031_ActionId">
    <vt:lpwstr>c8757875-292f-404c-9d65-caf3af1eeae0</vt:lpwstr>
  </property>
  <property fmtid="{D5CDD505-2E9C-101B-9397-08002B2CF9AE}" pid="10" name="MSIP_Label_c8e5a7ee-c283-40b0-98eb-fa437df4c031_ContentBits">
    <vt:lpwstr>0</vt:lpwstr>
  </property>
</Properties>
</file>