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237CF" w14:textId="77777777" w:rsidR="0094124E" w:rsidRDefault="00477982" w:rsidP="0094124E">
      <w:pPr>
        <w:ind w:left="-1418"/>
      </w:pPr>
      <w:r w:rsidRPr="002E718B">
        <w:rPr>
          <w:noProof/>
          <w:lang w:eastAsia="en-AU"/>
        </w:rPr>
        <w:drawing>
          <wp:inline distT="0" distB="0" distL="0" distR="0" wp14:anchorId="6EAF6D53" wp14:editId="5B01FD5D">
            <wp:extent cx="7560000" cy="1397710"/>
            <wp:effectExtent l="0" t="0" r="3175" b="0"/>
            <wp:docPr id="2" name="Picture 2" descr="Header banner: Meeting of Cultural Ministers, Statistics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m-header-banner.png"/>
                    <pic:cNvPicPr/>
                  </pic:nvPicPr>
                  <pic:blipFill rotWithShape="1">
                    <a:blip r:embed="rId11">
                      <a:extLst>
                        <a:ext uri="{28A0092B-C50C-407E-A947-70E740481C1C}">
                          <a14:useLocalDpi xmlns:a14="http://schemas.microsoft.com/office/drawing/2010/main" val="0"/>
                        </a:ext>
                      </a:extLst>
                    </a:blip>
                    <a:srcRect l="1709" t="7699" r="1875" b="1833"/>
                    <a:stretch/>
                  </pic:blipFill>
                  <pic:spPr bwMode="auto">
                    <a:xfrm>
                      <a:off x="0" y="0"/>
                      <a:ext cx="7560000" cy="1397710"/>
                    </a:xfrm>
                    <a:prstGeom prst="rect">
                      <a:avLst/>
                    </a:prstGeom>
                    <a:ln>
                      <a:noFill/>
                    </a:ln>
                    <a:extLst>
                      <a:ext uri="{53640926-AAD7-44D8-BBD7-CCE9431645EC}">
                        <a14:shadowObscured xmlns:a14="http://schemas.microsoft.com/office/drawing/2010/main"/>
                      </a:ext>
                    </a:extLst>
                  </pic:spPr>
                </pic:pic>
              </a:graphicData>
            </a:graphic>
          </wp:inline>
        </w:drawing>
      </w:r>
    </w:p>
    <w:p w14:paraId="2AD3B10E" w14:textId="77777777" w:rsidR="00FC16F3" w:rsidRDefault="00FC16F3" w:rsidP="0094124E">
      <w:pPr>
        <w:ind w:left="-1418"/>
        <w:sectPr w:rsidR="00FC16F3" w:rsidSect="004779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1440" w:bottom="1440" w:left="1440" w:header="0" w:footer="0" w:gutter="0"/>
          <w:cols w:space="708"/>
          <w:titlePg/>
          <w:docGrid w:linePitch="360"/>
        </w:sectPr>
      </w:pPr>
    </w:p>
    <w:p w14:paraId="163C2A0C" w14:textId="22974EDE" w:rsidR="002117E6" w:rsidRDefault="001D64AC" w:rsidP="00477982">
      <w:pPr>
        <w:pStyle w:val="Heading1"/>
      </w:pPr>
      <w:r>
        <w:t>Cultural Funding by Government—</w:t>
      </w:r>
      <w:r w:rsidR="003E78EF">
        <w:t>2019–20</w:t>
      </w:r>
    </w:p>
    <w:p w14:paraId="09B6B8D0" w14:textId="77777777" w:rsidR="00FD4971" w:rsidRDefault="00FD4971" w:rsidP="00FD4971">
      <w:pPr>
        <w:pStyle w:val="Heading2"/>
      </w:pPr>
      <w:r>
        <w:rPr>
          <w:szCs w:val="36"/>
        </w:rPr>
        <w:t>Northern</w:t>
      </w:r>
      <w:r w:rsidRPr="00527D9C">
        <w:rPr>
          <w:szCs w:val="36"/>
        </w:rPr>
        <w:t xml:space="preserve"> Territory Government</w:t>
      </w:r>
    </w:p>
    <w:p w14:paraId="41DCCA12" w14:textId="77777777" w:rsidR="00FD4971" w:rsidRPr="00DA4C4F" w:rsidRDefault="00FD4971" w:rsidP="00FD4971">
      <w:r w:rsidRPr="00DA4C4F">
        <w:t xml:space="preserve">The estimate of expenditure funded by the Northern Territory Government in 2019–20 for cultural activities was </w:t>
      </w:r>
      <w:r w:rsidRPr="00DA4C4F">
        <w:rPr>
          <w:b/>
        </w:rPr>
        <w:t>$76.0m</w:t>
      </w:r>
      <w:r w:rsidRPr="00DA4C4F">
        <w:t>. This represented an increase of 2% or $1.8m from 2017–18</w:t>
      </w:r>
      <w:r w:rsidRPr="00DA4C4F">
        <w:rPr>
          <w:rStyle w:val="FootnoteReference"/>
        </w:rPr>
        <w:footnoteReference w:id="1"/>
      </w:r>
      <w:r w:rsidRPr="00DA4C4F">
        <w:t>.</w:t>
      </w:r>
    </w:p>
    <w:p w14:paraId="4E40EB75" w14:textId="77777777" w:rsidR="00FD4971" w:rsidRDefault="00FD4971" w:rsidP="00FD4971">
      <w:pPr>
        <w:pStyle w:val="Tablefigureheading"/>
      </w:pPr>
      <w:r>
        <w:t>Table. 1 Northern Territory Government cultural expenditure, 2016 –17 to 2019 –20</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Northern Territory Government cultural expenditure, 2015–16 to 2017–18."/>
      </w:tblPr>
      <w:tblGrid>
        <w:gridCol w:w="1276"/>
        <w:gridCol w:w="1985"/>
        <w:gridCol w:w="1984"/>
      </w:tblGrid>
      <w:tr w:rsidR="00FD4971" w14:paraId="355F2380" w14:textId="77777777" w:rsidTr="008131D6">
        <w:trPr>
          <w:cantSplit/>
          <w:tblHeader/>
        </w:trPr>
        <w:tc>
          <w:tcPr>
            <w:tcW w:w="1276" w:type="dxa"/>
            <w:tcBorders>
              <w:top w:val="nil"/>
              <w:left w:val="nil"/>
              <w:bottom w:val="thickThinLargeGap" w:sz="24" w:space="0" w:color="auto"/>
              <w:right w:val="nil"/>
            </w:tcBorders>
            <w:shd w:val="clear" w:color="auto" w:fill="C3AFF7"/>
          </w:tcPr>
          <w:p w14:paraId="2B95B5F5" w14:textId="77777777" w:rsidR="00FD4971" w:rsidRDefault="00FD4971" w:rsidP="008131D6">
            <w:pPr>
              <w:pStyle w:val="Tablerowcolumnheading"/>
            </w:pPr>
            <w:r>
              <w:t>2016–17</w:t>
            </w:r>
          </w:p>
        </w:tc>
        <w:tc>
          <w:tcPr>
            <w:tcW w:w="1985" w:type="dxa"/>
            <w:tcBorders>
              <w:top w:val="nil"/>
              <w:left w:val="nil"/>
              <w:bottom w:val="thickThinLargeGap" w:sz="24" w:space="0" w:color="auto"/>
              <w:right w:val="nil"/>
            </w:tcBorders>
            <w:shd w:val="clear" w:color="auto" w:fill="C3AFF7"/>
          </w:tcPr>
          <w:p w14:paraId="2972324D" w14:textId="77777777" w:rsidR="00FD4971" w:rsidRDefault="00FD4971" w:rsidP="008131D6">
            <w:pPr>
              <w:pStyle w:val="Tablerowcolumnheadingcentred"/>
            </w:pPr>
            <w:r>
              <w:t>2017–18</w:t>
            </w:r>
          </w:p>
        </w:tc>
        <w:tc>
          <w:tcPr>
            <w:tcW w:w="1984" w:type="dxa"/>
            <w:tcBorders>
              <w:top w:val="nil"/>
              <w:left w:val="nil"/>
              <w:bottom w:val="thickThinLargeGap" w:sz="24" w:space="0" w:color="auto"/>
              <w:right w:val="nil"/>
            </w:tcBorders>
            <w:shd w:val="clear" w:color="auto" w:fill="C3AFF7"/>
          </w:tcPr>
          <w:p w14:paraId="1D007397" w14:textId="77777777" w:rsidR="00FD4971" w:rsidRDefault="00FD4971" w:rsidP="008131D6">
            <w:pPr>
              <w:pStyle w:val="Tablerowcolumnheadingcentred"/>
            </w:pPr>
            <w:r>
              <w:t>2019–20</w:t>
            </w:r>
          </w:p>
        </w:tc>
      </w:tr>
      <w:tr w:rsidR="00FD4971" w14:paraId="56948563" w14:textId="77777777" w:rsidTr="008131D6">
        <w:trPr>
          <w:cantSplit/>
        </w:trPr>
        <w:tc>
          <w:tcPr>
            <w:tcW w:w="1276" w:type="dxa"/>
            <w:tcBorders>
              <w:top w:val="single" w:sz="4" w:space="0" w:color="auto"/>
              <w:left w:val="nil"/>
              <w:bottom w:val="single" w:sz="12" w:space="0" w:color="auto"/>
              <w:right w:val="nil"/>
            </w:tcBorders>
          </w:tcPr>
          <w:p w14:paraId="1DE1AF75" w14:textId="77777777" w:rsidR="00FD4971" w:rsidRPr="00303AC1" w:rsidRDefault="00FD4971" w:rsidP="008131D6">
            <w:pPr>
              <w:pStyle w:val="Tabletext"/>
            </w:pPr>
            <w:r w:rsidRPr="00303AC1">
              <w:t>$</w:t>
            </w:r>
            <w:r>
              <w:t xml:space="preserve">60.0m </w:t>
            </w:r>
          </w:p>
        </w:tc>
        <w:tc>
          <w:tcPr>
            <w:tcW w:w="1985" w:type="dxa"/>
            <w:tcBorders>
              <w:top w:val="single" w:sz="4" w:space="0" w:color="auto"/>
              <w:left w:val="nil"/>
              <w:bottom w:val="single" w:sz="12" w:space="0" w:color="auto"/>
              <w:right w:val="nil"/>
            </w:tcBorders>
          </w:tcPr>
          <w:p w14:paraId="7614D9B1" w14:textId="77777777" w:rsidR="00FD4971" w:rsidRPr="00303AC1" w:rsidRDefault="00FD4971" w:rsidP="008131D6">
            <w:pPr>
              <w:pStyle w:val="Tabletextcentred"/>
            </w:pPr>
            <w:r w:rsidRPr="00303AC1">
              <w:t>$7</w:t>
            </w:r>
            <w:r>
              <w:t>4.2</w:t>
            </w:r>
            <w:r w:rsidRPr="00303AC1">
              <w:t>m ↑2</w:t>
            </w:r>
            <w:r>
              <w:t>4</w:t>
            </w:r>
            <w:r w:rsidRPr="00303AC1">
              <w:t>%</w:t>
            </w:r>
          </w:p>
        </w:tc>
        <w:tc>
          <w:tcPr>
            <w:tcW w:w="1984" w:type="dxa"/>
            <w:tcBorders>
              <w:top w:val="single" w:sz="4" w:space="0" w:color="auto"/>
              <w:left w:val="nil"/>
              <w:bottom w:val="single" w:sz="12" w:space="0" w:color="auto"/>
              <w:right w:val="nil"/>
            </w:tcBorders>
          </w:tcPr>
          <w:p w14:paraId="18F0525D" w14:textId="77777777" w:rsidR="00FD4971" w:rsidRPr="00303AC1" w:rsidRDefault="00FD4971" w:rsidP="008131D6">
            <w:pPr>
              <w:pStyle w:val="Tabletextcentred"/>
            </w:pPr>
            <w:r w:rsidRPr="00303AC1">
              <w:t>$7</w:t>
            </w:r>
            <w:r>
              <w:t>6.0</w:t>
            </w:r>
            <w:r w:rsidRPr="00303AC1">
              <w:t>m ↑2%</w:t>
            </w:r>
          </w:p>
        </w:tc>
      </w:tr>
    </w:tbl>
    <w:p w14:paraId="1ACE0B5F" w14:textId="77777777" w:rsidR="00FD4971" w:rsidRPr="00DA4C4F" w:rsidRDefault="00FD4971" w:rsidP="00FD4971">
      <w:pPr>
        <w:pStyle w:val="ListParagraph"/>
        <w:numPr>
          <w:ilvl w:val="0"/>
          <w:numId w:val="6"/>
        </w:numPr>
        <w:spacing w:before="240"/>
        <w:ind w:left="567" w:hanging="567"/>
      </w:pPr>
      <w:r w:rsidRPr="00DA4C4F">
        <w:t>Recurrent expenses accounted for 88% ($67.0m) of funded cultural expenditure.</w:t>
      </w:r>
    </w:p>
    <w:p w14:paraId="6D96FE45" w14:textId="77777777" w:rsidR="00FD4971" w:rsidRPr="00DA4C4F" w:rsidRDefault="00FD4971" w:rsidP="00FD4971">
      <w:pPr>
        <w:pStyle w:val="ListParagraph"/>
        <w:numPr>
          <w:ilvl w:val="0"/>
          <w:numId w:val="6"/>
        </w:numPr>
        <w:ind w:left="567" w:hanging="567"/>
      </w:pPr>
      <w:r w:rsidRPr="00DA4C4F">
        <w:t>Capital expenditure was $9.0m, and the largest</w:t>
      </w:r>
      <w:r>
        <w:t xml:space="preserve"> </w:t>
      </w:r>
      <w:r w:rsidRPr="00DA4C4F">
        <w:t>categor</w:t>
      </w:r>
      <w:r>
        <w:t>y</w:t>
      </w:r>
      <w:r w:rsidRPr="00DA4C4F">
        <w:t xml:space="preserve"> w</w:t>
      </w:r>
      <w:r>
        <w:t>as</w:t>
      </w:r>
      <w:r w:rsidRPr="00DA4C4F">
        <w:t xml:space="preserve"> </w:t>
      </w:r>
      <w:r w:rsidRPr="00DA4C4F">
        <w:rPr>
          <w:i/>
        </w:rPr>
        <w:t xml:space="preserve">Art museums </w:t>
      </w:r>
      <w:r w:rsidRPr="00DA4C4F">
        <w:t>($7.2m).</w:t>
      </w:r>
    </w:p>
    <w:p w14:paraId="54A59733" w14:textId="77777777" w:rsidR="00FD4971" w:rsidRPr="00DA4C4F" w:rsidRDefault="00FD4971" w:rsidP="00FD4971">
      <w:pPr>
        <w:pStyle w:val="ListParagraph"/>
        <w:numPr>
          <w:ilvl w:val="0"/>
          <w:numId w:val="6"/>
        </w:numPr>
        <w:ind w:left="567" w:hanging="567"/>
      </w:pPr>
      <w:r w:rsidRPr="00DA4C4F">
        <w:t>The estimate of per person cultural funding was $309.80.</w:t>
      </w:r>
    </w:p>
    <w:p w14:paraId="6FA65C5C" w14:textId="009A755E" w:rsidR="00FD4971" w:rsidRPr="00DA4C4F" w:rsidRDefault="00FD4971" w:rsidP="00FD4971">
      <w:r w:rsidRPr="00DA4C4F">
        <w:t xml:space="preserve">Funds on </w:t>
      </w:r>
      <w:r w:rsidRPr="00DA4C4F">
        <w:rPr>
          <w:i/>
        </w:rPr>
        <w:t>Heritage</w:t>
      </w:r>
      <w:r w:rsidRPr="00DA4C4F">
        <w:t xml:space="preserve"> activities dec</w:t>
      </w:r>
      <w:r w:rsidR="00F64A8C">
        <w:t>reased</w:t>
      </w:r>
      <w:r w:rsidRPr="00DA4C4F">
        <w:t xml:space="preserve"> 11% </w:t>
      </w:r>
      <w:r w:rsidRPr="00F64A8C">
        <w:t>(or $4.</w:t>
      </w:r>
      <w:r w:rsidR="00F64A8C" w:rsidRPr="00F64A8C">
        <w:t>8</w:t>
      </w:r>
      <w:r w:rsidRPr="00F64A8C">
        <w:t xml:space="preserve">m) </w:t>
      </w:r>
      <w:r w:rsidRPr="00DA4C4F">
        <w:t>to $37.1m.</w:t>
      </w:r>
    </w:p>
    <w:p w14:paraId="5C3237A5" w14:textId="315879A4" w:rsidR="00FD4971" w:rsidRPr="00DA4C4F" w:rsidRDefault="00FD4971" w:rsidP="00FD4971">
      <w:r w:rsidRPr="00DA4C4F">
        <w:t>This dec</w:t>
      </w:r>
      <w:r w:rsidR="00F64A8C">
        <w:t>rease</w:t>
      </w:r>
      <w:r w:rsidRPr="00DA4C4F">
        <w:t xml:space="preserve"> was driven by </w:t>
      </w:r>
      <w:r w:rsidR="00915939">
        <w:t xml:space="preserve">lower </w:t>
      </w:r>
      <w:r w:rsidRPr="00DA4C4F">
        <w:t xml:space="preserve">expenditure on </w:t>
      </w:r>
      <w:r w:rsidRPr="00DA4C4F">
        <w:rPr>
          <w:i/>
        </w:rPr>
        <w:t>Art museums</w:t>
      </w:r>
      <w:r w:rsidRPr="00DA4C4F">
        <w:t xml:space="preserve"> (↓$2.9m) and </w:t>
      </w:r>
      <w:r w:rsidRPr="00DA4C4F">
        <w:rPr>
          <w:i/>
        </w:rPr>
        <w:t xml:space="preserve">Other museums and cultural heritage </w:t>
      </w:r>
      <w:r w:rsidRPr="00DA4C4F">
        <w:t>(↓$1.5m).</w:t>
      </w:r>
    </w:p>
    <w:p w14:paraId="0D8DA975" w14:textId="77777777" w:rsidR="00FD4971" w:rsidRPr="00DA4C4F" w:rsidRDefault="00FD4971" w:rsidP="00FD4971">
      <w:r w:rsidRPr="00DA4C4F">
        <w:t xml:space="preserve">The largest categories of </w:t>
      </w:r>
      <w:r w:rsidRPr="00DA4C4F">
        <w:rPr>
          <w:i/>
        </w:rPr>
        <w:t>Heritage</w:t>
      </w:r>
      <w:r w:rsidRPr="00DA4C4F">
        <w:t xml:space="preserve"> expenditure were </w:t>
      </w:r>
      <w:r w:rsidRPr="00DA4C4F">
        <w:rPr>
          <w:i/>
        </w:rPr>
        <w:t xml:space="preserve">Art </w:t>
      </w:r>
      <w:r>
        <w:rPr>
          <w:i/>
        </w:rPr>
        <w:t>m</w:t>
      </w:r>
      <w:r w:rsidRPr="00DA4C4F">
        <w:rPr>
          <w:i/>
        </w:rPr>
        <w:t>useums</w:t>
      </w:r>
      <w:r w:rsidRPr="00DA4C4F">
        <w:t xml:space="preserve"> with $19.7m followed by </w:t>
      </w:r>
      <w:r w:rsidRPr="00DA4C4F">
        <w:rPr>
          <w:i/>
        </w:rPr>
        <w:t>Libraries</w:t>
      </w:r>
      <w:r w:rsidRPr="00DA4C4F">
        <w:t xml:space="preserve"> with $10.5m. Expenditure on </w:t>
      </w:r>
      <w:r w:rsidRPr="00DA4C4F">
        <w:rPr>
          <w:i/>
        </w:rPr>
        <w:t>Art museums</w:t>
      </w:r>
      <w:r w:rsidRPr="00DA4C4F">
        <w:t xml:space="preserve"> was over half (53%) the </w:t>
      </w:r>
      <w:r w:rsidRPr="00DA4C4F">
        <w:rPr>
          <w:i/>
        </w:rPr>
        <w:t>Heritage</w:t>
      </w:r>
      <w:r w:rsidRPr="00DA4C4F">
        <w:t xml:space="preserve"> expenditure by the Northern Territory Government.</w:t>
      </w:r>
    </w:p>
    <w:p w14:paraId="0EAAB24B" w14:textId="77777777" w:rsidR="00FD4971" w:rsidRPr="00303AC1" w:rsidRDefault="00FD4971" w:rsidP="00FD4971">
      <w:pPr>
        <w:pStyle w:val="Tablefigureheading"/>
      </w:pPr>
      <w:bookmarkStart w:id="0" w:name="_Toc524533023"/>
      <w:r w:rsidRPr="00303AC1">
        <w:t xml:space="preserve">Figure 1. </w:t>
      </w:r>
      <w:r>
        <w:t>Northern Territory Government</w:t>
      </w:r>
      <w:r w:rsidRPr="00303AC1">
        <w:t xml:space="preserve"> heritage expenditure</w:t>
      </w:r>
      <w:bookmarkEnd w:id="0"/>
    </w:p>
    <w:p w14:paraId="458690FB" w14:textId="77777777" w:rsidR="00FD4971" w:rsidRDefault="00FD4971" w:rsidP="00FD4971">
      <w:r>
        <w:rPr>
          <w:noProof/>
          <w:lang w:eastAsia="en-AU"/>
        </w:rPr>
        <w:drawing>
          <wp:inline distT="0" distB="0" distL="0" distR="0" wp14:anchorId="4CC6EF03" wp14:editId="06CC2FD1">
            <wp:extent cx="4105275" cy="2367280"/>
            <wp:effectExtent l="0" t="0" r="0" b="0"/>
            <wp:docPr id="1" name="Chart 1" descr="Figure 1. Northern Territory Government heritage expenditure.&#10;&#10;A column graph compares expenditure across the heritage categories of Art museums, Other museums and cultural heritage, Libraries and Archives between the financial years of 2016-17, 2017-18, and 2019-20 for Northern Territory Government.">
              <a:extLst xmlns:a="http://schemas.openxmlformats.org/drawingml/2006/main">
                <a:ext uri="{FF2B5EF4-FFF2-40B4-BE49-F238E27FC236}">
                  <a16:creationId xmlns:a16="http://schemas.microsoft.com/office/drawing/2014/main" id="{EAD833C3-BFE2-41FA-A628-B38B4EA17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74CDB1" w14:textId="77777777" w:rsidR="00FD4971" w:rsidRPr="00DA4C4F" w:rsidRDefault="00FD4971" w:rsidP="00FD4971">
      <w:r w:rsidRPr="00DA4C4F">
        <w:t xml:space="preserve">Funds for </w:t>
      </w:r>
      <w:r w:rsidRPr="00DA4C4F">
        <w:rPr>
          <w:i/>
        </w:rPr>
        <w:t>Arts</w:t>
      </w:r>
      <w:r w:rsidRPr="00DA4C4F">
        <w:t xml:space="preserve"> activities rose 20% (or $6.6m) to $38.9m.</w:t>
      </w:r>
    </w:p>
    <w:p w14:paraId="5A03D757" w14:textId="77777777" w:rsidR="00FD4971" w:rsidRPr="00DA4C4F" w:rsidRDefault="00FD4971" w:rsidP="00FD4971">
      <w:r w:rsidRPr="00DA4C4F">
        <w:t>T</w:t>
      </w:r>
      <w:r>
        <w:t>wo</w:t>
      </w:r>
      <w:r w:rsidRPr="00DA4C4F">
        <w:t xml:space="preserve"> main contributors to this movement were </w:t>
      </w:r>
      <w:r w:rsidRPr="00DA4C4F">
        <w:rPr>
          <w:i/>
        </w:rPr>
        <w:t>Visual arts and crafts</w:t>
      </w:r>
      <w:r w:rsidRPr="00DA4C4F">
        <w:t xml:space="preserve"> ↑$4.5m,</w:t>
      </w:r>
      <w:r>
        <w:t xml:space="preserve"> and </w:t>
      </w:r>
      <w:r w:rsidRPr="00DA4C4F">
        <w:rPr>
          <w:i/>
        </w:rPr>
        <w:t>Film and video production and distribution</w:t>
      </w:r>
      <w:r w:rsidRPr="00DA4C4F">
        <w:t xml:space="preserve"> ↑$1.8m</w:t>
      </w:r>
      <w:r>
        <w:t>.</w:t>
      </w:r>
    </w:p>
    <w:p w14:paraId="60690EDA" w14:textId="77777777" w:rsidR="00FD4971" w:rsidRPr="00DA4C4F" w:rsidRDefault="00FD4971" w:rsidP="00FD4971">
      <w:r w:rsidRPr="00DA4C4F">
        <w:lastRenderedPageBreak/>
        <w:t xml:space="preserve">The category with the largest fall was </w:t>
      </w:r>
      <w:r w:rsidRPr="00DA4C4F">
        <w:rPr>
          <w:i/>
        </w:rPr>
        <w:t>Community</w:t>
      </w:r>
      <w:r>
        <w:rPr>
          <w:i/>
        </w:rPr>
        <w:t xml:space="preserve"> arts</w:t>
      </w:r>
      <w:r w:rsidRPr="00DA4C4F">
        <w:rPr>
          <w:i/>
        </w:rPr>
        <w:t xml:space="preserve"> and cultural development</w:t>
      </w:r>
      <w:r w:rsidRPr="00DA4C4F">
        <w:t xml:space="preserve"> ↓$2.1m.</w:t>
      </w:r>
    </w:p>
    <w:p w14:paraId="396BB0C4" w14:textId="77777777" w:rsidR="00FD4971" w:rsidRPr="00303AC1" w:rsidRDefault="00FD4971" w:rsidP="00FD4971">
      <w:pPr>
        <w:pStyle w:val="Tablefigureheading"/>
      </w:pPr>
      <w:bookmarkStart w:id="1" w:name="_Toc524533024"/>
      <w:r w:rsidRPr="00303AC1">
        <w:t xml:space="preserve">Figure 2. </w:t>
      </w:r>
      <w:r>
        <w:t>Northern Territory</w:t>
      </w:r>
      <w:r w:rsidRPr="00303AC1">
        <w:t xml:space="preserve"> Government arts expenditure, by selected categories</w:t>
      </w:r>
      <w:bookmarkEnd w:id="1"/>
    </w:p>
    <w:p w14:paraId="7369146F" w14:textId="77777777" w:rsidR="00FD4971" w:rsidRDefault="00FD4971" w:rsidP="00FD4971">
      <w:r>
        <w:rPr>
          <w:noProof/>
          <w:lang w:eastAsia="en-AU"/>
        </w:rPr>
        <w:drawing>
          <wp:inline distT="0" distB="0" distL="0" distR="0" wp14:anchorId="625323B7" wp14:editId="2A8E0590">
            <wp:extent cx="4800600" cy="2400300"/>
            <wp:effectExtent l="0" t="0" r="0" b="0"/>
            <wp:docPr id="8" name="Chart 8" descr="Figure 2. Northern Territory Government arts expenditure, by selected categories.&#10;&#10;A column graph compares expenditure across selected arts categories of Music, Performing arts venues, Visual arts and crafts, Film and video production and distribution, Arts education, Multi-arts festivals and Arts administration between the financial years of  2016-17, 2017-18, and 2019-20 for Northern Territory Government.">
              <a:extLst xmlns:a="http://schemas.openxmlformats.org/drawingml/2006/main">
                <a:ext uri="{FF2B5EF4-FFF2-40B4-BE49-F238E27FC236}">
                  <a16:creationId xmlns:a16="http://schemas.microsoft.com/office/drawing/2014/main" id="{2F0370F1-A942-4FA3-B905-9FF6FA391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41E03C" w14:textId="77777777" w:rsidR="00FD4971" w:rsidRPr="00DA4C4F" w:rsidRDefault="00FD4971" w:rsidP="00FD4971">
      <w:r w:rsidRPr="00DA4C4F">
        <w:t xml:space="preserve">The main categories of </w:t>
      </w:r>
      <w:r w:rsidRPr="00DA4C4F">
        <w:rPr>
          <w:i/>
        </w:rPr>
        <w:t>Arts</w:t>
      </w:r>
      <w:r w:rsidRPr="00DA4C4F">
        <w:t xml:space="preserve"> activities funding were:</w:t>
      </w:r>
    </w:p>
    <w:p w14:paraId="774425A6" w14:textId="77777777" w:rsidR="00FD4971" w:rsidRPr="00DA4C4F" w:rsidRDefault="00FD4971" w:rsidP="00FD4971">
      <w:pPr>
        <w:pStyle w:val="ListParagraph"/>
        <w:numPr>
          <w:ilvl w:val="0"/>
          <w:numId w:val="8"/>
        </w:numPr>
        <w:ind w:left="567" w:hanging="567"/>
      </w:pPr>
      <w:r w:rsidRPr="00DA4C4F">
        <w:rPr>
          <w:i/>
        </w:rPr>
        <w:t>Visual arts and crafts</w:t>
      </w:r>
      <w:r w:rsidRPr="00DA4C4F">
        <w:t>—$7.2m</w:t>
      </w:r>
    </w:p>
    <w:p w14:paraId="0C6558EE" w14:textId="77777777" w:rsidR="00FD4971" w:rsidRPr="00DA4C4F" w:rsidRDefault="00FD4971" w:rsidP="00FD4971">
      <w:pPr>
        <w:pStyle w:val="ListParagraph"/>
        <w:numPr>
          <w:ilvl w:val="0"/>
          <w:numId w:val="8"/>
        </w:numPr>
        <w:ind w:left="567" w:hanging="567"/>
      </w:pPr>
      <w:r w:rsidRPr="00DA4C4F">
        <w:rPr>
          <w:i/>
        </w:rPr>
        <w:t>Multi-arts festivals</w:t>
      </w:r>
      <w:r w:rsidRPr="00DA4C4F">
        <w:t>—$5.0m</w:t>
      </w:r>
    </w:p>
    <w:p w14:paraId="27114D3F" w14:textId="77777777" w:rsidR="00FD4971" w:rsidRPr="00DA4C4F" w:rsidRDefault="00FD4971" w:rsidP="00FD4971">
      <w:pPr>
        <w:pStyle w:val="ListParagraph"/>
        <w:numPr>
          <w:ilvl w:val="0"/>
          <w:numId w:val="8"/>
        </w:numPr>
        <w:ind w:left="567" w:hanging="567"/>
      </w:pPr>
      <w:r w:rsidRPr="00DA4C4F">
        <w:rPr>
          <w:i/>
        </w:rPr>
        <w:t>Film and video production and distribution</w:t>
      </w:r>
      <w:r w:rsidRPr="00DA4C4F">
        <w:t>—$3.3m</w:t>
      </w:r>
    </w:p>
    <w:p w14:paraId="5DCD38DC" w14:textId="77777777" w:rsidR="00FD4971" w:rsidRPr="00DA4C4F" w:rsidRDefault="00FD4971" w:rsidP="00FD4971">
      <w:pPr>
        <w:pStyle w:val="ListParagraph"/>
        <w:numPr>
          <w:ilvl w:val="0"/>
          <w:numId w:val="8"/>
        </w:numPr>
        <w:ind w:left="567" w:hanging="567"/>
      </w:pPr>
      <w:r w:rsidRPr="00DA4C4F">
        <w:rPr>
          <w:i/>
        </w:rPr>
        <w:t>Performing arts venues</w:t>
      </w:r>
      <w:r w:rsidRPr="00DA4C4F">
        <w:t>—$3.2m</w:t>
      </w:r>
    </w:p>
    <w:p w14:paraId="250B3AFF" w14:textId="77777777" w:rsidR="00FD4971" w:rsidRPr="00DA4C4F" w:rsidRDefault="00FD4971" w:rsidP="00FD4971">
      <w:pPr>
        <w:pStyle w:val="ListParagraph"/>
        <w:numPr>
          <w:ilvl w:val="0"/>
          <w:numId w:val="8"/>
        </w:numPr>
        <w:ind w:left="567" w:hanging="567"/>
      </w:pPr>
      <w:r w:rsidRPr="00DA4C4F">
        <w:rPr>
          <w:i/>
        </w:rPr>
        <w:t>Arts education</w:t>
      </w:r>
      <w:r w:rsidRPr="00DA4C4F">
        <w:t xml:space="preserve">—$3.1m. </w:t>
      </w:r>
    </w:p>
    <w:p w14:paraId="3AE311C4" w14:textId="77777777" w:rsidR="00FD4971" w:rsidRPr="00DA4C4F" w:rsidRDefault="00FD4971" w:rsidP="00FD4971">
      <w:r w:rsidRPr="00DA4C4F">
        <w:t>Recurrent expenditure rose 2% (or $1.3m) to $67.0m.</w:t>
      </w:r>
    </w:p>
    <w:p w14:paraId="342D70D5" w14:textId="77777777" w:rsidR="00FD4971" w:rsidRPr="00DA4C4F" w:rsidRDefault="00FD4971" w:rsidP="00FD4971">
      <w:r w:rsidRPr="00DA4C4F">
        <w:t xml:space="preserve">The largest recurrent expenditure was for </w:t>
      </w:r>
      <w:r w:rsidRPr="00DA4C4F">
        <w:rPr>
          <w:i/>
        </w:rPr>
        <w:t>Art museums</w:t>
      </w:r>
      <w:r w:rsidRPr="00DA4C4F">
        <w:t>, $12.5m, and the largest dollar increase was for the category of</w:t>
      </w:r>
      <w:r w:rsidRPr="00DA4C4F">
        <w:rPr>
          <w:i/>
        </w:rPr>
        <w:t xml:space="preserve"> Visual arts and crafts</w:t>
      </w:r>
      <w:r w:rsidRPr="00DA4C4F">
        <w:t xml:space="preserve"> ↑$4.</w:t>
      </w:r>
      <w:r>
        <w:t>4</w:t>
      </w:r>
      <w:r w:rsidRPr="00DA4C4F">
        <w:t>m between 2017–18 and 2019–20.</w:t>
      </w:r>
    </w:p>
    <w:p w14:paraId="4E4E730B" w14:textId="77777777" w:rsidR="00FD4971" w:rsidRPr="00303AC1" w:rsidRDefault="00FD4971" w:rsidP="00FD4971">
      <w:pPr>
        <w:pStyle w:val="Tablefigureheading"/>
      </w:pPr>
      <w:r w:rsidRPr="00303AC1">
        <w:t xml:space="preserve">Figure 3. </w:t>
      </w:r>
      <w:r>
        <w:t>Northern Territory</w:t>
      </w:r>
      <w:r w:rsidRPr="00303AC1">
        <w:t xml:space="preserve"> Government recurrent cultural expenditure, by selected categories</w:t>
      </w:r>
    </w:p>
    <w:p w14:paraId="32A05AC4" w14:textId="77777777" w:rsidR="00FD4971" w:rsidRDefault="00FD4971" w:rsidP="00FD4971">
      <w:r>
        <w:rPr>
          <w:noProof/>
          <w:lang w:eastAsia="en-AU"/>
        </w:rPr>
        <w:drawing>
          <wp:inline distT="0" distB="0" distL="0" distR="0" wp14:anchorId="2578363D" wp14:editId="0FC57C3C">
            <wp:extent cx="5162550" cy="2571750"/>
            <wp:effectExtent l="0" t="0" r="0" b="0"/>
            <wp:docPr id="9" name="Chart 9" descr="Figure 3. Northern Territory Government recurrent cultural expenditure, by selected categories.&#10;&#10;A bar chart compares recurrent expenditure across selected categories of Art museums, Other museums and cultural heritage, Libraries, Performing arts venues, Visual arts and crafts, Film and video production and distribution, Arts education, Multi-arts festivals and Arts administration between the financial years of 2016-17, 2017-18, and 2019-20 for Northern Territory Government.">
              <a:extLst xmlns:a="http://schemas.openxmlformats.org/drawingml/2006/main">
                <a:ext uri="{FF2B5EF4-FFF2-40B4-BE49-F238E27FC236}">
                  <a16:creationId xmlns:a16="http://schemas.microsoft.com/office/drawing/2014/main" id="{ECD1DD83-4E29-40A8-921F-AD02FD941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354386" w14:textId="4A7F1E35" w:rsidR="001D64AC" w:rsidRDefault="001D64AC" w:rsidP="00FD4971">
      <w:pPr>
        <w:pStyle w:val="Heading2"/>
      </w:pPr>
    </w:p>
    <w:sectPr w:rsidR="001D64AC" w:rsidSect="00842CA0">
      <w:type w:val="continuous"/>
      <w:pgSz w:w="11906" w:h="16838"/>
      <w:pgMar w:top="1418"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97DD8" w14:textId="77777777" w:rsidR="00B54081" w:rsidRDefault="00B54081" w:rsidP="002117E6">
      <w:pPr>
        <w:spacing w:after="0"/>
      </w:pPr>
      <w:r>
        <w:separator/>
      </w:r>
    </w:p>
  </w:endnote>
  <w:endnote w:type="continuationSeparator" w:id="0">
    <w:p w14:paraId="290CF2DD" w14:textId="77777777" w:rsidR="00B54081" w:rsidRDefault="00B54081"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A7FD" w14:textId="77777777" w:rsidR="001A23B8" w:rsidRDefault="001A2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5D076" w14:textId="43DE7CA8" w:rsidR="00FC0C98" w:rsidRPr="002454AC" w:rsidRDefault="00FC0C98" w:rsidP="00842CA0">
    <w:pPr>
      <w:pStyle w:val="Footer"/>
      <w:tabs>
        <w:tab w:val="clear" w:pos="9026"/>
        <w:tab w:val="right" w:pos="9333"/>
      </w:tabs>
      <w:rPr>
        <w:rStyle w:val="Hyperlink"/>
        <w:b w:val="0"/>
        <w:color w:val="auto"/>
        <w:sz w:val="18"/>
        <w:szCs w:val="18"/>
        <w:u w:val="none"/>
      </w:rPr>
    </w:pPr>
    <w:r w:rsidRPr="00CC4247">
      <w:rPr>
        <w:sz w:val="18"/>
        <w:szCs w:val="18"/>
      </w:rPr>
      <w:t>Cultural</w:t>
    </w:r>
    <w:r>
      <w:rPr>
        <w:sz w:val="18"/>
        <w:szCs w:val="18"/>
      </w:rPr>
      <w:t xml:space="preserve"> Funding by Government—2019</w:t>
    </w:r>
    <w:r>
      <w:t>–</w:t>
    </w:r>
    <w:r>
      <w:rPr>
        <w:sz w:val="18"/>
        <w:szCs w:val="18"/>
      </w:rPr>
      <w:t>20</w:t>
    </w:r>
    <w:r w:rsidRPr="00CC4247">
      <w:rPr>
        <w:sz w:val="18"/>
        <w:szCs w:val="18"/>
      </w:rPr>
      <w:t>—</w:t>
    </w:r>
    <w:r w:rsidR="00FD4971">
      <w:rPr>
        <w:sz w:val="18"/>
        <w:szCs w:val="18"/>
      </w:rPr>
      <w:t>Northern</w:t>
    </w:r>
    <w:r w:rsidRPr="00CC4247">
      <w:rPr>
        <w:sz w:val="18"/>
        <w:szCs w:val="18"/>
      </w:rPr>
      <w:t xml:space="preserve"> Territory Government</w:t>
    </w:r>
    <w:r w:rsidRPr="0037566A">
      <w:rPr>
        <w:sz w:val="18"/>
        <w:szCs w:val="18"/>
      </w:rPr>
      <w:tab/>
    </w:r>
    <w:sdt>
      <w:sdtPr>
        <w:rPr>
          <w:sz w:val="18"/>
          <w:szCs w:val="18"/>
        </w:rPr>
        <w:id w:val="-92402875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F9394E">
          <w:rPr>
            <w:bCs/>
            <w:noProof/>
            <w:sz w:val="18"/>
            <w:szCs w:val="18"/>
          </w:rPr>
          <w:t>2</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F9394E">
          <w:rPr>
            <w:bCs/>
            <w:noProof/>
            <w:sz w:val="18"/>
            <w:szCs w:val="18"/>
          </w:rPr>
          <w:t>2</w:t>
        </w:r>
        <w:r w:rsidRPr="0037566A">
          <w:rPr>
            <w:bCs/>
            <w:sz w:val="18"/>
            <w:szCs w:val="18"/>
          </w:rPr>
          <w:fldChar w:fldCharType="end"/>
        </w:r>
      </w:sdtContent>
    </w:sdt>
  </w:p>
  <w:p w14:paraId="7A8AEEF8" w14:textId="77777777" w:rsidR="00FC0C98" w:rsidRDefault="00FC0C98" w:rsidP="00842CA0">
    <w:pPr>
      <w:spacing w:after="0"/>
      <w:ind w:left="-1418"/>
    </w:pPr>
    <w:r>
      <w:rPr>
        <w:noProof/>
        <w:lang w:eastAsia="en-AU"/>
      </w:rPr>
      <w:drawing>
        <wp:inline distT="0" distB="0" distL="0" distR="0" wp14:anchorId="22C413FE" wp14:editId="573FC905">
          <wp:extent cx="7560000" cy="358181"/>
          <wp:effectExtent l="0" t="0" r="3175" b="3810"/>
          <wp:docPr id="7" name="Picture 7"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7560000" cy="35818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6D68A" w14:textId="47E4BF8C" w:rsidR="00E23218" w:rsidRDefault="00E23218" w:rsidP="00E23218">
    <w:pPr>
      <w:pStyle w:val="Footer"/>
      <w:rPr>
        <w:sz w:val="18"/>
        <w:szCs w:val="18"/>
      </w:rPr>
    </w:pPr>
    <w:r w:rsidRPr="00E66A59">
      <w:rPr>
        <w:rStyle w:val="Hyperlink"/>
        <w:b w:val="0"/>
        <w:bCs/>
        <w:color w:val="auto"/>
        <w:sz w:val="18"/>
        <w:szCs w:val="18"/>
        <w:u w:val="none"/>
      </w:rPr>
      <w:t>Source</w:t>
    </w:r>
    <w:r w:rsidRPr="00E66A59">
      <w:rPr>
        <w:b/>
        <w:bCs/>
        <w:noProof/>
        <w:sz w:val="18"/>
        <w:szCs w:val="18"/>
        <w:lang w:eastAsia="en-AU"/>
      </w:rPr>
      <w:t>:</w:t>
    </w:r>
    <w:r w:rsidRPr="00E66A59">
      <w:rPr>
        <w:noProof/>
        <w:sz w:val="18"/>
        <w:szCs w:val="18"/>
        <w:lang w:eastAsia="en-AU"/>
      </w:rPr>
      <w:t xml:space="preserve"> </w:t>
    </w:r>
    <w:r>
      <w:rPr>
        <w:i/>
        <w:iCs/>
        <w:noProof/>
        <w:sz w:val="18"/>
        <w:szCs w:val="18"/>
        <w:lang w:eastAsia="en-AU"/>
      </w:rPr>
      <w:t>Cultural Funding by Government 2019</w:t>
    </w:r>
    <w:r>
      <w:t>–</w:t>
    </w:r>
    <w:r>
      <w:rPr>
        <w:i/>
        <w:iCs/>
        <w:noProof/>
        <w:sz w:val="18"/>
        <w:szCs w:val="18"/>
        <w:lang w:eastAsia="en-AU"/>
      </w:rPr>
      <w:t>20</w:t>
    </w:r>
    <w:r>
      <w:rPr>
        <w:noProof/>
        <w:sz w:val="18"/>
        <w:szCs w:val="18"/>
        <w:lang w:eastAsia="en-AU"/>
      </w:rPr>
      <w:t xml:space="preserve"> survey</w:t>
    </w:r>
  </w:p>
  <w:p w14:paraId="4538BC86" w14:textId="4F110D30" w:rsidR="00E23218" w:rsidRDefault="002352F9" w:rsidP="00A0554C">
    <w:pPr>
      <w:pStyle w:val="Footer"/>
      <w:ind w:left="-1417"/>
    </w:pPr>
    <w:r>
      <w:rPr>
        <w:noProof/>
        <w:lang w:eastAsia="en-AU"/>
      </w:rPr>
      <w:drawing>
        <wp:inline distT="0" distB="0" distL="0" distR="0" wp14:anchorId="5C33C3FA" wp14:editId="2C38E3DB">
          <wp:extent cx="7649497" cy="269236"/>
          <wp:effectExtent l="0" t="0" r="0" b="0"/>
          <wp:docPr id="5" name="Picture 5"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9023448" cy="317594"/>
                  </a:xfrm>
                  <a:prstGeom prst="rect">
                    <a:avLst/>
                  </a:prstGeom>
                  <a:noFill/>
                  <a:ln>
                    <a:noFill/>
                  </a:ln>
                  <a:extLst>
                    <a:ext uri="{53640926-AAD7-44D8-BBD7-CCE9431645EC}">
                      <a14:shadowObscured xmlns:a14="http://schemas.microsoft.com/office/drawing/2010/main"/>
                    </a:ext>
                  </a:extLst>
                </pic:spPr>
              </pic:pic>
            </a:graphicData>
          </a:graphic>
        </wp:inline>
      </w:drawing>
    </w:r>
  </w:p>
  <w:p w14:paraId="471F2EF6" w14:textId="4838C70B" w:rsidR="00FC0C98" w:rsidRPr="00477982" w:rsidRDefault="00FC0C98" w:rsidP="00477982">
    <w:pPr>
      <w:pStyle w:val="Footer"/>
      <w:ind w:left="-1418"/>
      <w:rPr>
        <w:rStyle w:val="Hyperlink"/>
        <w:color w:val="auto"/>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80252" w14:textId="77777777" w:rsidR="00B54081" w:rsidRDefault="00B54081" w:rsidP="002117E6">
      <w:pPr>
        <w:spacing w:after="0"/>
      </w:pPr>
      <w:r>
        <w:separator/>
      </w:r>
    </w:p>
  </w:footnote>
  <w:footnote w:type="continuationSeparator" w:id="0">
    <w:p w14:paraId="0E558D11" w14:textId="77777777" w:rsidR="00B54081" w:rsidRDefault="00B54081" w:rsidP="002117E6">
      <w:pPr>
        <w:spacing w:after="0"/>
      </w:pPr>
      <w:r>
        <w:continuationSeparator/>
      </w:r>
    </w:p>
  </w:footnote>
  <w:footnote w:id="1">
    <w:p w14:paraId="263BB482" w14:textId="77777777" w:rsidR="00FD4971" w:rsidRPr="00502774" w:rsidRDefault="00FD4971" w:rsidP="00FD4971">
      <w:pPr>
        <w:pStyle w:val="FootnoteText"/>
        <w:rPr>
          <w:sz w:val="16"/>
          <w:szCs w:val="16"/>
        </w:rPr>
      </w:pPr>
      <w:r w:rsidRPr="00502774">
        <w:rPr>
          <w:rStyle w:val="FootnoteReference"/>
          <w:sz w:val="16"/>
          <w:szCs w:val="16"/>
        </w:rPr>
        <w:footnoteRef/>
      </w:r>
      <w:r w:rsidRPr="00502774">
        <w:rPr>
          <w:sz w:val="16"/>
          <w:szCs w:val="16"/>
        </w:rPr>
        <w:t xml:space="preserve"> </w:t>
      </w:r>
      <w:r w:rsidRPr="00376840">
        <w:rPr>
          <w:i/>
          <w:iCs/>
          <w:sz w:val="18"/>
          <w:szCs w:val="18"/>
        </w:rPr>
        <w:t>Cultural Funding by Government</w:t>
      </w:r>
      <w:r w:rsidRPr="008B78B2">
        <w:rPr>
          <w:sz w:val="18"/>
          <w:szCs w:val="18"/>
        </w:rPr>
        <w:t xml:space="preserve"> survey not conducted in 2018–19</w:t>
      </w:r>
      <w:r>
        <w:rPr>
          <w:sz w:val="18"/>
          <w:szCs w:val="18"/>
        </w:rPr>
        <w:t>,</w:t>
      </w:r>
      <w:r w:rsidRPr="008B78B2">
        <w:rPr>
          <w:sz w:val="18"/>
          <w:szCs w:val="18"/>
        </w:rPr>
        <w:t xml:space="preserve"> as</w:t>
      </w:r>
      <w:r>
        <w:rPr>
          <w:sz w:val="18"/>
          <w:szCs w:val="18"/>
        </w:rPr>
        <w:t xml:space="preserve"> it </w:t>
      </w:r>
      <w:r w:rsidRPr="008B78B2">
        <w:rPr>
          <w:sz w:val="18"/>
          <w:szCs w:val="18"/>
        </w:rPr>
        <w:t>changed to a biennial collection.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529A8" w14:textId="77777777" w:rsidR="001A23B8" w:rsidRDefault="001A2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8BF70" w14:textId="2B7FDB89" w:rsidR="00FC0C98" w:rsidRDefault="00FC0C98" w:rsidP="00477982">
    <w:pPr>
      <w:pStyle w:val="Header"/>
      <w:ind w:left="-1418"/>
    </w:pPr>
    <w:r>
      <w:rPr>
        <w:noProof/>
        <w:lang w:eastAsia="en-AU"/>
      </w:rPr>
      <w:drawing>
        <wp:inline distT="0" distB="0" distL="0" distR="0" wp14:anchorId="33197DE3" wp14:editId="73FF4341">
          <wp:extent cx="7560000" cy="544479"/>
          <wp:effectExtent l="0" t="0" r="3175" b="8255"/>
          <wp:docPr id="6" name="Picture 6" descr="Purple Border"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654" t="19214" r="1857"/>
                  <a:stretch/>
                </pic:blipFill>
                <pic:spPr bwMode="auto">
                  <a:xfrm>
                    <a:off x="0" y="0"/>
                    <a:ext cx="7560000" cy="544479"/>
                  </a:xfrm>
                  <a:prstGeom prst="rect">
                    <a:avLst/>
                  </a:prstGeom>
                  <a:noFill/>
                  <a:ln>
                    <a:noFill/>
                  </a:ln>
                  <a:extLst>
                    <a:ext uri="{53640926-AAD7-44D8-BBD7-CCE9431645EC}">
                      <a14:shadowObscured xmlns:a14="http://schemas.microsoft.com/office/drawing/2010/main"/>
                    </a:ext>
                  </a:extLst>
                </pic:spPr>
              </pic:pic>
            </a:graphicData>
          </a:graphic>
        </wp:inline>
      </w:drawing>
    </w:r>
  </w:p>
  <w:p w14:paraId="7D05254B" w14:textId="1AFC365C" w:rsidR="00FC0C98" w:rsidRDefault="00FC0C98" w:rsidP="00A0554C">
    <w:pPr>
      <w:pStyle w:val="Header"/>
      <w:tabs>
        <w:tab w:val="clear" w:pos="9026"/>
        <w:tab w:val="right" w:pos="9333"/>
      </w:tabs>
    </w:pPr>
    <w:r>
      <w:t>MCM Statistics Working Group</w:t>
    </w:r>
    <w:r w:rsidRPr="00A96536">
      <w:tab/>
    </w:r>
    <w:r w:rsidRPr="00A96536">
      <w:tab/>
    </w:r>
    <w:r w:rsidR="00F02CC1">
      <w:t>August</w:t>
    </w:r>
    <w:r>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B3753" w14:textId="77777777" w:rsidR="001A23B8" w:rsidRDefault="001A2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12D9E"/>
    <w:multiLevelType w:val="hybridMultilevel"/>
    <w:tmpl w:val="790075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17C6A73"/>
    <w:multiLevelType w:val="hybridMultilevel"/>
    <w:tmpl w:val="528A0C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2B508A"/>
    <w:multiLevelType w:val="hybridMultilevel"/>
    <w:tmpl w:val="F3CA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F7139D"/>
    <w:multiLevelType w:val="hybridMultilevel"/>
    <w:tmpl w:val="5B38CF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93E1F26"/>
    <w:multiLevelType w:val="hybridMultilevel"/>
    <w:tmpl w:val="1A68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7"/>
  </w:num>
  <w:num w:numId="5">
    <w:abstractNumId w:val="2"/>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3E"/>
    <w:rsid w:val="00024E6D"/>
    <w:rsid w:val="00024EAC"/>
    <w:rsid w:val="000B27A8"/>
    <w:rsid w:val="0010452B"/>
    <w:rsid w:val="00111A64"/>
    <w:rsid w:val="001471EA"/>
    <w:rsid w:val="001472FC"/>
    <w:rsid w:val="001715EF"/>
    <w:rsid w:val="001736CC"/>
    <w:rsid w:val="00185E9F"/>
    <w:rsid w:val="0019701B"/>
    <w:rsid w:val="001A23B8"/>
    <w:rsid w:val="001C7827"/>
    <w:rsid w:val="001D64AC"/>
    <w:rsid w:val="001D7905"/>
    <w:rsid w:val="002117E6"/>
    <w:rsid w:val="0023201F"/>
    <w:rsid w:val="00233C13"/>
    <w:rsid w:val="00234C00"/>
    <w:rsid w:val="002352F9"/>
    <w:rsid w:val="0024033A"/>
    <w:rsid w:val="00242B78"/>
    <w:rsid w:val="002454AC"/>
    <w:rsid w:val="00265D2E"/>
    <w:rsid w:val="00290FEC"/>
    <w:rsid w:val="00293DD6"/>
    <w:rsid w:val="002966CA"/>
    <w:rsid w:val="002A3B4B"/>
    <w:rsid w:val="002A4338"/>
    <w:rsid w:val="002C5369"/>
    <w:rsid w:val="002E2477"/>
    <w:rsid w:val="002F0402"/>
    <w:rsid w:val="002F3895"/>
    <w:rsid w:val="00302513"/>
    <w:rsid w:val="00303786"/>
    <w:rsid w:val="00327F06"/>
    <w:rsid w:val="00335334"/>
    <w:rsid w:val="00336DDD"/>
    <w:rsid w:val="0034581A"/>
    <w:rsid w:val="00363704"/>
    <w:rsid w:val="00381364"/>
    <w:rsid w:val="00382743"/>
    <w:rsid w:val="0039367A"/>
    <w:rsid w:val="003B5B1D"/>
    <w:rsid w:val="003D142F"/>
    <w:rsid w:val="003E78EF"/>
    <w:rsid w:val="003F495D"/>
    <w:rsid w:val="00400E77"/>
    <w:rsid w:val="0041185C"/>
    <w:rsid w:val="00420E56"/>
    <w:rsid w:val="00423090"/>
    <w:rsid w:val="00426F0B"/>
    <w:rsid w:val="00436F4C"/>
    <w:rsid w:val="00450D6E"/>
    <w:rsid w:val="00456F44"/>
    <w:rsid w:val="00467552"/>
    <w:rsid w:val="004755A2"/>
    <w:rsid w:val="00477982"/>
    <w:rsid w:val="0048626B"/>
    <w:rsid w:val="00506643"/>
    <w:rsid w:val="00526687"/>
    <w:rsid w:val="005377F7"/>
    <w:rsid w:val="00542695"/>
    <w:rsid w:val="00544465"/>
    <w:rsid w:val="005579A8"/>
    <w:rsid w:val="00561190"/>
    <w:rsid w:val="005658F1"/>
    <w:rsid w:val="00565B47"/>
    <w:rsid w:val="005741CF"/>
    <w:rsid w:val="00575A5A"/>
    <w:rsid w:val="005932D0"/>
    <w:rsid w:val="00597F9B"/>
    <w:rsid w:val="005B3551"/>
    <w:rsid w:val="005C7C65"/>
    <w:rsid w:val="005F23E0"/>
    <w:rsid w:val="00605481"/>
    <w:rsid w:val="0061446D"/>
    <w:rsid w:val="00625397"/>
    <w:rsid w:val="0064138E"/>
    <w:rsid w:val="00693994"/>
    <w:rsid w:val="006A08AD"/>
    <w:rsid w:val="006A2F0E"/>
    <w:rsid w:val="006C5A9D"/>
    <w:rsid w:val="006D0316"/>
    <w:rsid w:val="006F06FD"/>
    <w:rsid w:val="00705B86"/>
    <w:rsid w:val="007316EF"/>
    <w:rsid w:val="0074751D"/>
    <w:rsid w:val="00753BB6"/>
    <w:rsid w:val="00784F67"/>
    <w:rsid w:val="007A4B0F"/>
    <w:rsid w:val="007A5DD1"/>
    <w:rsid w:val="00813AD2"/>
    <w:rsid w:val="008169A6"/>
    <w:rsid w:val="0082186E"/>
    <w:rsid w:val="008228E2"/>
    <w:rsid w:val="00834DE8"/>
    <w:rsid w:val="00842CA0"/>
    <w:rsid w:val="008646E6"/>
    <w:rsid w:val="00866475"/>
    <w:rsid w:val="00867254"/>
    <w:rsid w:val="00893360"/>
    <w:rsid w:val="008A4B1F"/>
    <w:rsid w:val="008B2A19"/>
    <w:rsid w:val="008B767F"/>
    <w:rsid w:val="008D4E53"/>
    <w:rsid w:val="008F7FA4"/>
    <w:rsid w:val="00912280"/>
    <w:rsid w:val="00915939"/>
    <w:rsid w:val="00927FF3"/>
    <w:rsid w:val="009313D2"/>
    <w:rsid w:val="00937283"/>
    <w:rsid w:val="0094124E"/>
    <w:rsid w:val="00957422"/>
    <w:rsid w:val="009654E0"/>
    <w:rsid w:val="00966C24"/>
    <w:rsid w:val="009B7EF0"/>
    <w:rsid w:val="009C01D1"/>
    <w:rsid w:val="009D0D57"/>
    <w:rsid w:val="009E12E4"/>
    <w:rsid w:val="00A0554C"/>
    <w:rsid w:val="00A06663"/>
    <w:rsid w:val="00A150F0"/>
    <w:rsid w:val="00A22246"/>
    <w:rsid w:val="00A241FE"/>
    <w:rsid w:val="00A35CD0"/>
    <w:rsid w:val="00A44D6C"/>
    <w:rsid w:val="00A57B08"/>
    <w:rsid w:val="00A606B1"/>
    <w:rsid w:val="00A66771"/>
    <w:rsid w:val="00A830DE"/>
    <w:rsid w:val="00A91A72"/>
    <w:rsid w:val="00AA38E6"/>
    <w:rsid w:val="00AC0B64"/>
    <w:rsid w:val="00AC1A69"/>
    <w:rsid w:val="00AE4F02"/>
    <w:rsid w:val="00AF5FC0"/>
    <w:rsid w:val="00B049A4"/>
    <w:rsid w:val="00B04E5C"/>
    <w:rsid w:val="00B1045C"/>
    <w:rsid w:val="00B43B95"/>
    <w:rsid w:val="00B43C56"/>
    <w:rsid w:val="00B54081"/>
    <w:rsid w:val="00B55747"/>
    <w:rsid w:val="00B704AE"/>
    <w:rsid w:val="00B723E4"/>
    <w:rsid w:val="00B93737"/>
    <w:rsid w:val="00B945EA"/>
    <w:rsid w:val="00B96893"/>
    <w:rsid w:val="00BA0A5A"/>
    <w:rsid w:val="00BB7537"/>
    <w:rsid w:val="00BC0D30"/>
    <w:rsid w:val="00BC329E"/>
    <w:rsid w:val="00BC4BB1"/>
    <w:rsid w:val="00BC7D72"/>
    <w:rsid w:val="00BE1F34"/>
    <w:rsid w:val="00BE7E66"/>
    <w:rsid w:val="00C16794"/>
    <w:rsid w:val="00C240E2"/>
    <w:rsid w:val="00C3695F"/>
    <w:rsid w:val="00C451EE"/>
    <w:rsid w:val="00C55F55"/>
    <w:rsid w:val="00CC4247"/>
    <w:rsid w:val="00CC75CC"/>
    <w:rsid w:val="00CD0CB6"/>
    <w:rsid w:val="00CE07F2"/>
    <w:rsid w:val="00CE5C90"/>
    <w:rsid w:val="00D03AE2"/>
    <w:rsid w:val="00D14C03"/>
    <w:rsid w:val="00D47936"/>
    <w:rsid w:val="00D521E7"/>
    <w:rsid w:val="00D92957"/>
    <w:rsid w:val="00DB4FA3"/>
    <w:rsid w:val="00DC17B6"/>
    <w:rsid w:val="00DC2DFA"/>
    <w:rsid w:val="00DC6A98"/>
    <w:rsid w:val="00DD5D52"/>
    <w:rsid w:val="00E06D3D"/>
    <w:rsid w:val="00E23218"/>
    <w:rsid w:val="00E42F9F"/>
    <w:rsid w:val="00E51D5C"/>
    <w:rsid w:val="00E71039"/>
    <w:rsid w:val="00E85276"/>
    <w:rsid w:val="00E92EB5"/>
    <w:rsid w:val="00E97404"/>
    <w:rsid w:val="00EA2F26"/>
    <w:rsid w:val="00EA5BA4"/>
    <w:rsid w:val="00EA6D34"/>
    <w:rsid w:val="00EB40A5"/>
    <w:rsid w:val="00EE5043"/>
    <w:rsid w:val="00EE7759"/>
    <w:rsid w:val="00EF213E"/>
    <w:rsid w:val="00EF61B4"/>
    <w:rsid w:val="00F02CC1"/>
    <w:rsid w:val="00F239E3"/>
    <w:rsid w:val="00F242E6"/>
    <w:rsid w:val="00F3567E"/>
    <w:rsid w:val="00F408EE"/>
    <w:rsid w:val="00F56262"/>
    <w:rsid w:val="00F64A8C"/>
    <w:rsid w:val="00F7051B"/>
    <w:rsid w:val="00F86DEA"/>
    <w:rsid w:val="00F9394E"/>
    <w:rsid w:val="00F9793C"/>
    <w:rsid w:val="00FC0C98"/>
    <w:rsid w:val="00FC16F3"/>
    <w:rsid w:val="00FC2CDB"/>
    <w:rsid w:val="00FD4971"/>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295A46"/>
  <w15:docId w15:val="{A8A217F8-DAF3-47F2-A0C9-233017B5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552"/>
    <w:pPr>
      <w:spacing w:after="200" w:line="240" w:lineRule="auto"/>
    </w:pPr>
  </w:style>
  <w:style w:type="paragraph" w:styleId="Heading1">
    <w:name w:val="heading 1"/>
    <w:basedOn w:val="Normal"/>
    <w:next w:val="Normal"/>
    <w:link w:val="Heading1Char"/>
    <w:uiPriority w:val="9"/>
    <w:qFormat/>
    <w:rsid w:val="00DC6A98"/>
    <w:pPr>
      <w:keepNext/>
      <w:spacing w:before="360" w:after="240"/>
      <w:outlineLvl w:val="0"/>
    </w:pPr>
    <w:rPr>
      <w:rFonts w:asciiTheme="majorHAnsi" w:eastAsiaTheme="majorEastAsia" w:hAnsiTheme="majorHAnsi" w:cstheme="majorBidi"/>
      <w:b/>
      <w:sz w:val="48"/>
      <w:szCs w:val="32"/>
      <w:lang w:eastAsia="en-US"/>
    </w:rPr>
  </w:style>
  <w:style w:type="paragraph" w:styleId="Heading2">
    <w:name w:val="heading 2"/>
    <w:basedOn w:val="Normal"/>
    <w:next w:val="Normal"/>
    <w:link w:val="Heading2Char"/>
    <w:uiPriority w:val="9"/>
    <w:unhideWhenUsed/>
    <w:qFormat/>
    <w:rsid w:val="00242B78"/>
    <w:pPr>
      <w:keepNext/>
      <w:outlineLvl w:val="1"/>
    </w:pPr>
    <w:rPr>
      <w:rFonts w:asciiTheme="majorHAnsi" w:eastAsiaTheme="majorEastAsia" w:hAnsiTheme="majorHAnsi" w:cstheme="majorBidi"/>
      <w:b/>
      <w:color w:val="554B87"/>
      <w:sz w:val="36"/>
      <w:szCs w:val="26"/>
      <w:lang w:eastAsia="en-US"/>
    </w:rPr>
  </w:style>
  <w:style w:type="paragraph" w:styleId="Heading3">
    <w:name w:val="heading 3"/>
    <w:basedOn w:val="Normal"/>
    <w:next w:val="Normal"/>
    <w:link w:val="Heading3Char"/>
    <w:uiPriority w:val="9"/>
    <w:unhideWhenUsed/>
    <w:qFormat/>
    <w:rsid w:val="00242B78"/>
    <w:pPr>
      <w:keepNext/>
      <w:spacing w:after="120"/>
      <w:outlineLvl w:val="2"/>
    </w:pPr>
    <w:rPr>
      <w:rFonts w:asciiTheme="majorHAnsi" w:eastAsiaTheme="majorEastAsia" w:hAnsiTheme="majorHAnsi" w:cstheme="majorBidi"/>
      <w:b/>
      <w:color w:val="554B87"/>
      <w:sz w:val="30"/>
      <w:szCs w:val="24"/>
      <w:lang w:eastAsia="en-US"/>
    </w:rPr>
  </w:style>
  <w:style w:type="paragraph" w:styleId="Heading4">
    <w:name w:val="heading 4"/>
    <w:basedOn w:val="Normal"/>
    <w:next w:val="Normal"/>
    <w:link w:val="Heading4Char"/>
    <w:uiPriority w:val="9"/>
    <w:unhideWhenUsed/>
    <w:qFormat/>
    <w:rsid w:val="00242B78"/>
    <w:pPr>
      <w:keepNext/>
      <w:keepLines/>
      <w:spacing w:after="120"/>
      <w:outlineLvl w:val="3"/>
    </w:pPr>
    <w:rPr>
      <w:rFonts w:asciiTheme="majorHAnsi" w:eastAsiaTheme="majorEastAsia" w:hAnsiTheme="majorHAnsi" w:cstheme="majorBidi"/>
      <w:b/>
      <w:bCs/>
      <w:color w:val="554B87"/>
      <w:sz w:val="24"/>
      <w:szCs w:val="24"/>
    </w:rPr>
  </w:style>
  <w:style w:type="paragraph" w:styleId="Heading5">
    <w:name w:val="heading 5"/>
    <w:basedOn w:val="Normal"/>
    <w:next w:val="Normal"/>
    <w:link w:val="Heading5Char"/>
    <w:uiPriority w:val="9"/>
    <w:unhideWhenUsed/>
    <w:qFormat/>
    <w:rsid w:val="00242B78"/>
    <w:pPr>
      <w:keepNext/>
      <w:keepLines/>
      <w:spacing w:after="60"/>
      <w:outlineLvl w:val="4"/>
    </w:pPr>
    <w:rPr>
      <w:rFonts w:asciiTheme="majorHAnsi" w:eastAsiaTheme="majorEastAsia" w:hAnsiTheme="majorHAnsi" w:cstheme="majorBidi"/>
      <w:b/>
      <w:color w:val="554B87"/>
    </w:rPr>
  </w:style>
  <w:style w:type="paragraph" w:styleId="Heading6">
    <w:name w:val="heading 6"/>
    <w:basedOn w:val="Normal"/>
    <w:next w:val="Normal"/>
    <w:link w:val="Heading6Char"/>
    <w:uiPriority w:val="9"/>
    <w:unhideWhenUsed/>
    <w:qFormat/>
    <w:rsid w:val="00242B78"/>
    <w:pPr>
      <w:keepNext/>
      <w:keepLines/>
      <w:spacing w:after="60"/>
      <w:outlineLvl w:val="5"/>
    </w:pPr>
    <w:rPr>
      <w:rFonts w:asciiTheme="majorHAnsi" w:eastAsiaTheme="majorEastAsia" w:hAnsiTheme="majorHAnsi" w:cstheme="majorBidi"/>
      <w:b/>
      <w:i/>
      <w:iCs/>
      <w:color w:val="554B87"/>
    </w:rPr>
  </w:style>
  <w:style w:type="paragraph" w:styleId="Heading7">
    <w:name w:val="heading 7"/>
    <w:basedOn w:val="Normal"/>
    <w:next w:val="Normal"/>
    <w:link w:val="Heading7Char"/>
    <w:uiPriority w:val="9"/>
    <w:unhideWhenUsed/>
    <w:qFormat/>
    <w:rsid w:val="00242B78"/>
    <w:pPr>
      <w:keepNext/>
      <w:keepLines/>
      <w:spacing w:before="40" w:after="0"/>
      <w:outlineLvl w:val="6"/>
    </w:pPr>
    <w:rPr>
      <w:rFonts w:asciiTheme="majorHAnsi" w:eastAsiaTheme="majorEastAsia" w:hAnsiTheme="majorHAnsi" w:cstheme="majorBidi"/>
      <w:b/>
      <w:i/>
      <w:iCs/>
      <w:color w:val="554B87"/>
    </w:rPr>
  </w:style>
  <w:style w:type="paragraph" w:styleId="Heading8">
    <w:name w:val="heading 8"/>
    <w:basedOn w:val="Normal"/>
    <w:next w:val="Normal"/>
    <w:link w:val="Heading8Char"/>
    <w:uiPriority w:val="9"/>
    <w:unhideWhenUsed/>
    <w:qFormat/>
    <w:rsid w:val="00242B78"/>
    <w:pPr>
      <w:keepNext/>
      <w:keepLines/>
      <w:spacing w:before="40" w:after="0"/>
      <w:outlineLvl w:val="7"/>
    </w:pPr>
    <w:rPr>
      <w:rFonts w:asciiTheme="majorHAnsi" w:eastAsiaTheme="majorEastAsia" w:hAnsiTheme="majorHAnsi" w:cstheme="majorBidi"/>
      <w:b/>
      <w:color w:val="554B87"/>
      <w:sz w:val="21"/>
      <w:szCs w:val="21"/>
    </w:rPr>
  </w:style>
  <w:style w:type="paragraph" w:styleId="Heading9">
    <w:name w:val="heading 9"/>
    <w:basedOn w:val="Normal"/>
    <w:next w:val="Normal"/>
    <w:link w:val="Heading9Char"/>
    <w:uiPriority w:val="9"/>
    <w:unhideWhenUsed/>
    <w:qFormat/>
    <w:rsid w:val="00242B78"/>
    <w:pPr>
      <w:keepNext/>
      <w:keepLines/>
      <w:spacing w:before="40" w:after="0"/>
      <w:outlineLvl w:val="8"/>
    </w:pPr>
    <w:rPr>
      <w:rFonts w:asciiTheme="majorHAnsi" w:eastAsiaTheme="majorEastAsia" w:hAnsiTheme="majorHAnsi" w:cstheme="majorBidi"/>
      <w:b/>
      <w:i/>
      <w:iCs/>
      <w:color w:val="554B8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98"/>
    <w:rPr>
      <w:rFonts w:asciiTheme="majorHAnsi" w:eastAsiaTheme="majorEastAsia" w:hAnsiTheme="majorHAnsi" w:cstheme="majorBidi"/>
      <w:b/>
      <w:sz w:val="48"/>
      <w:szCs w:val="32"/>
      <w:lang w:eastAsia="en-US"/>
    </w:rPr>
  </w:style>
  <w:style w:type="character" w:customStyle="1" w:styleId="Heading2Char">
    <w:name w:val="Heading 2 Char"/>
    <w:basedOn w:val="DefaultParagraphFont"/>
    <w:link w:val="Heading2"/>
    <w:uiPriority w:val="9"/>
    <w:rsid w:val="00242B78"/>
    <w:rPr>
      <w:rFonts w:asciiTheme="majorHAnsi" w:eastAsiaTheme="majorEastAsia" w:hAnsiTheme="majorHAnsi" w:cstheme="majorBidi"/>
      <w:b/>
      <w:color w:val="554B87"/>
      <w:sz w:val="36"/>
      <w:szCs w:val="26"/>
      <w:lang w:eastAsia="en-US"/>
    </w:rPr>
  </w:style>
  <w:style w:type="character" w:customStyle="1" w:styleId="Heading3Char">
    <w:name w:val="Heading 3 Char"/>
    <w:basedOn w:val="DefaultParagraphFont"/>
    <w:link w:val="Heading3"/>
    <w:uiPriority w:val="9"/>
    <w:rsid w:val="00242B78"/>
    <w:rPr>
      <w:rFonts w:asciiTheme="majorHAnsi" w:eastAsiaTheme="majorEastAsia" w:hAnsiTheme="majorHAnsi" w:cstheme="majorBidi"/>
      <w:b/>
      <w:color w:val="554B87"/>
      <w:sz w:val="30"/>
      <w:szCs w:val="24"/>
      <w:lang w:eastAsia="en-US"/>
    </w:rPr>
  </w:style>
  <w:style w:type="character" w:styleId="Hyperlink">
    <w:name w:val="Hyperlink"/>
    <w:basedOn w:val="DefaultParagraphFont"/>
    <w:uiPriority w:val="99"/>
    <w:unhideWhenUsed/>
    <w:rsid w:val="00F56262"/>
    <w:rPr>
      <w:b/>
      <w:color w:val="554B87"/>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467552"/>
    <w:pPr>
      <w:ind w:left="567"/>
    </w:pPr>
    <w:rPr>
      <w:rFonts w:eastAsiaTheme="minorHAnsi"/>
      <w:b/>
      <w:i/>
      <w:iCs/>
      <w:color w:val="554B87"/>
      <w:lang w:eastAsia="en-US"/>
    </w:rPr>
  </w:style>
  <w:style w:type="character" w:customStyle="1" w:styleId="QuoteChar">
    <w:name w:val="Quote Char"/>
    <w:basedOn w:val="DefaultParagraphFont"/>
    <w:link w:val="Quote"/>
    <w:uiPriority w:val="29"/>
    <w:rsid w:val="00467552"/>
    <w:rPr>
      <w:rFonts w:eastAsiaTheme="minorHAnsi"/>
      <w:b/>
      <w:i/>
      <w:iCs/>
      <w:color w:val="554B87"/>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242B78"/>
    <w:rPr>
      <w:rFonts w:asciiTheme="majorHAnsi" w:eastAsiaTheme="majorEastAsia" w:hAnsiTheme="majorHAnsi" w:cstheme="majorBidi"/>
      <w:b/>
      <w:bCs/>
      <w:color w:val="554B87"/>
      <w:sz w:val="24"/>
      <w:szCs w:val="24"/>
    </w:rPr>
  </w:style>
  <w:style w:type="character" w:customStyle="1" w:styleId="Heading5Char">
    <w:name w:val="Heading 5 Char"/>
    <w:basedOn w:val="DefaultParagraphFont"/>
    <w:link w:val="Heading5"/>
    <w:uiPriority w:val="9"/>
    <w:rsid w:val="00242B78"/>
    <w:rPr>
      <w:rFonts w:asciiTheme="majorHAnsi" w:eastAsiaTheme="majorEastAsia" w:hAnsiTheme="majorHAnsi" w:cstheme="majorBidi"/>
      <w:b/>
      <w:color w:val="554B87"/>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8B767F"/>
    <w:pPr>
      <w:keepNext/>
      <w:spacing w:after="0"/>
    </w:pPr>
    <w:rPr>
      <w:rFonts w:asciiTheme="majorHAnsi" w:eastAsiaTheme="minorHAnsi" w:hAnsiTheme="majorHAnsi"/>
      <w:b/>
      <w:color w:val="554B87"/>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242B78"/>
    <w:rPr>
      <w:rFonts w:asciiTheme="majorHAnsi" w:eastAsiaTheme="majorEastAsia" w:hAnsiTheme="majorHAnsi" w:cstheme="majorBidi"/>
      <w:b/>
      <w:i/>
      <w:iCs/>
      <w:color w:val="554B87"/>
    </w:rPr>
  </w:style>
  <w:style w:type="character" w:customStyle="1" w:styleId="Heading7Char">
    <w:name w:val="Heading 7 Char"/>
    <w:basedOn w:val="DefaultParagraphFont"/>
    <w:link w:val="Heading7"/>
    <w:uiPriority w:val="9"/>
    <w:rsid w:val="00242B78"/>
    <w:rPr>
      <w:rFonts w:asciiTheme="majorHAnsi" w:eastAsiaTheme="majorEastAsia" w:hAnsiTheme="majorHAnsi" w:cstheme="majorBidi"/>
      <w:b/>
      <w:i/>
      <w:iCs/>
      <w:color w:val="554B87"/>
    </w:rPr>
  </w:style>
  <w:style w:type="character" w:customStyle="1" w:styleId="Heading8Char">
    <w:name w:val="Heading 8 Char"/>
    <w:basedOn w:val="DefaultParagraphFont"/>
    <w:link w:val="Heading8"/>
    <w:uiPriority w:val="9"/>
    <w:rsid w:val="00242B78"/>
    <w:rPr>
      <w:rFonts w:asciiTheme="majorHAnsi" w:eastAsiaTheme="majorEastAsia" w:hAnsiTheme="majorHAnsi" w:cstheme="majorBidi"/>
      <w:b/>
      <w:color w:val="554B87"/>
      <w:sz w:val="21"/>
      <w:szCs w:val="21"/>
    </w:rPr>
  </w:style>
  <w:style w:type="character" w:customStyle="1" w:styleId="Heading9Char">
    <w:name w:val="Heading 9 Char"/>
    <w:basedOn w:val="DefaultParagraphFont"/>
    <w:link w:val="Heading9"/>
    <w:uiPriority w:val="9"/>
    <w:rsid w:val="00242B78"/>
    <w:rPr>
      <w:rFonts w:asciiTheme="majorHAnsi" w:eastAsiaTheme="majorEastAsia" w:hAnsiTheme="majorHAnsi" w:cstheme="majorBidi"/>
      <w:b/>
      <w:i/>
      <w:iCs/>
      <w:color w:val="554B87"/>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D03AE2"/>
    <w:pPr>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4755A2"/>
    <w:pPr>
      <w:tabs>
        <w:tab w:val="right" w:leader="dot" w:pos="9072"/>
      </w:tabs>
      <w:spacing w:before="120" w:after="0"/>
    </w:pPr>
    <w:rPr>
      <w:b/>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C16794"/>
    <w:pPr>
      <w:numPr>
        <w:numId w:val="3"/>
      </w:numPr>
      <w:ind w:left="567" w:hanging="567"/>
      <w:contextualSpacing/>
    </w:pPr>
  </w:style>
  <w:style w:type="paragraph" w:styleId="FootnoteText">
    <w:name w:val="footnote text"/>
    <w:basedOn w:val="Normal"/>
    <w:link w:val="FootnoteTextChar"/>
    <w:uiPriority w:val="99"/>
    <w:semiHidden/>
    <w:unhideWhenUsed/>
    <w:rsid w:val="003B5B1D"/>
    <w:pPr>
      <w:spacing w:after="0"/>
    </w:pPr>
    <w:rPr>
      <w:sz w:val="20"/>
      <w:szCs w:val="20"/>
    </w:rPr>
  </w:style>
  <w:style w:type="character" w:customStyle="1" w:styleId="FootnoteTextChar">
    <w:name w:val="Footnote Text Char"/>
    <w:basedOn w:val="DefaultParagraphFont"/>
    <w:link w:val="FootnoteText"/>
    <w:uiPriority w:val="99"/>
    <w:semiHidden/>
    <w:rsid w:val="003B5B1D"/>
    <w:rPr>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paragraph" w:styleId="BalloonText">
    <w:name w:val="Balloon Text"/>
    <w:basedOn w:val="Normal"/>
    <w:link w:val="BalloonTextChar"/>
    <w:uiPriority w:val="99"/>
    <w:semiHidden/>
    <w:unhideWhenUsed/>
    <w:rsid w:val="009372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2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734609">
      <w:bodyDiv w:val="1"/>
      <w:marLeft w:val="0"/>
      <w:marRight w:val="0"/>
      <w:marTop w:val="0"/>
      <w:marBottom w:val="0"/>
      <w:divBdr>
        <w:top w:val="none" w:sz="0" w:space="0" w:color="auto"/>
        <w:left w:val="none" w:sz="0" w:space="0" w:color="auto"/>
        <w:bottom w:val="none" w:sz="0" w:space="0" w:color="auto"/>
        <w:right w:val="none" w:sz="0" w:space="0" w:color="auto"/>
      </w:divBdr>
    </w:div>
    <w:div w:id="163259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4332239720034998"/>
        </c:manualLayout>
      </c:layout>
      <c:barChart>
        <c:barDir val="col"/>
        <c:grouping val="clustered"/>
        <c:varyColors val="0"/>
        <c:ser>
          <c:idx val="0"/>
          <c:order val="0"/>
          <c:tx>
            <c:strRef>
              <c:f>'NT '!$B$39</c:f>
              <c:strCache>
                <c:ptCount val="1"/>
                <c:pt idx="0">
                  <c:v>2016-17</c:v>
                </c:pt>
              </c:strCache>
            </c:strRef>
          </c:tx>
          <c:spPr>
            <a:solidFill>
              <a:srgbClr val="646464"/>
            </a:solidFill>
            <a:ln>
              <a:solidFill>
                <a:srgbClr val="646464"/>
              </a:solidFill>
            </a:ln>
            <a:effectLst/>
          </c:spPr>
          <c:invertIfNegative val="0"/>
          <c:cat>
            <c:strRef>
              <c:f>'NT '!$A$40:$A$43</c:f>
              <c:strCache>
                <c:ptCount val="4"/>
                <c:pt idx="0">
                  <c:v>Art museums</c:v>
                </c:pt>
                <c:pt idx="1">
                  <c:v>Other museums &amp; cultural heritage</c:v>
                </c:pt>
                <c:pt idx="2">
                  <c:v>Libraries</c:v>
                </c:pt>
                <c:pt idx="3">
                  <c:v>Archives</c:v>
                </c:pt>
              </c:strCache>
            </c:strRef>
          </c:cat>
          <c:val>
            <c:numRef>
              <c:f>'NT '!$B$40:$B$43</c:f>
              <c:numCache>
                <c:formatCode>0.0</c:formatCode>
                <c:ptCount val="4"/>
                <c:pt idx="0">
                  <c:v>14.494999999999999</c:v>
                </c:pt>
                <c:pt idx="1">
                  <c:v>6.899</c:v>
                </c:pt>
                <c:pt idx="2">
                  <c:v>11.196</c:v>
                </c:pt>
                <c:pt idx="3">
                  <c:v>1.387</c:v>
                </c:pt>
              </c:numCache>
            </c:numRef>
          </c:val>
          <c:extLst>
            <c:ext xmlns:c16="http://schemas.microsoft.com/office/drawing/2014/chart" uri="{C3380CC4-5D6E-409C-BE32-E72D297353CC}">
              <c16:uniqueId val="{00000000-EDDB-4126-8940-F0564E55BB41}"/>
            </c:ext>
          </c:extLst>
        </c:ser>
        <c:ser>
          <c:idx val="1"/>
          <c:order val="1"/>
          <c:tx>
            <c:strRef>
              <c:f>'NT '!$C$39</c:f>
              <c:strCache>
                <c:ptCount val="1"/>
                <c:pt idx="0">
                  <c:v>2017-18</c:v>
                </c:pt>
              </c:strCache>
            </c:strRef>
          </c:tx>
          <c:spPr>
            <a:solidFill>
              <a:srgbClr val="0F293A"/>
            </a:solidFill>
            <a:ln>
              <a:solidFill>
                <a:srgbClr val="0F293A"/>
              </a:solidFill>
            </a:ln>
            <a:effectLst/>
          </c:spPr>
          <c:invertIfNegative val="0"/>
          <c:cat>
            <c:strRef>
              <c:f>'NT '!$A$40:$A$43</c:f>
              <c:strCache>
                <c:ptCount val="4"/>
                <c:pt idx="0">
                  <c:v>Art museums</c:v>
                </c:pt>
                <c:pt idx="1">
                  <c:v>Other museums &amp; cultural heritage</c:v>
                </c:pt>
                <c:pt idx="2">
                  <c:v>Libraries</c:v>
                </c:pt>
                <c:pt idx="3">
                  <c:v>Archives</c:v>
                </c:pt>
              </c:strCache>
            </c:strRef>
          </c:cat>
          <c:val>
            <c:numRef>
              <c:f>'NT '!$C$40:$C$43</c:f>
              <c:numCache>
                <c:formatCode>#,##0.0</c:formatCode>
                <c:ptCount val="4"/>
                <c:pt idx="0">
                  <c:v>22.55</c:v>
                </c:pt>
                <c:pt idx="1">
                  <c:v>7.2949999999999999</c:v>
                </c:pt>
                <c:pt idx="2">
                  <c:v>10.318</c:v>
                </c:pt>
                <c:pt idx="3">
                  <c:v>1.6870000000000001</c:v>
                </c:pt>
              </c:numCache>
            </c:numRef>
          </c:val>
          <c:extLst>
            <c:ext xmlns:c16="http://schemas.microsoft.com/office/drawing/2014/chart" uri="{C3380CC4-5D6E-409C-BE32-E72D297353CC}">
              <c16:uniqueId val="{00000001-EDDB-4126-8940-F0564E55BB41}"/>
            </c:ext>
          </c:extLst>
        </c:ser>
        <c:ser>
          <c:idx val="2"/>
          <c:order val="2"/>
          <c:tx>
            <c:strRef>
              <c:f>'NT '!$D$39</c:f>
              <c:strCache>
                <c:ptCount val="1"/>
                <c:pt idx="0">
                  <c:v>2019-20</c:v>
                </c:pt>
              </c:strCache>
            </c:strRef>
          </c:tx>
          <c:spPr>
            <a:solidFill>
              <a:srgbClr val="513AC4"/>
            </a:solidFill>
            <a:ln>
              <a:solidFill>
                <a:srgbClr val="513AC4"/>
              </a:solidFill>
            </a:ln>
            <a:effectLst/>
          </c:spPr>
          <c:invertIfNegative val="0"/>
          <c:cat>
            <c:strRef>
              <c:f>'NT '!$A$40:$A$43</c:f>
              <c:strCache>
                <c:ptCount val="4"/>
                <c:pt idx="0">
                  <c:v>Art museums</c:v>
                </c:pt>
                <c:pt idx="1">
                  <c:v>Other museums &amp; cultural heritage</c:v>
                </c:pt>
                <c:pt idx="2">
                  <c:v>Libraries</c:v>
                </c:pt>
                <c:pt idx="3">
                  <c:v>Archives</c:v>
                </c:pt>
              </c:strCache>
            </c:strRef>
          </c:cat>
          <c:val>
            <c:numRef>
              <c:f>'NT '!$D$40:$D$43</c:f>
              <c:numCache>
                <c:formatCode>#,##0.0</c:formatCode>
                <c:ptCount val="4"/>
                <c:pt idx="0">
                  <c:v>19.686</c:v>
                </c:pt>
                <c:pt idx="1">
                  <c:v>5.8</c:v>
                </c:pt>
                <c:pt idx="2">
                  <c:v>10.506</c:v>
                </c:pt>
                <c:pt idx="3">
                  <c:v>1.1120000000000001</c:v>
                </c:pt>
              </c:numCache>
            </c:numRef>
          </c:val>
          <c:extLst>
            <c:ext xmlns:c16="http://schemas.microsoft.com/office/drawing/2014/chart" uri="{C3380CC4-5D6E-409C-BE32-E72D297353CC}">
              <c16:uniqueId val="{00000002-EDDB-4126-8940-F0564E55BB41}"/>
            </c:ext>
          </c:extLst>
        </c:ser>
        <c:dLbls>
          <c:showLegendKey val="0"/>
          <c:showVal val="0"/>
          <c:showCatName val="0"/>
          <c:showSerName val="0"/>
          <c:showPercent val="0"/>
          <c:showBubbleSize val="0"/>
        </c:dLbls>
        <c:gapWidth val="100"/>
        <c:overlap val="-10"/>
        <c:axId val="233174528"/>
        <c:axId val="233176064"/>
      </c:barChart>
      <c:catAx>
        <c:axId val="233174528"/>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3176064"/>
        <c:crosses val="autoZero"/>
        <c:auto val="1"/>
        <c:lblAlgn val="ctr"/>
        <c:lblOffset val="100"/>
        <c:noMultiLvlLbl val="0"/>
      </c:catAx>
      <c:valAx>
        <c:axId val="23317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3174528"/>
        <c:crosses val="autoZero"/>
        <c:crossBetween val="between"/>
      </c:valAx>
      <c:spPr>
        <a:noFill/>
        <a:ln>
          <a:noFill/>
        </a:ln>
        <a:effectLst/>
      </c:spPr>
    </c:plotArea>
    <c:legend>
      <c:legendPos val="tr"/>
      <c:layout>
        <c:manualLayout>
          <c:xMode val="edge"/>
          <c:yMode val="edge"/>
          <c:x val="0.82819477195305169"/>
          <c:y val="0.21381962671332749"/>
          <c:w val="0.12888451443569557"/>
          <c:h val="0.170798702245552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6877669143425138"/>
        </c:manualLayout>
      </c:layout>
      <c:barChart>
        <c:barDir val="col"/>
        <c:grouping val="clustered"/>
        <c:varyColors val="0"/>
        <c:ser>
          <c:idx val="0"/>
          <c:order val="0"/>
          <c:tx>
            <c:strRef>
              <c:f>'NT '!$B$49</c:f>
              <c:strCache>
                <c:ptCount val="1"/>
                <c:pt idx="0">
                  <c:v>2016-17</c:v>
                </c:pt>
              </c:strCache>
            </c:strRef>
          </c:tx>
          <c:spPr>
            <a:solidFill>
              <a:srgbClr val="646464"/>
            </a:solidFill>
            <a:ln>
              <a:solidFill>
                <a:srgbClr val="646464"/>
              </a:solidFill>
            </a:ln>
            <a:effectLst/>
          </c:spPr>
          <c:invertIfNegative val="0"/>
          <c:cat>
            <c:strRef>
              <c:f>'NT '!$A$50:$A$56</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'NT '!$B$50:$B$56</c:f>
              <c:numCache>
                <c:formatCode>#,##0.0</c:formatCode>
                <c:ptCount val="7"/>
                <c:pt idx="0">
                  <c:v>0.83699999999999997</c:v>
                </c:pt>
                <c:pt idx="1">
                  <c:v>3.2080000000000002</c:v>
                </c:pt>
                <c:pt idx="2">
                  <c:v>1.5880000000000001</c:v>
                </c:pt>
                <c:pt idx="3">
                  <c:v>1.0649999999999999</c:v>
                </c:pt>
                <c:pt idx="4">
                  <c:v>2.94</c:v>
                </c:pt>
                <c:pt idx="5">
                  <c:v>3.5670000000000002</c:v>
                </c:pt>
                <c:pt idx="6">
                  <c:v>6.1420000000000003</c:v>
                </c:pt>
              </c:numCache>
            </c:numRef>
          </c:val>
          <c:extLst>
            <c:ext xmlns:c16="http://schemas.microsoft.com/office/drawing/2014/chart" uri="{C3380CC4-5D6E-409C-BE32-E72D297353CC}">
              <c16:uniqueId val="{00000000-9505-462F-BB59-F1842F97379B}"/>
            </c:ext>
          </c:extLst>
        </c:ser>
        <c:ser>
          <c:idx val="1"/>
          <c:order val="1"/>
          <c:tx>
            <c:strRef>
              <c:f>'NT '!$C$49</c:f>
              <c:strCache>
                <c:ptCount val="1"/>
                <c:pt idx="0">
                  <c:v>2017-18</c:v>
                </c:pt>
              </c:strCache>
            </c:strRef>
          </c:tx>
          <c:spPr>
            <a:solidFill>
              <a:srgbClr val="0F293A"/>
            </a:solidFill>
            <a:ln>
              <a:solidFill>
                <a:srgbClr val="0F293A"/>
              </a:solidFill>
            </a:ln>
            <a:effectLst/>
          </c:spPr>
          <c:invertIfNegative val="0"/>
          <c:cat>
            <c:strRef>
              <c:f>'NT '!$A$50:$A$56</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'NT '!$C$50:$C$56</c:f>
              <c:numCache>
                <c:formatCode>#,##0.0</c:formatCode>
                <c:ptCount val="7"/>
                <c:pt idx="0">
                  <c:v>3.069</c:v>
                </c:pt>
                <c:pt idx="1">
                  <c:v>3.6240000000000001</c:v>
                </c:pt>
                <c:pt idx="2">
                  <c:v>2.6909999999999998</c:v>
                </c:pt>
                <c:pt idx="3">
                  <c:v>1.5209999999999999</c:v>
                </c:pt>
                <c:pt idx="4">
                  <c:v>3.226</c:v>
                </c:pt>
                <c:pt idx="5">
                  <c:v>4.3289999999999997</c:v>
                </c:pt>
                <c:pt idx="6">
                  <c:v>6.84</c:v>
                </c:pt>
              </c:numCache>
            </c:numRef>
          </c:val>
          <c:extLst>
            <c:ext xmlns:c16="http://schemas.microsoft.com/office/drawing/2014/chart" uri="{C3380CC4-5D6E-409C-BE32-E72D297353CC}">
              <c16:uniqueId val="{00000001-9505-462F-BB59-F1842F97379B}"/>
            </c:ext>
          </c:extLst>
        </c:ser>
        <c:ser>
          <c:idx val="2"/>
          <c:order val="2"/>
          <c:tx>
            <c:strRef>
              <c:f>'NT '!$D$49</c:f>
              <c:strCache>
                <c:ptCount val="1"/>
                <c:pt idx="0">
                  <c:v>2019-20</c:v>
                </c:pt>
              </c:strCache>
            </c:strRef>
          </c:tx>
          <c:spPr>
            <a:solidFill>
              <a:srgbClr val="513AC4"/>
            </a:solidFill>
            <a:ln>
              <a:solidFill>
                <a:srgbClr val="513AC4"/>
              </a:solidFill>
            </a:ln>
            <a:effectLst/>
          </c:spPr>
          <c:invertIfNegative val="0"/>
          <c:cat>
            <c:strRef>
              <c:f>'NT '!$A$50:$A$56</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'NT '!$D$50:$D$56</c:f>
              <c:numCache>
                <c:formatCode>#,##0.0</c:formatCode>
                <c:ptCount val="7"/>
                <c:pt idx="0">
                  <c:v>2.1070000000000002</c:v>
                </c:pt>
                <c:pt idx="1">
                  <c:v>3.2269999999999999</c:v>
                </c:pt>
                <c:pt idx="2">
                  <c:v>7.157</c:v>
                </c:pt>
                <c:pt idx="3">
                  <c:v>3.3170000000000002</c:v>
                </c:pt>
                <c:pt idx="4">
                  <c:v>3.1</c:v>
                </c:pt>
                <c:pt idx="5">
                  <c:v>5.0389999999999997</c:v>
                </c:pt>
                <c:pt idx="6">
                  <c:v>9.827</c:v>
                </c:pt>
              </c:numCache>
            </c:numRef>
          </c:val>
          <c:extLst>
            <c:ext xmlns:c16="http://schemas.microsoft.com/office/drawing/2014/chart" uri="{C3380CC4-5D6E-409C-BE32-E72D297353CC}">
              <c16:uniqueId val="{00000002-9505-462F-BB59-F1842F97379B}"/>
            </c:ext>
          </c:extLst>
        </c:ser>
        <c:dLbls>
          <c:showLegendKey val="0"/>
          <c:showVal val="0"/>
          <c:showCatName val="0"/>
          <c:showSerName val="0"/>
          <c:showPercent val="0"/>
          <c:showBubbleSize val="0"/>
        </c:dLbls>
        <c:gapWidth val="100"/>
        <c:overlap val="-10"/>
        <c:axId val="232569472"/>
        <c:axId val="232571264"/>
      </c:barChart>
      <c:catAx>
        <c:axId val="232569472"/>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571264"/>
        <c:crosses val="autoZero"/>
        <c:auto val="1"/>
        <c:lblAlgn val="ctr"/>
        <c:lblOffset val="100"/>
        <c:noMultiLvlLbl val="0"/>
      </c:catAx>
      <c:valAx>
        <c:axId val="23257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569472"/>
        <c:crosses val="autoZero"/>
        <c:crossBetween val="between"/>
        <c:majorUnit val="4"/>
      </c:valAx>
      <c:spPr>
        <a:noFill/>
        <a:ln>
          <a:noFill/>
        </a:ln>
        <a:effectLst/>
      </c:spPr>
    </c:plotArea>
    <c:legend>
      <c:legendPos val="tr"/>
      <c:layout>
        <c:manualLayout>
          <c:xMode val="edge"/>
          <c:yMode val="edge"/>
          <c:x val="0.5626134618182993"/>
          <c:y val="0.13452026829979583"/>
          <c:w val="0.12128202878990797"/>
          <c:h val="0.1840261633962421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26905950041702"/>
          <c:y val="5.0925925925925923E-2"/>
          <c:w val="0.64199552546706573"/>
          <c:h val="0.83629278048496247"/>
        </c:manualLayout>
      </c:layout>
      <c:barChart>
        <c:barDir val="bar"/>
        <c:grouping val="clustered"/>
        <c:varyColors val="0"/>
        <c:ser>
          <c:idx val="0"/>
          <c:order val="0"/>
          <c:tx>
            <c:strRef>
              <c:f>'NT '!$B$61</c:f>
              <c:strCache>
                <c:ptCount val="1"/>
                <c:pt idx="0">
                  <c:v>2019-20</c:v>
                </c:pt>
              </c:strCache>
            </c:strRef>
          </c:tx>
          <c:spPr>
            <a:solidFill>
              <a:srgbClr val="513AC4"/>
            </a:solidFill>
            <a:ln>
              <a:solidFill>
                <a:srgbClr val="513AC4"/>
              </a:solidFill>
            </a:ln>
            <a:effectLst/>
          </c:spPr>
          <c:invertIfNegative val="0"/>
          <c:cat>
            <c:strRef>
              <c:f>'NT '!$A$62:$A$70</c:f>
              <c:strCache>
                <c:ptCount val="9"/>
                <c:pt idx="0">
                  <c:v>Arts administration</c:v>
                </c:pt>
                <c:pt idx="1">
                  <c:v>Multi-arts festivals</c:v>
                </c:pt>
                <c:pt idx="2">
                  <c:v>Arts education</c:v>
                </c:pt>
                <c:pt idx="3">
                  <c:v>Film &amp; video production &amp; distribution</c:v>
                </c:pt>
                <c:pt idx="4">
                  <c:v>Visual arts &amp; crafts</c:v>
                </c:pt>
                <c:pt idx="5">
                  <c:v>Performing arts venues</c:v>
                </c:pt>
                <c:pt idx="6">
                  <c:v>Libraries</c:v>
                </c:pt>
                <c:pt idx="7">
                  <c:v>Other museums &amp; cultural heritage</c:v>
                </c:pt>
                <c:pt idx="8">
                  <c:v>Art museums</c:v>
                </c:pt>
              </c:strCache>
            </c:strRef>
          </c:cat>
          <c:val>
            <c:numRef>
              <c:f>'NT '!$B$62:$B$70</c:f>
              <c:numCache>
                <c:formatCode>0.0</c:formatCode>
                <c:ptCount val="9"/>
                <c:pt idx="0">
                  <c:v>9.7850000000000001</c:v>
                </c:pt>
                <c:pt idx="1">
                  <c:v>5.0270000000000001</c:v>
                </c:pt>
                <c:pt idx="2">
                  <c:v>3.1</c:v>
                </c:pt>
                <c:pt idx="3">
                  <c:v>3.282</c:v>
                </c:pt>
                <c:pt idx="4" formatCode="#,##0.0">
                  <c:v>7.1020000000000003</c:v>
                </c:pt>
                <c:pt idx="5" formatCode="#,##0.0">
                  <c:v>2.3809999999999998</c:v>
                </c:pt>
                <c:pt idx="6">
                  <c:v>10.391999999999999</c:v>
                </c:pt>
                <c:pt idx="7">
                  <c:v>5.6420000000000003</c:v>
                </c:pt>
                <c:pt idx="8">
                  <c:v>12.478</c:v>
                </c:pt>
              </c:numCache>
            </c:numRef>
          </c:val>
          <c:extLst>
            <c:ext xmlns:c16="http://schemas.microsoft.com/office/drawing/2014/chart" uri="{C3380CC4-5D6E-409C-BE32-E72D297353CC}">
              <c16:uniqueId val="{00000000-BB35-41F2-ABC1-779A4561C2DB}"/>
            </c:ext>
          </c:extLst>
        </c:ser>
        <c:ser>
          <c:idx val="1"/>
          <c:order val="1"/>
          <c:tx>
            <c:strRef>
              <c:f>'NT '!$C$61</c:f>
              <c:strCache>
                <c:ptCount val="1"/>
                <c:pt idx="0">
                  <c:v>2017-18</c:v>
                </c:pt>
              </c:strCache>
            </c:strRef>
          </c:tx>
          <c:spPr>
            <a:solidFill>
              <a:srgbClr val="0F293A"/>
            </a:solidFill>
            <a:ln>
              <a:solidFill>
                <a:srgbClr val="0F293A"/>
              </a:solidFill>
            </a:ln>
            <a:effectLst/>
          </c:spPr>
          <c:invertIfNegative val="0"/>
          <c:cat>
            <c:strRef>
              <c:f>'NT '!$A$62:$A$70</c:f>
              <c:strCache>
                <c:ptCount val="9"/>
                <c:pt idx="0">
                  <c:v>Arts administration</c:v>
                </c:pt>
                <c:pt idx="1">
                  <c:v>Multi-arts festivals</c:v>
                </c:pt>
                <c:pt idx="2">
                  <c:v>Arts education</c:v>
                </c:pt>
                <c:pt idx="3">
                  <c:v>Film &amp; video production &amp; distribution</c:v>
                </c:pt>
                <c:pt idx="4">
                  <c:v>Visual arts &amp; crafts</c:v>
                </c:pt>
                <c:pt idx="5">
                  <c:v>Performing arts venues</c:v>
                </c:pt>
                <c:pt idx="6">
                  <c:v>Libraries</c:v>
                </c:pt>
                <c:pt idx="7">
                  <c:v>Other museums &amp; cultural heritage</c:v>
                </c:pt>
                <c:pt idx="8">
                  <c:v>Art museums</c:v>
                </c:pt>
              </c:strCache>
            </c:strRef>
          </c:cat>
          <c:val>
            <c:numRef>
              <c:f>'NT '!$C$62:$C$70</c:f>
              <c:numCache>
                <c:formatCode>0.0</c:formatCode>
                <c:ptCount val="9"/>
                <c:pt idx="0">
                  <c:v>6.84</c:v>
                </c:pt>
                <c:pt idx="1">
                  <c:v>4.3289999999999997</c:v>
                </c:pt>
                <c:pt idx="2">
                  <c:v>3.226</c:v>
                </c:pt>
                <c:pt idx="3">
                  <c:v>1.5209999999999999</c:v>
                </c:pt>
                <c:pt idx="4" formatCode="#,##0.0">
                  <c:v>2.6909999999999998</c:v>
                </c:pt>
                <c:pt idx="5" formatCode="#,##0.0">
                  <c:v>2.5470000000000002</c:v>
                </c:pt>
                <c:pt idx="6">
                  <c:v>10.287000000000001</c:v>
                </c:pt>
                <c:pt idx="7">
                  <c:v>7.0229999999999997</c:v>
                </c:pt>
                <c:pt idx="8">
                  <c:v>15.704000000000001</c:v>
                </c:pt>
              </c:numCache>
            </c:numRef>
          </c:val>
          <c:extLst>
            <c:ext xmlns:c16="http://schemas.microsoft.com/office/drawing/2014/chart" uri="{C3380CC4-5D6E-409C-BE32-E72D297353CC}">
              <c16:uniqueId val="{00000001-BB35-41F2-ABC1-779A4561C2DB}"/>
            </c:ext>
          </c:extLst>
        </c:ser>
        <c:ser>
          <c:idx val="2"/>
          <c:order val="2"/>
          <c:tx>
            <c:strRef>
              <c:f>'NT '!$D$61</c:f>
              <c:strCache>
                <c:ptCount val="1"/>
                <c:pt idx="0">
                  <c:v>2016-17</c:v>
                </c:pt>
              </c:strCache>
            </c:strRef>
          </c:tx>
          <c:spPr>
            <a:solidFill>
              <a:srgbClr val="646464"/>
            </a:solidFill>
            <a:ln>
              <a:solidFill>
                <a:srgbClr val="646464"/>
              </a:solidFill>
            </a:ln>
            <a:effectLst/>
          </c:spPr>
          <c:invertIfNegative val="0"/>
          <c:cat>
            <c:strRef>
              <c:f>'NT '!$A$62:$A$70</c:f>
              <c:strCache>
                <c:ptCount val="9"/>
                <c:pt idx="0">
                  <c:v>Arts administration</c:v>
                </c:pt>
                <c:pt idx="1">
                  <c:v>Multi-arts festivals</c:v>
                </c:pt>
                <c:pt idx="2">
                  <c:v>Arts education</c:v>
                </c:pt>
                <c:pt idx="3">
                  <c:v>Film &amp; video production &amp; distribution</c:v>
                </c:pt>
                <c:pt idx="4">
                  <c:v>Visual arts &amp; crafts</c:v>
                </c:pt>
                <c:pt idx="5">
                  <c:v>Performing arts venues</c:v>
                </c:pt>
                <c:pt idx="6">
                  <c:v>Libraries</c:v>
                </c:pt>
                <c:pt idx="7">
                  <c:v>Other museums &amp; cultural heritage</c:v>
                </c:pt>
                <c:pt idx="8">
                  <c:v>Art museums</c:v>
                </c:pt>
              </c:strCache>
            </c:strRef>
          </c:cat>
          <c:val>
            <c:numRef>
              <c:f>'NT '!$D$62:$D$70</c:f>
              <c:numCache>
                <c:formatCode>0.0</c:formatCode>
                <c:ptCount val="9"/>
                <c:pt idx="0">
                  <c:v>6.1420000000000003</c:v>
                </c:pt>
                <c:pt idx="1">
                  <c:v>3.5670000000000002</c:v>
                </c:pt>
                <c:pt idx="2">
                  <c:v>2.94</c:v>
                </c:pt>
                <c:pt idx="3">
                  <c:v>1.0649999999999999</c:v>
                </c:pt>
                <c:pt idx="4" formatCode="#,##0.0">
                  <c:v>1.5880000000000001</c:v>
                </c:pt>
                <c:pt idx="5" formatCode="#,##0.0">
                  <c:v>3.0169999999999999</c:v>
                </c:pt>
                <c:pt idx="6">
                  <c:v>11.08</c:v>
                </c:pt>
                <c:pt idx="7">
                  <c:v>6.899</c:v>
                </c:pt>
                <c:pt idx="8">
                  <c:v>12.154999999999999</c:v>
                </c:pt>
              </c:numCache>
            </c:numRef>
          </c:val>
          <c:extLst>
            <c:ext xmlns:c16="http://schemas.microsoft.com/office/drawing/2014/chart" uri="{C3380CC4-5D6E-409C-BE32-E72D297353CC}">
              <c16:uniqueId val="{00000002-BB35-41F2-ABC1-779A4561C2DB}"/>
            </c:ext>
          </c:extLst>
        </c:ser>
        <c:dLbls>
          <c:showLegendKey val="0"/>
          <c:showVal val="0"/>
          <c:showCatName val="0"/>
          <c:showSerName val="0"/>
          <c:showPercent val="0"/>
          <c:showBubbleSize val="0"/>
        </c:dLbls>
        <c:gapWidth val="182"/>
        <c:axId val="232960000"/>
        <c:axId val="232961536"/>
      </c:barChart>
      <c:catAx>
        <c:axId val="232960000"/>
        <c:scaling>
          <c:orientation val="minMax"/>
        </c:scaling>
        <c:delete val="0"/>
        <c:axPos val="l"/>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961536"/>
        <c:crosses val="autoZero"/>
        <c:auto val="1"/>
        <c:lblAlgn val="ctr"/>
        <c:lblOffset val="100"/>
        <c:noMultiLvlLbl val="0"/>
      </c:catAx>
      <c:valAx>
        <c:axId val="232961536"/>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AU" sz="800">
                    <a:latin typeface="+mn-lt"/>
                  </a:rPr>
                  <a:t>$m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960000"/>
        <c:crosses val="autoZero"/>
        <c:crossBetween val="between"/>
      </c:valAx>
      <c:spPr>
        <a:noFill/>
        <a:ln>
          <a:noFill/>
        </a:ln>
        <a:effectLst/>
      </c:spPr>
    </c:plotArea>
    <c:legend>
      <c:legendPos val="r"/>
      <c:layout>
        <c:manualLayout>
          <c:xMode val="edge"/>
          <c:yMode val="edge"/>
          <c:x val="0.84017966895893081"/>
          <c:y val="0.39530558680164979"/>
          <c:w val="0.10557127690485461"/>
          <c:h val="0.1357044813842714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bb3dd3da83ee067048d483c7eaa6ef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2.xml><?xml version="1.0" encoding="utf-8"?>
<ds:datastoreItem xmlns:ds="http://schemas.openxmlformats.org/officeDocument/2006/customXml" ds:itemID="{6341CC56-E6C3-4D29-BCD7-A348BAABA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6A7B9E-5BD0-4F63-8F8D-1187124C6A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447EBA-4578-4C3F-86D8-CDAF8DB7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Cultural Funding by Government — 2017–18 — Australian Capital Territory Government</vt:lpstr>
    </vt:vector>
  </TitlesOfParts>
  <Company>Department of Communications and the Arts</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Funding by Government — 2017–18 — Australian Capital Territory Government</dc:title>
  <dc:subject/>
  <dc:creator>Department of Communications and the Arts</dc:creator>
  <cp:keywords/>
  <dc:description>22 November 2018</dc:description>
  <cp:lastModifiedBy>Tammie Butterick</cp:lastModifiedBy>
  <cp:revision>5</cp:revision>
  <dcterms:created xsi:type="dcterms:W3CDTF">2021-07-24T23:46:00Z</dcterms:created>
  <dcterms:modified xsi:type="dcterms:W3CDTF">2021-07-25T02:56:00Z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0x010100878DFF0E8D596C459BF6924D447E3E9E</vt:lpwstr>
  </property>
  <property fmtid="{D5CDD505-2E9C-101B-9397-08002B2CF9AE}" pid="3" name="TrimRevisionNumber">
    <vt:i4>15</vt:i4>
  </property>
  <property fmtid="{D5CDD505-2E9C-101B-9397-08002B2CF9AE}" pid="4" name="MSIP_Label_c8e5a7ee-c283-40b0-98eb-fa437df4c031_Enabled">
    <vt:lpwstr>true</vt:lpwstr>
  </property>
  <property fmtid="{D5CDD505-2E9C-101B-9397-08002B2CF9AE}" pid="5" name="MSIP_Label_c8e5a7ee-c283-40b0-98eb-fa437df4c031_SetDate">
    <vt:lpwstr>2021-05-24T06:12:49Z</vt:lpwstr>
  </property>
  <property fmtid="{D5CDD505-2E9C-101B-9397-08002B2CF9AE}" pid="6" name="MSIP_Label_c8e5a7ee-c283-40b0-98eb-fa437df4c031_Method">
    <vt:lpwstr>Privileged</vt:lpwstr>
  </property>
  <property fmtid="{D5CDD505-2E9C-101B-9397-08002B2CF9AE}" pid="7" name="MSIP_Label_c8e5a7ee-c283-40b0-98eb-fa437df4c031_Name">
    <vt:lpwstr>OFFICIAL</vt:lpwstr>
  </property>
  <property fmtid="{D5CDD505-2E9C-101B-9397-08002B2CF9AE}" pid="8" name="MSIP_Label_c8e5a7ee-c283-40b0-98eb-fa437df4c031_SiteId">
    <vt:lpwstr>34cdb737-c4fa-4c21-9a34-88ac2d721f88</vt:lpwstr>
  </property>
  <property fmtid="{D5CDD505-2E9C-101B-9397-08002B2CF9AE}" pid="9" name="MSIP_Label_c8e5a7ee-c283-40b0-98eb-fa437df4c031_ActionId">
    <vt:lpwstr>36e9c0c6-e779-4b10-951d-afe6c3648178</vt:lpwstr>
  </property>
  <property fmtid="{D5CDD505-2E9C-101B-9397-08002B2CF9AE}" pid="10" name="MSIP_Label_c8e5a7ee-c283-40b0-98eb-fa437df4c031_ContentBits">
    <vt:lpwstr>0</vt:lpwstr>
  </property>
</Properties>
</file>