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DD" w:rsidRPr="00F125DD" w:rsidRDefault="00F125DD" w:rsidP="00E22FEE">
      <w:pPr>
        <w:pStyle w:val="H1"/>
      </w:pPr>
      <w:bookmarkStart w:id="0" w:name="_Toc430070675"/>
      <w:r w:rsidRPr="00F125DD">
        <w:t>ISSUES TO BE A</w:t>
      </w:r>
      <w:r w:rsidR="000F7FDD">
        <w:t>D</w:t>
      </w:r>
      <w:r w:rsidRPr="00F125DD">
        <w:t>DRESSED</w:t>
      </w:r>
      <w:bookmarkEnd w:id="0"/>
    </w:p>
    <w:p w:rsidR="00F125DD" w:rsidRDefault="00F125DD" w:rsidP="00E22FEE">
      <w:pPr>
        <w:pStyle w:val="H2"/>
      </w:pPr>
      <w:r w:rsidRPr="00F125DD">
        <w:t>Chapter 8: Where the companies should head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Where the companies should head"/>
      </w:tblPr>
      <w:tblGrid>
        <w:gridCol w:w="1242"/>
        <w:gridCol w:w="8000"/>
      </w:tblGrid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8.1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The basis on which companies should be supported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8.1.2.1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Continue with current approach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8.1.2.2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Modify the criteria and increase an </w:t>
            </w:r>
            <w:proofErr w:type="spellStart"/>
            <w:r w:rsidRPr="00F125DD">
              <w:rPr>
                <w:rFonts w:ascii="Arial" w:hAnsi="Arial" w:cs="Arial"/>
                <w:sz w:val="21"/>
                <w:szCs w:val="21"/>
              </w:rPr>
              <w:t>artform</w:t>
            </w:r>
            <w:proofErr w:type="spellEnd"/>
            <w:r w:rsidRPr="00F125DD">
              <w:rPr>
                <w:rFonts w:ascii="Arial" w:hAnsi="Arial" w:cs="Arial"/>
                <w:sz w:val="21"/>
                <w:szCs w:val="21"/>
              </w:rPr>
              <w:t>/strategic focus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8.1.2.3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Modify the criteria and introduce separate </w:t>
            </w:r>
            <w:proofErr w:type="spellStart"/>
            <w:r w:rsidRPr="00F125DD">
              <w:rPr>
                <w:rFonts w:ascii="Arial" w:hAnsi="Arial" w:cs="Arial"/>
                <w:sz w:val="21"/>
                <w:szCs w:val="21"/>
              </w:rPr>
              <w:t>artform</w:t>
            </w:r>
            <w:proofErr w:type="spellEnd"/>
            <w:r w:rsidRPr="00F125DD">
              <w:rPr>
                <w:rFonts w:ascii="Arial" w:hAnsi="Arial" w:cs="Arial"/>
                <w:sz w:val="21"/>
                <w:szCs w:val="21"/>
              </w:rPr>
              <w:t>/strategic focus criteria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8.2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Role of Governments in agreeing companies’ strategic direction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8.2.2.1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Continue 2011 CMC arrangements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8.2.2.2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Define each company’s role more strategically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8.2.2.3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Adopt a segmented approach based on the nature of activities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8.2.2.4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Significantly reduce government strategic oversight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8.3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What type of activities should be supported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8.3.2.1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All activities considered for government funding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8.3.2.2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Only fund core activities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8.3.2.3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Provide base funding for core activities and project funding for events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8.4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Which companies should be supported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8.4.2.1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Give Opera Queensland time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8.4.2.2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Exit Opera Queensland now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8.4.2.3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Consider Victorian Opera for entry</w:t>
            </w:r>
          </w:p>
        </w:tc>
      </w:tr>
    </w:tbl>
    <w:p w:rsidR="00F125DD" w:rsidRPr="00F125DD" w:rsidRDefault="00F125DD" w:rsidP="00E22FEE">
      <w:pPr>
        <w:pStyle w:val="H2"/>
      </w:pPr>
      <w:r w:rsidRPr="00F125DD">
        <w:t>Chapter 9: How the Major Opera Companies should operate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How the Major Opera Companies should operate"/>
      </w:tblPr>
      <w:tblGrid>
        <w:gridCol w:w="1242"/>
        <w:gridCol w:w="8000"/>
      </w:tblGrid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9.1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Within the same geographies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9.1.2.1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Provide funding for Opera Australia to deliver opera elsewhere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9.1.2.2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Encourage co-productions between Opera Australia and other Major Opera Companies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9.1.2.3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Encourage Opera Australia to focus on Sydney and Melbourne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9.1.2.4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Have Opera Australia focus exclusively on Sydney, find another approach for Melbourne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9.2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With productions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9.2.2.1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Continue with the current approach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9.2.2.2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Allow three of the four companies to determine the repertoire choice for Opera Conference funding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9.2.2.3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Encourage international co-productions via Opera Conference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9.2.2.4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Allocate Opera Conference funding to each company on the proviso they co</w:t>
            </w:r>
            <w:r w:rsidRPr="00F125DD">
              <w:rPr>
                <w:rFonts w:ascii="Arial" w:hAnsi="Arial" w:cs="Arial"/>
                <w:sz w:val="21"/>
                <w:szCs w:val="21"/>
              </w:rPr>
              <w:noBreakHyphen/>
              <w:t>operate with at least one other Major Opera Company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9.2.2.5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Discontinue Opera Conference funding with its either being reallocated to the companies as core funding or used for another purpose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9.3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With touring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9.3.2.1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Continue with the status quo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9.3.2.2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Have one company undertake the activity for all regional Australia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9.3.2.3  </w:t>
            </w:r>
          </w:p>
        </w:tc>
        <w:tc>
          <w:tcPr>
            <w:tcW w:w="8000" w:type="dxa"/>
          </w:tcPr>
          <w:p w:rsidR="00F125DD" w:rsidRPr="00F125DD" w:rsidRDefault="00F125DD" w:rsidP="00E22FEE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Have several but not all companies undertake the activity for all regional Australia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lastRenderedPageBreak/>
              <w:t>9.3.2.4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Establish a new company just for touring, or turn Opera Queensland into solely being a touring company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9.3.2.5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Introduce a requirement for broader and more frequent state and regional coverage, including for Tasmania and the Northern Territory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9.3.2.6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Allocate specific Playing Australia funding to the core funding of any company undertaking sustained regional touring</w:t>
            </w:r>
          </w:p>
        </w:tc>
      </w:tr>
    </w:tbl>
    <w:p w:rsidR="00F125DD" w:rsidRPr="00F125DD" w:rsidRDefault="00F125DD" w:rsidP="00E22FEE">
      <w:pPr>
        <w:pStyle w:val="H2"/>
      </w:pPr>
      <w:r w:rsidRPr="00F125DD">
        <w:t>Chapter 10: Improving artistic vibrancy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Improving artistic vibrancy"/>
      </w:tblPr>
      <w:tblGrid>
        <w:gridCol w:w="1242"/>
        <w:gridCol w:w="8000"/>
      </w:tblGrid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Increase the number of productions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Increase the number of Australian sourced new productions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Increase the number of less familiar works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Increase the variety of repertoire choice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10.2.5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Co-operate with festivals to develop new more challenging work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10.2.6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Use Opera Conference funding every second or third year to produce a new work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10.2.7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Create alternative formats for the staging of new works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10.2.8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Selectively enlarge Opera Australia’s ensemble to increase the number of principal artists on contracts and increase employment certainty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10.2.9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Selectively enlarge the size of Opera Australia’s chorus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10.2.10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Selectively enlarge the size of the Australian Opera and Ballet Orchestra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10.2.11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Support further development programmes for young artists</w:t>
            </w:r>
          </w:p>
        </w:tc>
      </w:tr>
    </w:tbl>
    <w:p w:rsidR="00F125DD" w:rsidRPr="00F125DD" w:rsidRDefault="00F125DD" w:rsidP="00E22FEE">
      <w:pPr>
        <w:pStyle w:val="H2"/>
      </w:pPr>
      <w:r w:rsidRPr="00F125DD">
        <w:t>Chapter 11: Improving access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Improving access"/>
      </w:tblPr>
      <w:tblGrid>
        <w:gridCol w:w="1242"/>
        <w:gridCol w:w="8000"/>
      </w:tblGrid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11.3.1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Review ticket pricing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11.3.2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Change ways of engaging with the subscriber base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11.3.3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Build appeal with a wider demographic group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11.3.4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Create more significant engagement for audiences with artists and their careers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11.3.5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Create even greater digital communication and interaction with audiences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11.3.6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Strengthen education programmes</w:t>
            </w:r>
          </w:p>
        </w:tc>
      </w:tr>
    </w:tbl>
    <w:p w:rsidR="00F125DD" w:rsidRPr="00F125DD" w:rsidRDefault="00F125DD" w:rsidP="00E22FEE">
      <w:pPr>
        <w:pStyle w:val="H2"/>
      </w:pPr>
      <w:r w:rsidRPr="00F125DD">
        <w:t>Chapter 12: Addressing financial stability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Addressing financial stability"/>
      </w:tblPr>
      <w:tblGrid>
        <w:gridCol w:w="1242"/>
        <w:gridCol w:w="8000"/>
      </w:tblGrid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12.1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Improve box office revenue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12.1.3.1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Invest to further lift marketing skills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12.1.3.2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Investigate how yield management techniques could be further applied by the companies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12.1.3.3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Introduce ticketing specials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12.2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Generate additional private sector income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12.2.2.1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Set targets for percent of private sector income to be generated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12.2.2.2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Put in place a private sector income matching scheme with governments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12.2.2.3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Further build capabilities of business development staff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12.2.2.4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Provide seed capital to support development functions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12.2.2.5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Utilise the skills and contacts of Board members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12.2.2.6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Focus on generating bequests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12.3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Address costs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lastRenderedPageBreak/>
              <w:t xml:space="preserve">12.3.2.1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Make it a performance requirement to improve performance cost-revenue dynamics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12.3.2.2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Reduce the scale of productions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12.3.2.3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Significantly overhaul overhead costs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12.3.2.4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Reduce the scale of activities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12.3.2.5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Combine administrative functions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12.3.2.6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Tender for productions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12.3.2.7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Reduce the impact of dark nights on the venue and the Major Opera Company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12.3.2.8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Improve venue efficiency through improved technical capability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12.3.2.9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Avoid new builds where other options exist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12.3.2.10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Reduce the number of international singers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12.3.2.11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Choose repertoire that utilises available Australian singers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12.3.2.12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Renegotiate terms of employment for artistic and technical employees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12.4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Strengthen the balance sheet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12.4.2.1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Request that Opera Australia consider options for its property portfolio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12.4.2.2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Reconsider the funding requirement to hold a minimum level of reserves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12.4.2.3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Enforce companies not being able to use reserves in other than extreme circumstances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12.4.2.4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Establish a reserves policy in conjunction with a Reserves Incentive Scheme</w:t>
            </w:r>
          </w:p>
        </w:tc>
      </w:tr>
    </w:tbl>
    <w:p w:rsidR="00F125DD" w:rsidRPr="00E22FEE" w:rsidRDefault="00F125DD" w:rsidP="00E22FEE">
      <w:pPr>
        <w:pStyle w:val="H2"/>
      </w:pPr>
      <w:r w:rsidRPr="00E22FEE">
        <w:t>Chapter 13: Providing strong governance and management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Providing strong governance and management"/>
      </w:tblPr>
      <w:tblGrid>
        <w:gridCol w:w="1242"/>
        <w:gridCol w:w="8000"/>
      </w:tblGrid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13.1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Support strong governance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Ensure appropriate skills mix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Provide insightful data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Conduct workshops for new directors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Establish protocols for dealing with inherent tensions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13.1.5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Select management members that provide the appropriate balance and contention between artistic ambition and financial acumen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13.1.6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Set clear expectations and roles and responsibilities for the artistic leader and/or the CEO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13.1.7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Ensure management are held accountable for adverse financial and artistic outcomes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13.1.8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Create a culture of openness of debate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13.1.9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Undertake regular board evaluations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13.1.10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Refine SOSA’s corporate status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13.2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Strengthen management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Strengthen management accounting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Improve understanding among all relevant staff of cost-revenue dynamics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13.2.3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Separate out operating results from capital fund reporting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13.2.4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Balance strength and respect in management</w:t>
            </w:r>
          </w:p>
        </w:tc>
      </w:tr>
    </w:tbl>
    <w:p w:rsidR="00F125DD" w:rsidRPr="00F125DD" w:rsidRDefault="00F125DD" w:rsidP="00F125DD">
      <w:pPr>
        <w:spacing w:before="200"/>
        <w:rPr>
          <w:rFonts w:ascii="Arial" w:hAnsi="Arial" w:cs="Arial"/>
          <w:b/>
          <w:sz w:val="21"/>
          <w:szCs w:val="21"/>
        </w:rPr>
      </w:pPr>
    </w:p>
    <w:p w:rsidR="00F125DD" w:rsidRPr="00F125DD" w:rsidRDefault="00F125DD" w:rsidP="00F125DD">
      <w:pPr>
        <w:rPr>
          <w:rFonts w:ascii="Arial" w:hAnsi="Arial" w:cs="Arial"/>
          <w:b/>
          <w:sz w:val="21"/>
          <w:szCs w:val="21"/>
        </w:rPr>
      </w:pPr>
      <w:r w:rsidRPr="00F125DD">
        <w:rPr>
          <w:rFonts w:ascii="Arial" w:hAnsi="Arial" w:cs="Arial"/>
          <w:b/>
          <w:sz w:val="21"/>
          <w:szCs w:val="21"/>
        </w:rPr>
        <w:br w:type="page"/>
      </w:r>
    </w:p>
    <w:p w:rsidR="00F125DD" w:rsidRPr="00F125DD" w:rsidRDefault="00F125DD" w:rsidP="00E22FEE">
      <w:pPr>
        <w:pStyle w:val="H2"/>
      </w:pPr>
      <w:r w:rsidRPr="00F125DD">
        <w:lastRenderedPageBreak/>
        <w:t>Chapter 14: Providing government funding</w:t>
      </w:r>
    </w:p>
    <w:tbl>
      <w:tblPr>
        <w:tblStyle w:val="TableGrid5"/>
        <w:tblW w:w="0" w:type="auto"/>
        <w:tblLook w:val="04A0" w:firstRow="1" w:lastRow="0" w:firstColumn="1" w:lastColumn="0" w:noHBand="0" w:noVBand="1"/>
        <w:tblDescription w:val="Providing government funding"/>
      </w:tblPr>
      <w:tblGrid>
        <w:gridCol w:w="1242"/>
        <w:gridCol w:w="8000"/>
      </w:tblGrid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bookmarkStart w:id="1" w:name="_GoBack" w:colFirst="0" w:colLast="2"/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14.1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Provide funding</w:t>
            </w:r>
          </w:p>
        </w:tc>
      </w:tr>
      <w:bookmarkEnd w:id="1"/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14.1.1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Basis for level of funding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14.1.1.1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Make incremental adjustments to level of funding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14.1.1.2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Base decisions on a funding model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14.1.2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Determine distribution of funding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14.1.2.1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Make incremental adjustments to distribution of funding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14.1.2.2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Base distribution on an articulated principle or designation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14.1.3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Define the basis for seeking project funding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14.1.3.1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Continue with annual project funding for HOSH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14.1.3.2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Fund HOSH for the same tenure as Dr </w:t>
            </w:r>
            <w:proofErr w:type="spellStart"/>
            <w:r w:rsidRPr="00F125DD">
              <w:rPr>
                <w:rFonts w:ascii="Arial" w:hAnsi="Arial" w:cs="Arial"/>
                <w:sz w:val="21"/>
                <w:szCs w:val="21"/>
              </w:rPr>
              <w:t>Handa’s</w:t>
            </w:r>
            <w:proofErr w:type="spellEnd"/>
            <w:r w:rsidRPr="00F125DD">
              <w:rPr>
                <w:rFonts w:ascii="Arial" w:hAnsi="Arial" w:cs="Arial"/>
                <w:sz w:val="21"/>
                <w:szCs w:val="21"/>
              </w:rPr>
              <w:t xml:space="preserve"> funding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14.2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Clarify responsibility for funding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14.2.1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Where should Federal funding responsibility reside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14.2.1.1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Leave funding responsibility with the MPAP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14.2.1.2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Revert to the prior system of direct line funding Opera Australia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14.2.1.3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Create a new body to fund the Major Opera Companies and/or the other major performing arts companies with appointments made by the Federal Minister for the Arts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14.2.2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Address quality of data provided by funding agencies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14.2.2.1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Lift the quality of data provided to the funding agencies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14.2.3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Improve the ability of the funding agencies, particularly the Australia Council, to monitor the companies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14.2.4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Require the Major Opera Companies to publicly report against performance targets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 xml:space="preserve">14.3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F125DD">
              <w:rPr>
                <w:rFonts w:ascii="Arial" w:hAnsi="Arial" w:cs="Arial"/>
                <w:b/>
                <w:sz w:val="21"/>
                <w:szCs w:val="21"/>
              </w:rPr>
              <w:t>Deal with nature of funding agreements</w:t>
            </w:r>
          </w:p>
        </w:tc>
      </w:tr>
      <w:tr w:rsidR="00F125DD" w:rsidRPr="00F125DD" w:rsidTr="00D07EB0">
        <w:tc>
          <w:tcPr>
            <w:tcW w:w="1242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 xml:space="preserve">14.3.1  </w:t>
            </w:r>
          </w:p>
        </w:tc>
        <w:tc>
          <w:tcPr>
            <w:tcW w:w="8000" w:type="dxa"/>
          </w:tcPr>
          <w:p w:rsidR="00F125DD" w:rsidRPr="00F125DD" w:rsidRDefault="00F125DD" w:rsidP="00F125DD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F125DD">
              <w:rPr>
                <w:rFonts w:ascii="Arial" w:hAnsi="Arial" w:cs="Arial"/>
                <w:sz w:val="21"/>
                <w:szCs w:val="21"/>
              </w:rPr>
              <w:t>Provide additional reserve powers to the funding agencies for companies facing financial difficulties</w:t>
            </w:r>
          </w:p>
        </w:tc>
      </w:tr>
    </w:tbl>
    <w:p w:rsidR="001153CC" w:rsidRDefault="001153CC"/>
    <w:sectPr w:rsidR="00115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D9" w:rsidRDefault="003918D9" w:rsidP="003918D9">
      <w:pPr>
        <w:spacing w:after="0" w:line="240" w:lineRule="auto"/>
      </w:pPr>
      <w:r>
        <w:separator/>
      </w:r>
    </w:p>
  </w:endnote>
  <w:endnote w:type="continuationSeparator" w:id="0">
    <w:p w:rsidR="003918D9" w:rsidRDefault="003918D9" w:rsidP="0039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D9" w:rsidRDefault="00391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D9" w:rsidRDefault="003918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D9" w:rsidRDefault="00391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D9" w:rsidRDefault="003918D9" w:rsidP="003918D9">
      <w:pPr>
        <w:spacing w:after="0" w:line="240" w:lineRule="auto"/>
      </w:pPr>
      <w:r>
        <w:separator/>
      </w:r>
    </w:p>
  </w:footnote>
  <w:footnote w:type="continuationSeparator" w:id="0">
    <w:p w:rsidR="003918D9" w:rsidRDefault="003918D9" w:rsidP="0039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D9" w:rsidRDefault="00391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D9" w:rsidRDefault="003918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D9" w:rsidRDefault="00391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DD"/>
    <w:rsid w:val="000F7FDD"/>
    <w:rsid w:val="001153CC"/>
    <w:rsid w:val="003918D9"/>
    <w:rsid w:val="00D07EB0"/>
    <w:rsid w:val="00E22FEE"/>
    <w:rsid w:val="00E47A6B"/>
    <w:rsid w:val="00EA106C"/>
    <w:rsid w:val="00F1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F1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link w:val="H1Char"/>
    <w:qFormat/>
    <w:rsid w:val="00E22FEE"/>
    <w:pPr>
      <w:keepNext/>
      <w:keepLines/>
      <w:spacing w:after="360" w:line="240" w:lineRule="auto"/>
      <w:ind w:left="2268" w:hanging="2268"/>
      <w:outlineLvl w:val="1"/>
    </w:pPr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H2">
    <w:name w:val="H2"/>
    <w:basedOn w:val="Normal"/>
    <w:link w:val="H2Char"/>
    <w:qFormat/>
    <w:rsid w:val="00E22FEE"/>
    <w:pPr>
      <w:spacing w:before="200"/>
    </w:pPr>
    <w:rPr>
      <w:rFonts w:ascii="Arial" w:hAnsi="Arial" w:cs="Arial"/>
      <w:b/>
      <w:sz w:val="21"/>
      <w:szCs w:val="21"/>
    </w:rPr>
  </w:style>
  <w:style w:type="character" w:customStyle="1" w:styleId="H1Char">
    <w:name w:val="H1 Char"/>
    <w:basedOn w:val="DefaultParagraphFont"/>
    <w:link w:val="H1"/>
    <w:rsid w:val="00E22FEE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H2Char">
    <w:name w:val="H2 Char"/>
    <w:basedOn w:val="DefaultParagraphFont"/>
    <w:link w:val="H2"/>
    <w:rsid w:val="00E22FEE"/>
    <w:rPr>
      <w:rFonts w:ascii="Arial" w:hAnsi="Arial" w:cs="Arial"/>
      <w:b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8D9"/>
  </w:style>
  <w:style w:type="paragraph" w:styleId="Footer">
    <w:name w:val="footer"/>
    <w:basedOn w:val="Normal"/>
    <w:link w:val="FooterChar"/>
    <w:uiPriority w:val="99"/>
    <w:unhideWhenUsed/>
    <w:rsid w:val="0039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F1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link w:val="H1Char"/>
    <w:qFormat/>
    <w:rsid w:val="00E22FEE"/>
    <w:pPr>
      <w:keepNext/>
      <w:keepLines/>
      <w:spacing w:after="360" w:line="240" w:lineRule="auto"/>
      <w:ind w:left="2268" w:hanging="2268"/>
      <w:outlineLvl w:val="1"/>
    </w:pPr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H2">
    <w:name w:val="H2"/>
    <w:basedOn w:val="Normal"/>
    <w:link w:val="H2Char"/>
    <w:qFormat/>
    <w:rsid w:val="00E22FEE"/>
    <w:pPr>
      <w:spacing w:before="200"/>
    </w:pPr>
    <w:rPr>
      <w:rFonts w:ascii="Arial" w:hAnsi="Arial" w:cs="Arial"/>
      <w:b/>
      <w:sz w:val="21"/>
      <w:szCs w:val="21"/>
    </w:rPr>
  </w:style>
  <w:style w:type="character" w:customStyle="1" w:styleId="H1Char">
    <w:name w:val="H1 Char"/>
    <w:basedOn w:val="DefaultParagraphFont"/>
    <w:link w:val="H1"/>
    <w:rsid w:val="00E22FEE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H2Char">
    <w:name w:val="H2 Char"/>
    <w:basedOn w:val="DefaultParagraphFont"/>
    <w:link w:val="H2"/>
    <w:rsid w:val="00E22FEE"/>
    <w:rPr>
      <w:rFonts w:ascii="Arial" w:hAnsi="Arial" w:cs="Arial"/>
      <w:b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8D9"/>
  </w:style>
  <w:style w:type="paragraph" w:styleId="Footer">
    <w:name w:val="footer"/>
    <w:basedOn w:val="Normal"/>
    <w:link w:val="FooterChar"/>
    <w:uiPriority w:val="99"/>
    <w:unhideWhenUsed/>
    <w:rsid w:val="0039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 to be addressed</dc:title>
  <dc:creator/>
  <cp:lastModifiedBy/>
  <cp:revision>1</cp:revision>
  <dcterms:created xsi:type="dcterms:W3CDTF">2015-10-02T04:02:00Z</dcterms:created>
  <dcterms:modified xsi:type="dcterms:W3CDTF">2015-10-02T04:02:00Z</dcterms:modified>
</cp:coreProperties>
</file>