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CF548" w14:textId="6EF9874B" w:rsidR="00672784" w:rsidRPr="00672784" w:rsidRDefault="00672784" w:rsidP="00672784">
      <w:pPr>
        <w:pStyle w:val="Heading1"/>
        <w:rPr>
          <w:rFonts w:eastAsiaTheme="minorHAnsi"/>
          <w:sz w:val="32"/>
          <w:szCs w:val="32"/>
        </w:rPr>
      </w:pPr>
      <w:r w:rsidRPr="00672784">
        <w:rPr>
          <w:rFonts w:eastAsiaTheme="minorHAnsi"/>
          <w:sz w:val="32"/>
          <w:szCs w:val="32"/>
        </w:rPr>
        <w:t>Arts and Culture State and Territory Profiles</w:t>
      </w:r>
    </w:p>
    <w:p w14:paraId="79EAB973" w14:textId="70A18794" w:rsidR="00672784" w:rsidRPr="00672784" w:rsidRDefault="00672784" w:rsidP="00672784">
      <w:pPr>
        <w:pStyle w:val="Heading1"/>
        <w:spacing w:before="0"/>
        <w:rPr>
          <w:sz w:val="32"/>
          <w:szCs w:val="32"/>
        </w:rPr>
      </w:pPr>
      <w:r w:rsidRPr="00672784">
        <w:rPr>
          <w:sz w:val="32"/>
          <w:szCs w:val="32"/>
        </w:rPr>
        <w:t>Data quality document</w:t>
      </w:r>
    </w:p>
    <w:p w14:paraId="1F34BFE1" w14:textId="08B0C76F" w:rsidR="008B12E3" w:rsidRPr="004053D5" w:rsidRDefault="00434DF1" w:rsidP="00434DF1">
      <w:pPr>
        <w:spacing w:line="240" w:lineRule="auto"/>
        <w:ind w:right="-45"/>
        <w:rPr>
          <w:sz w:val="20"/>
          <w:szCs w:val="20"/>
        </w:rPr>
      </w:pPr>
      <w:r>
        <w:rPr>
          <w:sz w:val="20"/>
          <w:szCs w:val="20"/>
        </w:rPr>
        <w:br/>
      </w:r>
      <w:r w:rsidR="00BC5E67">
        <w:rPr>
          <w:sz w:val="20"/>
          <w:szCs w:val="20"/>
        </w:rPr>
        <w:t>The</w:t>
      </w:r>
      <w:r w:rsidR="0047633D">
        <w:rPr>
          <w:sz w:val="20"/>
          <w:szCs w:val="20"/>
        </w:rPr>
        <w:t xml:space="preserve"> </w:t>
      </w:r>
      <w:r w:rsidR="00BC5E67">
        <w:rPr>
          <w:sz w:val="20"/>
          <w:szCs w:val="20"/>
        </w:rPr>
        <w:t>State and Territory Profiles have</w:t>
      </w:r>
      <w:r w:rsidR="00806E48" w:rsidRPr="00806E48">
        <w:rPr>
          <w:sz w:val="20"/>
          <w:szCs w:val="20"/>
        </w:rPr>
        <w:t xml:space="preserve"> been prepared by the Australian Bureau of Statistics </w:t>
      </w:r>
      <w:r w:rsidR="00806E48">
        <w:rPr>
          <w:sz w:val="20"/>
          <w:szCs w:val="20"/>
        </w:rPr>
        <w:t xml:space="preserve">(ABS) </w:t>
      </w:r>
      <w:r w:rsidR="00806E48" w:rsidRPr="00806E48">
        <w:rPr>
          <w:sz w:val="20"/>
          <w:szCs w:val="20"/>
        </w:rPr>
        <w:t xml:space="preserve">on behalf of the </w:t>
      </w:r>
      <w:r w:rsidR="00B74256">
        <w:rPr>
          <w:sz w:val="20"/>
          <w:szCs w:val="20"/>
        </w:rPr>
        <w:t xml:space="preserve">Meeting of Cultural Ministers </w:t>
      </w:r>
      <w:r w:rsidR="0032167E">
        <w:rPr>
          <w:sz w:val="20"/>
          <w:szCs w:val="20"/>
        </w:rPr>
        <w:t>Statistics Working Group</w:t>
      </w:r>
      <w:r w:rsidR="004053D5">
        <w:rPr>
          <w:sz w:val="20"/>
          <w:szCs w:val="20"/>
        </w:rPr>
        <w:t>. The testing and processes referred to below are standard ABS practices.</w:t>
      </w:r>
    </w:p>
    <w:p w14:paraId="1F34BFE2" w14:textId="77777777" w:rsidR="009B3CC5" w:rsidRPr="00672784" w:rsidRDefault="003A72F3" w:rsidP="00672784">
      <w:pPr>
        <w:pStyle w:val="Heading2"/>
      </w:pPr>
      <w:r w:rsidRPr="00672784">
        <w:t xml:space="preserve">Data </w:t>
      </w:r>
      <w:r w:rsidR="00DF6447" w:rsidRPr="00672784">
        <w:t>refer</w:t>
      </w:r>
      <w:bookmarkStart w:id="0" w:name="_GoBack"/>
      <w:bookmarkEnd w:id="0"/>
      <w:r w:rsidR="00DF6447" w:rsidRPr="00672784">
        <w:t>ence</w:t>
      </w:r>
      <w:r w:rsidR="003800A9" w:rsidRPr="00672784">
        <w:t xml:space="preserve"> periods </w:t>
      </w:r>
    </w:p>
    <w:p w14:paraId="1F34BFE3" w14:textId="07A4D995" w:rsidR="009B3CC5" w:rsidRPr="008F0439" w:rsidRDefault="009B3CC5" w:rsidP="00D92696">
      <w:pPr>
        <w:spacing w:line="240" w:lineRule="auto"/>
        <w:ind w:left="284" w:right="-45"/>
        <w:rPr>
          <w:rFonts w:cs="Arial"/>
          <w:color w:val="000000" w:themeColor="text1"/>
          <w:sz w:val="20"/>
          <w:szCs w:val="20"/>
        </w:rPr>
      </w:pPr>
      <w:r>
        <w:rPr>
          <w:sz w:val="20"/>
          <w:szCs w:val="20"/>
        </w:rPr>
        <w:t xml:space="preserve">The data sources </w:t>
      </w:r>
      <w:r w:rsidR="00BC5E67">
        <w:rPr>
          <w:sz w:val="20"/>
          <w:szCs w:val="20"/>
        </w:rPr>
        <w:t>referred to</w:t>
      </w:r>
      <w:r>
        <w:rPr>
          <w:sz w:val="20"/>
          <w:szCs w:val="20"/>
        </w:rPr>
        <w:t xml:space="preserve"> in the </w:t>
      </w:r>
      <w:r w:rsidR="00E72FE8">
        <w:rPr>
          <w:sz w:val="20"/>
          <w:szCs w:val="20"/>
        </w:rPr>
        <w:t>State and Territory Profiles</w:t>
      </w:r>
      <w:r>
        <w:rPr>
          <w:sz w:val="20"/>
          <w:szCs w:val="20"/>
        </w:rPr>
        <w:t xml:space="preserve"> </w:t>
      </w:r>
      <w:r w:rsidR="00122B5F">
        <w:rPr>
          <w:sz w:val="20"/>
          <w:szCs w:val="20"/>
        </w:rPr>
        <w:t xml:space="preserve">have different reference periods </w:t>
      </w:r>
      <w:r>
        <w:rPr>
          <w:sz w:val="20"/>
          <w:szCs w:val="20"/>
        </w:rPr>
        <w:t xml:space="preserve">and are therefore not directly </w:t>
      </w:r>
      <w:r w:rsidR="00BC5E67">
        <w:rPr>
          <w:sz w:val="20"/>
          <w:szCs w:val="20"/>
        </w:rPr>
        <w:t>comparable</w:t>
      </w:r>
      <w:r w:rsidR="00E72FE8">
        <w:rPr>
          <w:sz w:val="20"/>
          <w:szCs w:val="20"/>
        </w:rPr>
        <w:t xml:space="preserve"> in respect of time</w:t>
      </w:r>
      <w:r w:rsidR="00BC5E67">
        <w:rPr>
          <w:sz w:val="20"/>
          <w:szCs w:val="20"/>
        </w:rPr>
        <w:t xml:space="preserve">. </w:t>
      </w:r>
    </w:p>
    <w:p w14:paraId="1F34BFE4" w14:textId="77777777" w:rsidR="00E60350" w:rsidRPr="009B3CC5" w:rsidRDefault="009E5D63" w:rsidP="00672784">
      <w:pPr>
        <w:pStyle w:val="Heading2"/>
      </w:pPr>
      <w:r w:rsidRPr="009B3CC5">
        <w:t>D</w:t>
      </w:r>
      <w:r w:rsidR="00963702" w:rsidRPr="009B3CC5">
        <w:t xml:space="preserve">ata </w:t>
      </w:r>
      <w:r w:rsidR="00BA5670" w:rsidRPr="009B3CC5">
        <w:t>comparisons</w:t>
      </w:r>
    </w:p>
    <w:p w14:paraId="1F34BFE5" w14:textId="77777777" w:rsidR="00B01263" w:rsidRDefault="004164D3" w:rsidP="00D92696">
      <w:pPr>
        <w:spacing w:line="240" w:lineRule="auto"/>
        <w:ind w:left="284" w:right="-45"/>
        <w:rPr>
          <w:sz w:val="20"/>
          <w:szCs w:val="20"/>
        </w:rPr>
      </w:pPr>
      <w:r>
        <w:rPr>
          <w:sz w:val="20"/>
          <w:szCs w:val="20"/>
        </w:rPr>
        <w:t>S</w:t>
      </w:r>
      <w:r w:rsidRPr="004164D3">
        <w:rPr>
          <w:sz w:val="20"/>
          <w:szCs w:val="20"/>
        </w:rPr>
        <w:t xml:space="preserve">ignificance testing was </w:t>
      </w:r>
      <w:r w:rsidR="00C43B35">
        <w:rPr>
          <w:sz w:val="20"/>
          <w:szCs w:val="20"/>
        </w:rPr>
        <w:t>used</w:t>
      </w:r>
      <w:r w:rsidRPr="004164D3">
        <w:rPr>
          <w:sz w:val="20"/>
          <w:szCs w:val="20"/>
        </w:rPr>
        <w:t xml:space="preserve"> </w:t>
      </w:r>
      <w:r w:rsidR="00491B90">
        <w:rPr>
          <w:sz w:val="20"/>
          <w:szCs w:val="20"/>
        </w:rPr>
        <w:t>in</w:t>
      </w:r>
      <w:r>
        <w:rPr>
          <w:sz w:val="20"/>
          <w:szCs w:val="20"/>
        </w:rPr>
        <w:t xml:space="preserve"> </w:t>
      </w:r>
      <w:r w:rsidR="009B3CC5">
        <w:rPr>
          <w:sz w:val="20"/>
          <w:szCs w:val="20"/>
        </w:rPr>
        <w:t>preparing this document</w:t>
      </w:r>
      <w:r w:rsidR="00C43B35">
        <w:rPr>
          <w:sz w:val="20"/>
          <w:szCs w:val="20"/>
        </w:rPr>
        <w:t xml:space="preserve">. </w:t>
      </w:r>
      <w:r w:rsidR="00632506">
        <w:rPr>
          <w:sz w:val="20"/>
          <w:szCs w:val="20"/>
        </w:rPr>
        <w:t>S</w:t>
      </w:r>
      <w:r w:rsidR="00C43B35">
        <w:rPr>
          <w:sz w:val="20"/>
          <w:szCs w:val="20"/>
        </w:rPr>
        <w:t xml:space="preserve">ignificance testing is a </w:t>
      </w:r>
      <w:r w:rsidR="00632506">
        <w:rPr>
          <w:sz w:val="20"/>
          <w:szCs w:val="20"/>
        </w:rPr>
        <w:t>measure used to</w:t>
      </w:r>
      <w:r w:rsidR="00C43B35">
        <w:rPr>
          <w:sz w:val="20"/>
          <w:szCs w:val="20"/>
        </w:rPr>
        <w:t xml:space="preserve"> </w:t>
      </w:r>
      <w:r w:rsidR="00632506">
        <w:rPr>
          <w:sz w:val="20"/>
          <w:szCs w:val="20"/>
        </w:rPr>
        <w:t>compare</w:t>
      </w:r>
      <w:r>
        <w:rPr>
          <w:sz w:val="20"/>
          <w:szCs w:val="20"/>
        </w:rPr>
        <w:t xml:space="preserve"> </w:t>
      </w:r>
      <w:r w:rsidR="003C513D">
        <w:rPr>
          <w:sz w:val="20"/>
          <w:szCs w:val="20"/>
        </w:rPr>
        <w:t>survey data</w:t>
      </w:r>
      <w:r w:rsidR="00963702">
        <w:rPr>
          <w:sz w:val="20"/>
          <w:szCs w:val="20"/>
        </w:rPr>
        <w:t>,</w:t>
      </w:r>
      <w:r w:rsidR="003C513D">
        <w:rPr>
          <w:sz w:val="20"/>
          <w:szCs w:val="20"/>
        </w:rPr>
        <w:t xml:space="preserve"> from</w:t>
      </w:r>
      <w:r>
        <w:rPr>
          <w:sz w:val="20"/>
          <w:szCs w:val="20"/>
        </w:rPr>
        <w:t xml:space="preserve"> a </w:t>
      </w:r>
      <w:r w:rsidR="003C513D">
        <w:rPr>
          <w:sz w:val="20"/>
          <w:szCs w:val="20"/>
        </w:rPr>
        <w:t xml:space="preserve">single </w:t>
      </w:r>
      <w:r>
        <w:rPr>
          <w:sz w:val="20"/>
          <w:szCs w:val="20"/>
        </w:rPr>
        <w:t>data source</w:t>
      </w:r>
      <w:r w:rsidR="00963702">
        <w:rPr>
          <w:sz w:val="20"/>
          <w:szCs w:val="20"/>
        </w:rPr>
        <w:t>,</w:t>
      </w:r>
      <w:r>
        <w:rPr>
          <w:sz w:val="20"/>
          <w:szCs w:val="20"/>
        </w:rPr>
        <w:t xml:space="preserve"> </w:t>
      </w:r>
      <w:r w:rsidR="00BC2224">
        <w:rPr>
          <w:rFonts w:cs="Helv"/>
          <w:color w:val="000000"/>
          <w:sz w:val="20"/>
          <w:szCs w:val="20"/>
        </w:rPr>
        <w:t xml:space="preserve">to </w:t>
      </w:r>
      <w:r w:rsidR="00632506">
        <w:rPr>
          <w:rFonts w:cs="Helv"/>
          <w:color w:val="000000"/>
          <w:sz w:val="20"/>
          <w:szCs w:val="20"/>
        </w:rPr>
        <w:t>determine</w:t>
      </w:r>
      <w:r w:rsidR="00BC2224">
        <w:rPr>
          <w:rFonts w:cs="Helv"/>
          <w:color w:val="000000"/>
          <w:sz w:val="20"/>
          <w:szCs w:val="20"/>
        </w:rPr>
        <w:t xml:space="preserve"> </w:t>
      </w:r>
      <w:r w:rsidRPr="004164D3">
        <w:rPr>
          <w:rFonts w:cs="Helv"/>
          <w:color w:val="000000"/>
          <w:sz w:val="20"/>
          <w:szCs w:val="20"/>
        </w:rPr>
        <w:t>statistically significant difference</w:t>
      </w:r>
      <w:r w:rsidR="009316F4">
        <w:rPr>
          <w:rFonts w:cs="Helv"/>
          <w:color w:val="000000"/>
          <w:sz w:val="20"/>
          <w:szCs w:val="20"/>
        </w:rPr>
        <w:t>s</w:t>
      </w:r>
      <w:r w:rsidR="00632506">
        <w:rPr>
          <w:rFonts w:cs="Helv"/>
          <w:color w:val="000000"/>
          <w:sz w:val="20"/>
          <w:szCs w:val="20"/>
        </w:rPr>
        <w:t xml:space="preserve"> (eg. </w:t>
      </w:r>
      <w:r w:rsidR="009316F4">
        <w:rPr>
          <w:rFonts w:cs="Helv"/>
          <w:color w:val="000000"/>
          <w:sz w:val="20"/>
          <w:szCs w:val="20"/>
        </w:rPr>
        <w:t xml:space="preserve">detecting </w:t>
      </w:r>
      <w:r w:rsidR="00B10813">
        <w:rPr>
          <w:rFonts w:cs="Helv"/>
          <w:color w:val="000000"/>
          <w:sz w:val="20"/>
          <w:szCs w:val="20"/>
        </w:rPr>
        <w:t>true</w:t>
      </w:r>
      <w:r w:rsidR="00632506">
        <w:rPr>
          <w:rFonts w:cs="Helv"/>
          <w:color w:val="000000"/>
          <w:sz w:val="20"/>
          <w:szCs w:val="20"/>
        </w:rPr>
        <w:t xml:space="preserve"> d</w:t>
      </w:r>
      <w:r w:rsidR="007A7A16">
        <w:rPr>
          <w:rFonts w:cs="Helv"/>
          <w:color w:val="000000"/>
          <w:sz w:val="20"/>
          <w:szCs w:val="20"/>
        </w:rPr>
        <w:t>ifference</w:t>
      </w:r>
      <w:r w:rsidR="009316F4">
        <w:rPr>
          <w:rFonts w:cs="Helv"/>
          <w:color w:val="000000"/>
          <w:sz w:val="20"/>
          <w:szCs w:val="20"/>
        </w:rPr>
        <w:t>s</w:t>
      </w:r>
      <w:r w:rsidR="007A7A16">
        <w:rPr>
          <w:rFonts w:cs="Helv"/>
          <w:color w:val="000000"/>
          <w:sz w:val="20"/>
          <w:szCs w:val="20"/>
        </w:rPr>
        <w:t xml:space="preserve"> between </w:t>
      </w:r>
      <w:r w:rsidR="00491B90">
        <w:rPr>
          <w:rFonts w:cs="Helv"/>
          <w:color w:val="000000"/>
          <w:sz w:val="20"/>
          <w:szCs w:val="20"/>
        </w:rPr>
        <w:t xml:space="preserve">the </w:t>
      </w:r>
      <w:r w:rsidR="007A7A16">
        <w:rPr>
          <w:rFonts w:cs="Helv"/>
          <w:color w:val="000000"/>
          <w:sz w:val="20"/>
          <w:szCs w:val="20"/>
        </w:rPr>
        <w:t>pr</w:t>
      </w:r>
      <w:r w:rsidR="002A5B0D">
        <w:rPr>
          <w:rFonts w:cs="Helv"/>
          <w:color w:val="000000"/>
          <w:sz w:val="20"/>
          <w:szCs w:val="20"/>
        </w:rPr>
        <w:t xml:space="preserve">oportion of male </w:t>
      </w:r>
      <w:r w:rsidR="00963702">
        <w:rPr>
          <w:rFonts w:cs="Helv"/>
          <w:color w:val="000000"/>
          <w:sz w:val="20"/>
          <w:szCs w:val="20"/>
        </w:rPr>
        <w:t>and female participation</w:t>
      </w:r>
      <w:r w:rsidR="007A7A16">
        <w:rPr>
          <w:rFonts w:cs="Helv"/>
          <w:color w:val="000000"/>
          <w:sz w:val="20"/>
          <w:szCs w:val="20"/>
        </w:rPr>
        <w:t>)</w:t>
      </w:r>
      <w:r w:rsidR="00BC2224">
        <w:rPr>
          <w:sz w:val="20"/>
          <w:szCs w:val="20"/>
        </w:rPr>
        <w:t>. C</w:t>
      </w:r>
      <w:r>
        <w:rPr>
          <w:sz w:val="20"/>
          <w:szCs w:val="20"/>
        </w:rPr>
        <w:t xml:space="preserve">omparisons made between </w:t>
      </w:r>
      <w:r w:rsidR="009E5D63">
        <w:rPr>
          <w:sz w:val="20"/>
          <w:szCs w:val="20"/>
        </w:rPr>
        <w:t xml:space="preserve">overlapping populations (eg. </w:t>
      </w:r>
      <w:r>
        <w:rPr>
          <w:sz w:val="20"/>
          <w:szCs w:val="20"/>
        </w:rPr>
        <w:t>state and national figures</w:t>
      </w:r>
      <w:r w:rsidR="009E5D63">
        <w:rPr>
          <w:sz w:val="20"/>
          <w:szCs w:val="20"/>
        </w:rPr>
        <w:t>)</w:t>
      </w:r>
      <w:r>
        <w:rPr>
          <w:sz w:val="20"/>
          <w:szCs w:val="20"/>
        </w:rPr>
        <w:t xml:space="preserve"> </w:t>
      </w:r>
      <w:r w:rsidR="00BC2224">
        <w:rPr>
          <w:sz w:val="20"/>
          <w:szCs w:val="20"/>
        </w:rPr>
        <w:t xml:space="preserve">do not fit within this standard </w:t>
      </w:r>
      <w:r w:rsidR="00963702">
        <w:rPr>
          <w:sz w:val="20"/>
          <w:szCs w:val="20"/>
        </w:rPr>
        <w:t xml:space="preserve">test as the </w:t>
      </w:r>
      <w:r w:rsidR="00632506">
        <w:rPr>
          <w:sz w:val="20"/>
          <w:szCs w:val="20"/>
        </w:rPr>
        <w:t xml:space="preserve">test assumes populations are </w:t>
      </w:r>
      <w:r w:rsidR="009E5D63">
        <w:rPr>
          <w:sz w:val="20"/>
          <w:szCs w:val="20"/>
        </w:rPr>
        <w:t xml:space="preserve">independent </w:t>
      </w:r>
      <w:r w:rsidR="00632506">
        <w:rPr>
          <w:sz w:val="20"/>
          <w:szCs w:val="20"/>
        </w:rPr>
        <w:t>of one an</w:t>
      </w:r>
      <w:r w:rsidR="00963702">
        <w:rPr>
          <w:sz w:val="20"/>
          <w:szCs w:val="20"/>
        </w:rPr>
        <w:t xml:space="preserve">other. </w:t>
      </w:r>
      <w:r w:rsidR="009E5D63">
        <w:rPr>
          <w:sz w:val="20"/>
          <w:szCs w:val="20"/>
        </w:rPr>
        <w:t>C</w:t>
      </w:r>
      <w:r w:rsidR="00B01263">
        <w:rPr>
          <w:sz w:val="20"/>
          <w:szCs w:val="20"/>
        </w:rPr>
        <w:t xml:space="preserve">aution should be used when making </w:t>
      </w:r>
      <w:r w:rsidR="009316F4">
        <w:rPr>
          <w:sz w:val="20"/>
          <w:szCs w:val="20"/>
        </w:rPr>
        <w:t>such</w:t>
      </w:r>
      <w:r w:rsidR="00806E48">
        <w:rPr>
          <w:sz w:val="20"/>
          <w:szCs w:val="20"/>
        </w:rPr>
        <w:t xml:space="preserve"> comparisons.</w:t>
      </w:r>
    </w:p>
    <w:p w14:paraId="1F34BFE6" w14:textId="77777777" w:rsidR="00B85A05" w:rsidRPr="009B3CC5" w:rsidRDefault="009E5D63" w:rsidP="00672784">
      <w:pPr>
        <w:pStyle w:val="Heading2"/>
      </w:pPr>
      <w:r w:rsidRPr="009B3CC5">
        <w:t>Random perturbation of table cells</w:t>
      </w:r>
    </w:p>
    <w:p w14:paraId="1F34BFE7" w14:textId="77777777" w:rsidR="00962CF3" w:rsidRDefault="00962CF3" w:rsidP="00D92696">
      <w:pPr>
        <w:pStyle w:val="CommentText"/>
        <w:ind w:left="284"/>
      </w:pPr>
      <w:r>
        <w:t xml:space="preserve">To minimise the risk of identifying individuals in aggregate statistics, a technique is used to randomly adjust cell values. This technique is called perturbation. Perturbation involves small random adjustment of the statistics and is considered the most satisfactory technique for avoiding the release of identifiable statistics while maximising the range of information that can be released. </w:t>
      </w:r>
    </w:p>
    <w:p w14:paraId="1F34BFE8" w14:textId="77777777" w:rsidR="00962CF3" w:rsidRDefault="00962CF3" w:rsidP="00D92696">
      <w:pPr>
        <w:pStyle w:val="CommentText"/>
        <w:ind w:left="284"/>
      </w:pPr>
      <w:r>
        <w:t xml:space="preserve">These adjustments have a negligible impact on the underlying pattern of the statistics. After perturbation, a given published cell value will be consistent across all tables. However, adding up cell values to derive a total will not necessarily give the same result as published totals. </w:t>
      </w:r>
      <w:r w:rsidR="00122B5F">
        <w:t xml:space="preserve">Perturbed statistics in these tables </w:t>
      </w:r>
      <w:r>
        <w:t>are consistent with statistics released via services such as Table Builder.</w:t>
      </w:r>
    </w:p>
    <w:p w14:paraId="1F34BFE9" w14:textId="77777777" w:rsidR="008F0439" w:rsidRPr="009B3CC5" w:rsidRDefault="00B10813" w:rsidP="00672784">
      <w:pPr>
        <w:pStyle w:val="Heading2"/>
      </w:pPr>
      <w:r>
        <w:t>Survey outputs and sampling error</w:t>
      </w:r>
    </w:p>
    <w:p w14:paraId="1F34BFEA" w14:textId="77777777" w:rsidR="00B10ACC" w:rsidRDefault="00B662C2" w:rsidP="00D92696">
      <w:pPr>
        <w:spacing w:line="240" w:lineRule="auto"/>
        <w:ind w:left="284"/>
        <w:rPr>
          <w:sz w:val="20"/>
          <w:szCs w:val="20"/>
        </w:rPr>
      </w:pPr>
      <w:r>
        <w:rPr>
          <w:sz w:val="20"/>
          <w:szCs w:val="20"/>
        </w:rPr>
        <w:t>Sampling error</w:t>
      </w:r>
      <w:r w:rsidR="00B10813">
        <w:rPr>
          <w:sz w:val="20"/>
          <w:szCs w:val="20"/>
        </w:rPr>
        <w:t xml:space="preserve"> occur</w:t>
      </w:r>
      <w:r>
        <w:rPr>
          <w:sz w:val="20"/>
          <w:szCs w:val="20"/>
        </w:rPr>
        <w:t>s</w:t>
      </w:r>
      <w:r w:rsidR="00B10813">
        <w:rPr>
          <w:sz w:val="20"/>
          <w:szCs w:val="20"/>
        </w:rPr>
        <w:t xml:space="preserve"> as a result of using a sample from a population (a survey)</w:t>
      </w:r>
      <w:r w:rsidR="008F0439">
        <w:rPr>
          <w:sz w:val="20"/>
          <w:szCs w:val="20"/>
        </w:rPr>
        <w:t xml:space="preserve"> </w:t>
      </w:r>
      <w:r w:rsidR="00B10813">
        <w:rPr>
          <w:sz w:val="20"/>
          <w:szCs w:val="20"/>
        </w:rPr>
        <w:t xml:space="preserve">rather than conducting a complete enumeration of the population (census). It refers to the difference between an estimate from a survey and the ‘true’ value of the population which would result if a census was taken. </w:t>
      </w:r>
    </w:p>
    <w:p w14:paraId="1F34BFEB" w14:textId="77777777" w:rsidR="00B10ACC" w:rsidRPr="009B3CC5" w:rsidRDefault="00B10ACC" w:rsidP="00672784">
      <w:pPr>
        <w:pStyle w:val="Heading2"/>
      </w:pPr>
      <w:r>
        <w:t>Non-sampling errors</w:t>
      </w:r>
    </w:p>
    <w:p w14:paraId="1F34BFEC" w14:textId="77777777" w:rsidR="00B10ACC" w:rsidRDefault="00EF6914" w:rsidP="00D92696">
      <w:pPr>
        <w:spacing w:line="240" w:lineRule="auto"/>
        <w:ind w:left="284"/>
        <w:rPr>
          <w:sz w:val="20"/>
          <w:szCs w:val="20"/>
        </w:rPr>
      </w:pPr>
      <w:r>
        <w:rPr>
          <w:sz w:val="20"/>
          <w:szCs w:val="20"/>
        </w:rPr>
        <w:t>Non-sampling errors are</w:t>
      </w:r>
      <w:r w:rsidR="00B10ACC">
        <w:rPr>
          <w:sz w:val="20"/>
          <w:szCs w:val="20"/>
        </w:rPr>
        <w:t xml:space="preserve"> caused by factors other than those that relate to sample selection</w:t>
      </w:r>
      <w:r w:rsidR="002842B1">
        <w:rPr>
          <w:sz w:val="20"/>
          <w:szCs w:val="20"/>
        </w:rPr>
        <w:t>. It refers to the presence of any factors that result in the data values not accurately reflecting the ‘true’ value of the population. Non-sampling error can occur at any stage of a census or sample survey, and are not easily identified or quantified. Types of non-sampling errors include coverage errors, non-response errors, response errors, interviewer errors and processing errors.</w:t>
      </w:r>
    </w:p>
    <w:p w14:paraId="1F34BFED" w14:textId="77777777" w:rsidR="00E52734" w:rsidRPr="009B3CC5" w:rsidRDefault="00E52734" w:rsidP="00672784">
      <w:pPr>
        <w:pStyle w:val="Heading2"/>
      </w:pPr>
      <w:r>
        <w:t>More information</w:t>
      </w:r>
    </w:p>
    <w:p w14:paraId="1F34BFEE" w14:textId="77777777" w:rsidR="0071457B" w:rsidRDefault="00E52734" w:rsidP="00434DF1">
      <w:pPr>
        <w:spacing w:line="240" w:lineRule="auto"/>
        <w:ind w:left="284"/>
        <w:rPr>
          <w:sz w:val="20"/>
          <w:szCs w:val="20"/>
        </w:rPr>
      </w:pPr>
      <w:r>
        <w:rPr>
          <w:sz w:val="20"/>
          <w:szCs w:val="20"/>
        </w:rPr>
        <w:t>For more information about the characteristics and fitness of the data used in these profiles, the ABS publishes detailed Explanatory Notes, Quality Declarations and other relevant i</w:t>
      </w:r>
      <w:r w:rsidR="00434DF1">
        <w:rPr>
          <w:sz w:val="20"/>
          <w:szCs w:val="20"/>
        </w:rPr>
        <w:t xml:space="preserve">nformation on the ABS Website. </w:t>
      </w:r>
      <w:r>
        <w:rPr>
          <w:sz w:val="20"/>
          <w:szCs w:val="20"/>
        </w:rPr>
        <w:t xml:space="preserve">Please see the following links for details. </w:t>
      </w:r>
    </w:p>
    <w:p w14:paraId="1F34BFEF" w14:textId="77777777" w:rsidR="00434DF1" w:rsidRDefault="00434DF1" w:rsidP="00D92696">
      <w:pPr>
        <w:spacing w:line="240" w:lineRule="auto"/>
        <w:ind w:left="284"/>
        <w:sectPr w:rsidR="00434DF1" w:rsidSect="00434DF1">
          <w:footerReference w:type="default" r:id="rId7"/>
          <w:pgSz w:w="11907" w:h="16839" w:code="9"/>
          <w:pgMar w:top="993" w:right="1134" w:bottom="0" w:left="1134" w:header="720" w:footer="720" w:gutter="0"/>
          <w:cols w:space="720"/>
          <w:noEndnote/>
          <w:docGrid w:linePitch="299"/>
        </w:sectPr>
      </w:pPr>
      <w:r>
        <w:br/>
      </w:r>
    </w:p>
    <w:p w14:paraId="1F34BFF0" w14:textId="77777777" w:rsidR="00434DF1" w:rsidRDefault="003F4044" w:rsidP="00434DF1">
      <w:pPr>
        <w:spacing w:line="240" w:lineRule="auto"/>
        <w:ind w:left="284"/>
        <w:rPr>
          <w:sz w:val="20"/>
          <w:szCs w:val="20"/>
        </w:rPr>
        <w:sectPr w:rsidR="00434DF1" w:rsidSect="00434DF1">
          <w:type w:val="continuous"/>
          <w:pgSz w:w="11907" w:h="16839" w:code="9"/>
          <w:pgMar w:top="993" w:right="1134" w:bottom="0" w:left="1134" w:header="720" w:footer="720" w:gutter="0"/>
          <w:cols w:num="2" w:space="3"/>
          <w:noEndnote/>
          <w:docGrid w:linePitch="299"/>
        </w:sectPr>
      </w:pPr>
      <w:hyperlink r:id="rId8" w:history="1">
        <w:r w:rsidR="0071457B" w:rsidRPr="00BD4E06">
          <w:rPr>
            <w:rStyle w:val="Hyperlink"/>
            <w:sz w:val="20"/>
            <w:szCs w:val="20"/>
          </w:rPr>
          <w:t>Census</w:t>
        </w:r>
        <w:r w:rsidR="00BD4E06" w:rsidRPr="00BD4E06">
          <w:rPr>
            <w:rStyle w:val="Hyperlink"/>
            <w:sz w:val="20"/>
            <w:szCs w:val="20"/>
          </w:rPr>
          <w:t xml:space="preserve"> of Population and Housing</w:t>
        </w:r>
      </w:hyperlink>
      <w:r w:rsidR="0071457B">
        <w:rPr>
          <w:sz w:val="20"/>
          <w:szCs w:val="20"/>
        </w:rPr>
        <w:br/>
      </w:r>
      <w:hyperlink r:id="rId9" w:history="1">
        <w:r w:rsidR="0071457B" w:rsidRPr="00BD4E06">
          <w:rPr>
            <w:rStyle w:val="Hyperlink"/>
            <w:sz w:val="20"/>
            <w:szCs w:val="20"/>
          </w:rPr>
          <w:t>Cultural Funding</w:t>
        </w:r>
        <w:r w:rsidR="00BD4E06" w:rsidRPr="00BD4E06">
          <w:rPr>
            <w:rStyle w:val="Hyperlink"/>
            <w:sz w:val="20"/>
            <w:szCs w:val="20"/>
          </w:rPr>
          <w:t xml:space="preserve"> 2012-13</w:t>
        </w:r>
      </w:hyperlink>
      <w:r w:rsidR="0071457B">
        <w:rPr>
          <w:sz w:val="20"/>
          <w:szCs w:val="20"/>
        </w:rPr>
        <w:br/>
      </w:r>
      <w:hyperlink r:id="rId10" w:history="1">
        <w:r w:rsidR="0071457B" w:rsidRPr="00BD4E06">
          <w:rPr>
            <w:rStyle w:val="Hyperlink"/>
            <w:sz w:val="20"/>
            <w:szCs w:val="20"/>
          </w:rPr>
          <w:t>Children’s Cultural Participation</w:t>
        </w:r>
        <w:r w:rsidR="00BD4E06" w:rsidRPr="00BD4E06">
          <w:rPr>
            <w:rStyle w:val="Hyperlink"/>
            <w:sz w:val="20"/>
            <w:szCs w:val="20"/>
          </w:rPr>
          <w:t xml:space="preserve"> 2012</w:t>
        </w:r>
      </w:hyperlink>
      <w:r w:rsidR="0071457B">
        <w:rPr>
          <w:sz w:val="20"/>
          <w:szCs w:val="20"/>
        </w:rPr>
        <w:br/>
      </w:r>
      <w:hyperlink r:id="rId11" w:history="1">
        <w:r w:rsidR="00BD4E06" w:rsidRPr="00BD4E06">
          <w:rPr>
            <w:rStyle w:val="Hyperlink"/>
            <w:sz w:val="20"/>
            <w:szCs w:val="20"/>
          </w:rPr>
          <w:t xml:space="preserve">Adult </w:t>
        </w:r>
        <w:r w:rsidR="0071457B" w:rsidRPr="00BD4E06">
          <w:rPr>
            <w:rStyle w:val="Hyperlink"/>
            <w:sz w:val="20"/>
            <w:szCs w:val="20"/>
          </w:rPr>
          <w:t>Cultural Participation</w:t>
        </w:r>
        <w:r w:rsidR="00BD4E06" w:rsidRPr="00BD4E06">
          <w:rPr>
            <w:rStyle w:val="Hyperlink"/>
            <w:sz w:val="20"/>
            <w:szCs w:val="20"/>
          </w:rPr>
          <w:t xml:space="preserve"> 2013-14</w:t>
        </w:r>
      </w:hyperlink>
      <w:r w:rsidR="0071457B">
        <w:rPr>
          <w:sz w:val="20"/>
          <w:szCs w:val="20"/>
        </w:rPr>
        <w:br/>
      </w:r>
      <w:hyperlink r:id="rId12" w:history="1">
        <w:r w:rsidR="0071457B" w:rsidRPr="00BD4E06">
          <w:rPr>
            <w:rStyle w:val="Hyperlink"/>
            <w:sz w:val="20"/>
            <w:szCs w:val="20"/>
          </w:rPr>
          <w:t>Counts of Australian Businesses</w:t>
        </w:r>
        <w:r w:rsidR="00BD4E06" w:rsidRPr="00BD4E06">
          <w:rPr>
            <w:rStyle w:val="Hyperlink"/>
            <w:sz w:val="20"/>
            <w:szCs w:val="20"/>
          </w:rPr>
          <w:t xml:space="preserve"> 2011-2015</w:t>
        </w:r>
      </w:hyperlink>
      <w:r w:rsidR="00CD7CDB">
        <w:rPr>
          <w:sz w:val="20"/>
          <w:szCs w:val="20"/>
        </w:rPr>
        <w:br/>
      </w:r>
      <w:hyperlink r:id="rId13" w:history="1">
        <w:r w:rsidR="00CD7CDB" w:rsidRPr="00BD4E06">
          <w:rPr>
            <w:rStyle w:val="Hyperlink"/>
            <w:sz w:val="20"/>
            <w:szCs w:val="20"/>
          </w:rPr>
          <w:t>Cultural Attendance</w:t>
        </w:r>
        <w:r w:rsidR="00BD4E06" w:rsidRPr="00BD4E06">
          <w:rPr>
            <w:rStyle w:val="Hyperlink"/>
            <w:sz w:val="20"/>
            <w:szCs w:val="20"/>
          </w:rPr>
          <w:t xml:space="preserve"> 2013-14</w:t>
        </w:r>
      </w:hyperlink>
      <w:r w:rsidR="0071457B">
        <w:rPr>
          <w:sz w:val="20"/>
          <w:szCs w:val="20"/>
        </w:rPr>
        <w:br/>
      </w:r>
      <w:hyperlink r:id="rId14" w:history="1">
        <w:r w:rsidR="0071457B" w:rsidRPr="00BD4E06">
          <w:rPr>
            <w:rStyle w:val="Hyperlink"/>
            <w:sz w:val="20"/>
            <w:szCs w:val="20"/>
          </w:rPr>
          <w:t>General Social Survey</w:t>
        </w:r>
        <w:r w:rsidR="00BD4E06" w:rsidRPr="00BD4E06">
          <w:rPr>
            <w:rStyle w:val="Hyperlink"/>
            <w:sz w:val="20"/>
            <w:szCs w:val="20"/>
          </w:rPr>
          <w:t xml:space="preserve"> 2014</w:t>
        </w:r>
      </w:hyperlink>
      <w:r w:rsidR="0071457B">
        <w:rPr>
          <w:sz w:val="20"/>
          <w:szCs w:val="20"/>
        </w:rPr>
        <w:br/>
      </w:r>
      <w:hyperlink r:id="rId15" w:history="1">
        <w:r w:rsidR="0071457B" w:rsidRPr="00BD4E06">
          <w:rPr>
            <w:rStyle w:val="Hyperlink"/>
            <w:sz w:val="20"/>
            <w:szCs w:val="20"/>
          </w:rPr>
          <w:t>Survey of Disability, Ageing and Carers</w:t>
        </w:r>
        <w:r w:rsidR="00BD4E06" w:rsidRPr="00BD4E06">
          <w:rPr>
            <w:rStyle w:val="Hyperlink"/>
            <w:sz w:val="20"/>
            <w:szCs w:val="20"/>
          </w:rPr>
          <w:t xml:space="preserve"> 2012</w:t>
        </w:r>
      </w:hyperlink>
      <w:r w:rsidR="0071457B">
        <w:rPr>
          <w:sz w:val="20"/>
          <w:szCs w:val="20"/>
        </w:rPr>
        <w:br/>
      </w:r>
      <w:hyperlink r:id="rId16" w:history="1">
        <w:r w:rsidR="0071457B" w:rsidRPr="00BD4E06">
          <w:rPr>
            <w:rStyle w:val="Hyperlink"/>
            <w:sz w:val="20"/>
            <w:szCs w:val="20"/>
          </w:rPr>
          <w:t>National Aboriginal and Torres Strait Islander Social Survey</w:t>
        </w:r>
        <w:r w:rsidR="00BD4E06" w:rsidRPr="00BD4E06">
          <w:rPr>
            <w:rStyle w:val="Hyperlink"/>
            <w:sz w:val="20"/>
            <w:szCs w:val="20"/>
          </w:rPr>
          <w:t xml:space="preserve"> 2014-15</w:t>
        </w:r>
      </w:hyperlink>
      <w:r w:rsidR="0071457B">
        <w:rPr>
          <w:sz w:val="20"/>
          <w:szCs w:val="20"/>
        </w:rPr>
        <w:br/>
      </w:r>
    </w:p>
    <w:p w14:paraId="1F34BFF1" w14:textId="77777777" w:rsidR="0071457B" w:rsidRPr="00434DF1" w:rsidRDefault="0071457B" w:rsidP="00434DF1">
      <w:pPr>
        <w:spacing w:line="240" w:lineRule="auto"/>
        <w:ind w:left="284"/>
        <w:rPr>
          <w:sz w:val="20"/>
          <w:szCs w:val="20"/>
        </w:rPr>
      </w:pPr>
      <w:r>
        <w:rPr>
          <w:sz w:val="20"/>
          <w:szCs w:val="20"/>
        </w:rPr>
        <w:t xml:space="preserve"> </w:t>
      </w:r>
    </w:p>
    <w:sectPr w:rsidR="0071457B" w:rsidRPr="00434DF1" w:rsidSect="00434DF1">
      <w:type w:val="continuous"/>
      <w:pgSz w:w="11907" w:h="16839" w:code="9"/>
      <w:pgMar w:top="993" w:right="1134" w:bottom="0"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3E960" w14:textId="77777777" w:rsidR="00FD588A" w:rsidRDefault="00FD588A" w:rsidP="00AA2375">
      <w:pPr>
        <w:spacing w:after="0" w:line="240" w:lineRule="auto"/>
      </w:pPr>
      <w:r>
        <w:separator/>
      </w:r>
    </w:p>
  </w:endnote>
  <w:endnote w:type="continuationSeparator" w:id="0">
    <w:p w14:paraId="15F07145" w14:textId="77777777" w:rsidR="00FD588A" w:rsidRDefault="00FD588A" w:rsidP="00AA2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5035638"/>
      <w:docPartObj>
        <w:docPartGallery w:val="Page Numbers (Bottom of Page)"/>
        <w:docPartUnique/>
      </w:docPartObj>
    </w:sdtPr>
    <w:sdtEndPr>
      <w:rPr>
        <w:noProof/>
        <w:sz w:val="20"/>
        <w:szCs w:val="20"/>
      </w:rPr>
    </w:sdtEndPr>
    <w:sdtContent>
      <w:p w14:paraId="1F34BFF8" w14:textId="77777777" w:rsidR="00605F92" w:rsidRPr="00AA2375" w:rsidRDefault="00605F92">
        <w:pPr>
          <w:pStyle w:val="Footer"/>
          <w:jc w:val="right"/>
          <w:rPr>
            <w:sz w:val="20"/>
            <w:szCs w:val="20"/>
          </w:rPr>
        </w:pPr>
        <w:r w:rsidRPr="00AA2375">
          <w:rPr>
            <w:sz w:val="20"/>
            <w:szCs w:val="20"/>
          </w:rPr>
          <w:fldChar w:fldCharType="begin"/>
        </w:r>
        <w:r w:rsidRPr="00AA2375">
          <w:rPr>
            <w:sz w:val="20"/>
            <w:szCs w:val="20"/>
          </w:rPr>
          <w:instrText xml:space="preserve"> PAGE   \* MERGEFORMAT </w:instrText>
        </w:r>
        <w:r w:rsidRPr="00AA2375">
          <w:rPr>
            <w:sz w:val="20"/>
            <w:szCs w:val="20"/>
          </w:rPr>
          <w:fldChar w:fldCharType="separate"/>
        </w:r>
        <w:r w:rsidR="003F4044">
          <w:rPr>
            <w:noProof/>
            <w:sz w:val="20"/>
            <w:szCs w:val="20"/>
          </w:rPr>
          <w:t>1</w:t>
        </w:r>
        <w:r w:rsidRPr="00AA2375">
          <w:rPr>
            <w:noProof/>
            <w:sz w:val="20"/>
            <w:szCs w:val="20"/>
          </w:rPr>
          <w:fldChar w:fldCharType="end"/>
        </w:r>
      </w:p>
    </w:sdtContent>
  </w:sdt>
  <w:p w14:paraId="1F34BFF9" w14:textId="77777777" w:rsidR="00605F92" w:rsidRDefault="00605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78D76" w14:textId="77777777" w:rsidR="00FD588A" w:rsidRDefault="00FD588A" w:rsidP="00AA2375">
      <w:pPr>
        <w:spacing w:after="0" w:line="240" w:lineRule="auto"/>
      </w:pPr>
      <w:r>
        <w:separator/>
      </w:r>
    </w:p>
  </w:footnote>
  <w:footnote w:type="continuationSeparator" w:id="0">
    <w:p w14:paraId="5B3FE11C" w14:textId="77777777" w:rsidR="00FD588A" w:rsidRDefault="00FD588A" w:rsidP="00AA23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4FB6"/>
    <w:multiLevelType w:val="hybridMultilevel"/>
    <w:tmpl w:val="97286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636272"/>
    <w:multiLevelType w:val="hybridMultilevel"/>
    <w:tmpl w:val="F274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A23F0"/>
    <w:multiLevelType w:val="hybridMultilevel"/>
    <w:tmpl w:val="CC7E7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971084"/>
    <w:multiLevelType w:val="hybridMultilevel"/>
    <w:tmpl w:val="87FA2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3C4810"/>
    <w:multiLevelType w:val="hybridMultilevel"/>
    <w:tmpl w:val="B0BCB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E71434"/>
    <w:multiLevelType w:val="hybridMultilevel"/>
    <w:tmpl w:val="239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6334A5"/>
    <w:multiLevelType w:val="hybridMultilevel"/>
    <w:tmpl w:val="88768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C03B0E"/>
    <w:multiLevelType w:val="hybridMultilevel"/>
    <w:tmpl w:val="9A005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C07023"/>
    <w:multiLevelType w:val="hybridMultilevel"/>
    <w:tmpl w:val="A4F2529A"/>
    <w:lvl w:ilvl="0" w:tplc="45ECE64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3752D5"/>
    <w:multiLevelType w:val="hybridMultilevel"/>
    <w:tmpl w:val="3DC41B5A"/>
    <w:lvl w:ilvl="0" w:tplc="95683530">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037D19"/>
    <w:multiLevelType w:val="hybridMultilevel"/>
    <w:tmpl w:val="03902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F8414B"/>
    <w:multiLevelType w:val="hybridMultilevel"/>
    <w:tmpl w:val="35DA4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874088"/>
    <w:multiLevelType w:val="hybridMultilevel"/>
    <w:tmpl w:val="DAC0A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B7322B"/>
    <w:multiLevelType w:val="hybridMultilevel"/>
    <w:tmpl w:val="CDF82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3"/>
  </w:num>
  <w:num w:numId="5">
    <w:abstractNumId w:val="2"/>
  </w:num>
  <w:num w:numId="6">
    <w:abstractNumId w:val="7"/>
  </w:num>
  <w:num w:numId="7">
    <w:abstractNumId w:val="10"/>
  </w:num>
  <w:num w:numId="8">
    <w:abstractNumId w:val="5"/>
  </w:num>
  <w:num w:numId="9">
    <w:abstractNumId w:val="6"/>
  </w:num>
  <w:num w:numId="10">
    <w:abstractNumId w:val="1"/>
  </w:num>
  <w:num w:numId="11">
    <w:abstractNumId w:val="8"/>
  </w:num>
  <w:num w:numId="12">
    <w:abstractNumId w:val="9"/>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B4E"/>
    <w:rsid w:val="000114E1"/>
    <w:rsid w:val="00011531"/>
    <w:rsid w:val="0003601F"/>
    <w:rsid w:val="000376F2"/>
    <w:rsid w:val="00052FF2"/>
    <w:rsid w:val="00072A8D"/>
    <w:rsid w:val="000C55D7"/>
    <w:rsid w:val="000D574A"/>
    <w:rsid w:val="000E1EE3"/>
    <w:rsid w:val="00122B5F"/>
    <w:rsid w:val="00123346"/>
    <w:rsid w:val="00123C99"/>
    <w:rsid w:val="00133DE8"/>
    <w:rsid w:val="00153F6F"/>
    <w:rsid w:val="001571BC"/>
    <w:rsid w:val="00163AFE"/>
    <w:rsid w:val="00165741"/>
    <w:rsid w:val="00170E35"/>
    <w:rsid w:val="00190895"/>
    <w:rsid w:val="001931ED"/>
    <w:rsid w:val="001B1100"/>
    <w:rsid w:val="001B5696"/>
    <w:rsid w:val="001C534E"/>
    <w:rsid w:val="001E5077"/>
    <w:rsid w:val="001E5D1D"/>
    <w:rsid w:val="0024017E"/>
    <w:rsid w:val="00250A17"/>
    <w:rsid w:val="002646FB"/>
    <w:rsid w:val="002842B1"/>
    <w:rsid w:val="00284864"/>
    <w:rsid w:val="00293866"/>
    <w:rsid w:val="002A1887"/>
    <w:rsid w:val="002A5B0D"/>
    <w:rsid w:val="002D035B"/>
    <w:rsid w:val="002D724F"/>
    <w:rsid w:val="002E6BFD"/>
    <w:rsid w:val="002F1C1D"/>
    <w:rsid w:val="002F413E"/>
    <w:rsid w:val="002F5AF2"/>
    <w:rsid w:val="002F7363"/>
    <w:rsid w:val="003126BB"/>
    <w:rsid w:val="0032167E"/>
    <w:rsid w:val="00347886"/>
    <w:rsid w:val="00370C0B"/>
    <w:rsid w:val="003800A9"/>
    <w:rsid w:val="00385275"/>
    <w:rsid w:val="003A72F3"/>
    <w:rsid w:val="003C513D"/>
    <w:rsid w:val="003F188F"/>
    <w:rsid w:val="003F4044"/>
    <w:rsid w:val="00403BCB"/>
    <w:rsid w:val="004053D5"/>
    <w:rsid w:val="004164D3"/>
    <w:rsid w:val="00434DF1"/>
    <w:rsid w:val="0043759C"/>
    <w:rsid w:val="00447413"/>
    <w:rsid w:val="00463107"/>
    <w:rsid w:val="004634B9"/>
    <w:rsid w:val="004705C6"/>
    <w:rsid w:val="00470DBA"/>
    <w:rsid w:val="00475DFA"/>
    <w:rsid w:val="0047633D"/>
    <w:rsid w:val="0047791F"/>
    <w:rsid w:val="00491B90"/>
    <w:rsid w:val="004940C4"/>
    <w:rsid w:val="004A48AD"/>
    <w:rsid w:val="004B1A1A"/>
    <w:rsid w:val="004C1A84"/>
    <w:rsid w:val="004E129E"/>
    <w:rsid w:val="004E1B20"/>
    <w:rsid w:val="004E4764"/>
    <w:rsid w:val="004E50E2"/>
    <w:rsid w:val="004F259E"/>
    <w:rsid w:val="00505621"/>
    <w:rsid w:val="005136FF"/>
    <w:rsid w:val="0051410F"/>
    <w:rsid w:val="005320C4"/>
    <w:rsid w:val="00535096"/>
    <w:rsid w:val="0053775D"/>
    <w:rsid w:val="0055230F"/>
    <w:rsid w:val="00553A03"/>
    <w:rsid w:val="00563CEC"/>
    <w:rsid w:val="005821D1"/>
    <w:rsid w:val="005A781B"/>
    <w:rsid w:val="005B08F8"/>
    <w:rsid w:val="005B75B8"/>
    <w:rsid w:val="005F7563"/>
    <w:rsid w:val="00604611"/>
    <w:rsid w:val="006047FA"/>
    <w:rsid w:val="00605F92"/>
    <w:rsid w:val="0061101F"/>
    <w:rsid w:val="0062323F"/>
    <w:rsid w:val="00624C6A"/>
    <w:rsid w:val="00626154"/>
    <w:rsid w:val="00632506"/>
    <w:rsid w:val="00654043"/>
    <w:rsid w:val="00666CFD"/>
    <w:rsid w:val="00672784"/>
    <w:rsid w:val="00686F06"/>
    <w:rsid w:val="006944D2"/>
    <w:rsid w:val="006E1A23"/>
    <w:rsid w:val="006E5F07"/>
    <w:rsid w:val="007045E4"/>
    <w:rsid w:val="007102FF"/>
    <w:rsid w:val="0071457B"/>
    <w:rsid w:val="007165DF"/>
    <w:rsid w:val="00735655"/>
    <w:rsid w:val="00740D01"/>
    <w:rsid w:val="00750D8C"/>
    <w:rsid w:val="00755F8D"/>
    <w:rsid w:val="00773882"/>
    <w:rsid w:val="007A7154"/>
    <w:rsid w:val="007A7A16"/>
    <w:rsid w:val="007C2B4E"/>
    <w:rsid w:val="007C3F87"/>
    <w:rsid w:val="007D7776"/>
    <w:rsid w:val="007E66BB"/>
    <w:rsid w:val="007F0F09"/>
    <w:rsid w:val="007F3284"/>
    <w:rsid w:val="007F78BF"/>
    <w:rsid w:val="00806E48"/>
    <w:rsid w:val="0082547F"/>
    <w:rsid w:val="00827847"/>
    <w:rsid w:val="008469FF"/>
    <w:rsid w:val="008554C3"/>
    <w:rsid w:val="00866A92"/>
    <w:rsid w:val="008706BA"/>
    <w:rsid w:val="0088084B"/>
    <w:rsid w:val="00880A9E"/>
    <w:rsid w:val="0088303A"/>
    <w:rsid w:val="00891FCA"/>
    <w:rsid w:val="008A5BA3"/>
    <w:rsid w:val="008B12E3"/>
    <w:rsid w:val="008B6BBC"/>
    <w:rsid w:val="008B7365"/>
    <w:rsid w:val="008E60DC"/>
    <w:rsid w:val="008F0439"/>
    <w:rsid w:val="008F0680"/>
    <w:rsid w:val="00903BD8"/>
    <w:rsid w:val="00913B99"/>
    <w:rsid w:val="009313C9"/>
    <w:rsid w:val="009316F4"/>
    <w:rsid w:val="00950CAB"/>
    <w:rsid w:val="00956CD8"/>
    <w:rsid w:val="00962CF3"/>
    <w:rsid w:val="00963702"/>
    <w:rsid w:val="00965633"/>
    <w:rsid w:val="009703B7"/>
    <w:rsid w:val="00995B32"/>
    <w:rsid w:val="009A376B"/>
    <w:rsid w:val="009B2FEE"/>
    <w:rsid w:val="009B3CC5"/>
    <w:rsid w:val="009C7691"/>
    <w:rsid w:val="009E530D"/>
    <w:rsid w:val="009E5D63"/>
    <w:rsid w:val="009F18CA"/>
    <w:rsid w:val="00A04E22"/>
    <w:rsid w:val="00A11AF9"/>
    <w:rsid w:val="00A437CA"/>
    <w:rsid w:val="00A54754"/>
    <w:rsid w:val="00AA2375"/>
    <w:rsid w:val="00AB417F"/>
    <w:rsid w:val="00AC146B"/>
    <w:rsid w:val="00AC2A0F"/>
    <w:rsid w:val="00AE0AF1"/>
    <w:rsid w:val="00AF74D1"/>
    <w:rsid w:val="00B01263"/>
    <w:rsid w:val="00B10813"/>
    <w:rsid w:val="00B10ACC"/>
    <w:rsid w:val="00B21DFA"/>
    <w:rsid w:val="00B25E70"/>
    <w:rsid w:val="00B3609B"/>
    <w:rsid w:val="00B439AF"/>
    <w:rsid w:val="00B47FAB"/>
    <w:rsid w:val="00B63CCF"/>
    <w:rsid w:val="00B662C2"/>
    <w:rsid w:val="00B74256"/>
    <w:rsid w:val="00B77645"/>
    <w:rsid w:val="00B8419D"/>
    <w:rsid w:val="00B85A05"/>
    <w:rsid w:val="00B96671"/>
    <w:rsid w:val="00BA5670"/>
    <w:rsid w:val="00BB5EF9"/>
    <w:rsid w:val="00BC2224"/>
    <w:rsid w:val="00BC5E67"/>
    <w:rsid w:val="00BD4E06"/>
    <w:rsid w:val="00BE3560"/>
    <w:rsid w:val="00BF5998"/>
    <w:rsid w:val="00C0327A"/>
    <w:rsid w:val="00C06CAF"/>
    <w:rsid w:val="00C07BAA"/>
    <w:rsid w:val="00C14AC6"/>
    <w:rsid w:val="00C15427"/>
    <w:rsid w:val="00C23536"/>
    <w:rsid w:val="00C26C9E"/>
    <w:rsid w:val="00C345B8"/>
    <w:rsid w:val="00C43B35"/>
    <w:rsid w:val="00C55146"/>
    <w:rsid w:val="00C61FC3"/>
    <w:rsid w:val="00C7491B"/>
    <w:rsid w:val="00C85E2E"/>
    <w:rsid w:val="00C90EA4"/>
    <w:rsid w:val="00CB4D06"/>
    <w:rsid w:val="00CB6397"/>
    <w:rsid w:val="00CC184E"/>
    <w:rsid w:val="00CC7FDF"/>
    <w:rsid w:val="00CD7CDB"/>
    <w:rsid w:val="00CE79F1"/>
    <w:rsid w:val="00CF1114"/>
    <w:rsid w:val="00D07F34"/>
    <w:rsid w:val="00D105DE"/>
    <w:rsid w:val="00D20CCE"/>
    <w:rsid w:val="00D27CCA"/>
    <w:rsid w:val="00D42389"/>
    <w:rsid w:val="00D4557F"/>
    <w:rsid w:val="00D47102"/>
    <w:rsid w:val="00D72CB8"/>
    <w:rsid w:val="00D77183"/>
    <w:rsid w:val="00D7730F"/>
    <w:rsid w:val="00D92696"/>
    <w:rsid w:val="00DA0763"/>
    <w:rsid w:val="00DA0AB4"/>
    <w:rsid w:val="00DB1412"/>
    <w:rsid w:val="00DD2D48"/>
    <w:rsid w:val="00DD6FA7"/>
    <w:rsid w:val="00DE14C8"/>
    <w:rsid w:val="00DF6447"/>
    <w:rsid w:val="00DF7231"/>
    <w:rsid w:val="00E26FE6"/>
    <w:rsid w:val="00E443C5"/>
    <w:rsid w:val="00E52734"/>
    <w:rsid w:val="00E60350"/>
    <w:rsid w:val="00E624E0"/>
    <w:rsid w:val="00E674B5"/>
    <w:rsid w:val="00E71895"/>
    <w:rsid w:val="00E72FE8"/>
    <w:rsid w:val="00E7300F"/>
    <w:rsid w:val="00E75FC3"/>
    <w:rsid w:val="00E86156"/>
    <w:rsid w:val="00E92AD6"/>
    <w:rsid w:val="00EB3878"/>
    <w:rsid w:val="00EE2C7E"/>
    <w:rsid w:val="00EF057C"/>
    <w:rsid w:val="00EF6914"/>
    <w:rsid w:val="00F03408"/>
    <w:rsid w:val="00F054EE"/>
    <w:rsid w:val="00F1282C"/>
    <w:rsid w:val="00F16EBC"/>
    <w:rsid w:val="00F43147"/>
    <w:rsid w:val="00F54884"/>
    <w:rsid w:val="00F60391"/>
    <w:rsid w:val="00F81DF5"/>
    <w:rsid w:val="00F918CC"/>
    <w:rsid w:val="00FA7027"/>
    <w:rsid w:val="00FC2157"/>
    <w:rsid w:val="00FD588A"/>
    <w:rsid w:val="00FE5092"/>
    <w:rsid w:val="00FE6285"/>
    <w:rsid w:val="00FF345E"/>
    <w:rsid w:val="00FF4B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4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303A"/>
    <w:pPr>
      <w:keepNext/>
      <w:keepLines/>
      <w:spacing w:before="240" w:after="0"/>
      <w:outlineLvl w:val="0"/>
    </w:pPr>
    <w:rPr>
      <w:rFonts w:eastAsiaTheme="majorEastAsia" w:cstheme="majorBidi"/>
      <w:b/>
      <w:bCs/>
      <w:color w:val="943634" w:themeColor="accent2" w:themeShade="BF"/>
      <w:sz w:val="24"/>
      <w:szCs w:val="28"/>
    </w:rPr>
  </w:style>
  <w:style w:type="paragraph" w:styleId="Heading2">
    <w:name w:val="heading 2"/>
    <w:basedOn w:val="Heading1"/>
    <w:next w:val="Normal"/>
    <w:link w:val="Heading2Char"/>
    <w:uiPriority w:val="9"/>
    <w:unhideWhenUsed/>
    <w:qFormat/>
    <w:rsid w:val="00672784"/>
    <w:pPr>
      <w:ind w:right="-45"/>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0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DBA"/>
    <w:rPr>
      <w:rFonts w:ascii="Tahoma" w:hAnsi="Tahoma" w:cs="Tahoma"/>
      <w:sz w:val="16"/>
      <w:szCs w:val="16"/>
    </w:rPr>
  </w:style>
  <w:style w:type="paragraph" w:styleId="Revision">
    <w:name w:val="Revision"/>
    <w:hidden/>
    <w:uiPriority w:val="99"/>
    <w:semiHidden/>
    <w:rsid w:val="00891FCA"/>
    <w:pPr>
      <w:spacing w:after="0" w:line="240" w:lineRule="auto"/>
    </w:pPr>
  </w:style>
  <w:style w:type="paragraph" w:styleId="ListParagraph">
    <w:name w:val="List Paragraph"/>
    <w:basedOn w:val="Normal"/>
    <w:uiPriority w:val="34"/>
    <w:qFormat/>
    <w:rsid w:val="00891FCA"/>
    <w:pPr>
      <w:ind w:left="720"/>
      <w:contextualSpacing/>
    </w:pPr>
  </w:style>
  <w:style w:type="character" w:styleId="Hyperlink">
    <w:name w:val="Hyperlink"/>
    <w:basedOn w:val="DefaultParagraphFont"/>
    <w:uiPriority w:val="99"/>
    <w:unhideWhenUsed/>
    <w:rsid w:val="002F413E"/>
    <w:rPr>
      <w:color w:val="0000FF"/>
      <w:u w:val="single"/>
    </w:rPr>
  </w:style>
  <w:style w:type="character" w:customStyle="1" w:styleId="Heading1Char">
    <w:name w:val="Heading 1 Char"/>
    <w:basedOn w:val="DefaultParagraphFont"/>
    <w:link w:val="Heading1"/>
    <w:uiPriority w:val="9"/>
    <w:rsid w:val="0088303A"/>
    <w:rPr>
      <w:rFonts w:eastAsiaTheme="majorEastAsia" w:cstheme="majorBidi"/>
      <w:b/>
      <w:bCs/>
      <w:color w:val="943634" w:themeColor="accent2" w:themeShade="BF"/>
      <w:sz w:val="24"/>
      <w:szCs w:val="28"/>
    </w:rPr>
  </w:style>
  <w:style w:type="paragraph" w:styleId="NormalWeb">
    <w:name w:val="Normal (Web)"/>
    <w:basedOn w:val="Normal"/>
    <w:uiPriority w:val="99"/>
    <w:unhideWhenUsed/>
    <w:rsid w:val="004E129E"/>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styleId="Header">
    <w:name w:val="header"/>
    <w:basedOn w:val="Normal"/>
    <w:link w:val="HeaderChar"/>
    <w:uiPriority w:val="99"/>
    <w:unhideWhenUsed/>
    <w:rsid w:val="00AA23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375"/>
  </w:style>
  <w:style w:type="paragraph" w:styleId="Footer">
    <w:name w:val="footer"/>
    <w:basedOn w:val="Normal"/>
    <w:link w:val="FooterChar"/>
    <w:uiPriority w:val="99"/>
    <w:unhideWhenUsed/>
    <w:rsid w:val="00AA23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375"/>
  </w:style>
  <w:style w:type="character" w:styleId="FollowedHyperlink">
    <w:name w:val="FollowedHyperlink"/>
    <w:basedOn w:val="DefaultParagraphFont"/>
    <w:uiPriority w:val="99"/>
    <w:semiHidden/>
    <w:unhideWhenUsed/>
    <w:rsid w:val="00BB5EF9"/>
    <w:rPr>
      <w:color w:val="800080" w:themeColor="followedHyperlink"/>
      <w:u w:val="single"/>
    </w:rPr>
  </w:style>
  <w:style w:type="paragraph" w:styleId="CommentText">
    <w:name w:val="annotation text"/>
    <w:basedOn w:val="Normal"/>
    <w:link w:val="CommentTextChar"/>
    <w:uiPriority w:val="99"/>
    <w:semiHidden/>
    <w:unhideWhenUsed/>
    <w:rsid w:val="00962CF3"/>
    <w:pPr>
      <w:spacing w:line="240" w:lineRule="auto"/>
    </w:pPr>
    <w:rPr>
      <w:sz w:val="20"/>
      <w:szCs w:val="20"/>
    </w:rPr>
  </w:style>
  <w:style w:type="character" w:customStyle="1" w:styleId="CommentTextChar">
    <w:name w:val="Comment Text Char"/>
    <w:basedOn w:val="DefaultParagraphFont"/>
    <w:link w:val="CommentText"/>
    <w:uiPriority w:val="99"/>
    <w:semiHidden/>
    <w:rsid w:val="00962CF3"/>
    <w:rPr>
      <w:sz w:val="20"/>
      <w:szCs w:val="20"/>
    </w:rPr>
  </w:style>
  <w:style w:type="character" w:styleId="CommentReference">
    <w:name w:val="annotation reference"/>
    <w:basedOn w:val="DefaultParagraphFont"/>
    <w:uiPriority w:val="99"/>
    <w:semiHidden/>
    <w:unhideWhenUsed/>
    <w:rsid w:val="00122B5F"/>
    <w:rPr>
      <w:sz w:val="16"/>
      <w:szCs w:val="16"/>
    </w:rPr>
  </w:style>
  <w:style w:type="paragraph" w:styleId="CommentSubject">
    <w:name w:val="annotation subject"/>
    <w:basedOn w:val="CommentText"/>
    <w:next w:val="CommentText"/>
    <w:link w:val="CommentSubjectChar"/>
    <w:uiPriority w:val="99"/>
    <w:semiHidden/>
    <w:unhideWhenUsed/>
    <w:rsid w:val="00122B5F"/>
    <w:rPr>
      <w:b/>
      <w:bCs/>
    </w:rPr>
  </w:style>
  <w:style w:type="character" w:customStyle="1" w:styleId="CommentSubjectChar">
    <w:name w:val="Comment Subject Char"/>
    <w:basedOn w:val="CommentTextChar"/>
    <w:link w:val="CommentSubject"/>
    <w:uiPriority w:val="99"/>
    <w:semiHidden/>
    <w:rsid w:val="00122B5F"/>
    <w:rPr>
      <w:b/>
      <w:bCs/>
      <w:sz w:val="20"/>
      <w:szCs w:val="20"/>
    </w:rPr>
  </w:style>
  <w:style w:type="character" w:customStyle="1" w:styleId="Heading2Char">
    <w:name w:val="Heading 2 Char"/>
    <w:basedOn w:val="DefaultParagraphFont"/>
    <w:link w:val="Heading2"/>
    <w:uiPriority w:val="9"/>
    <w:rsid w:val="00672784"/>
    <w:rPr>
      <w:rFonts w:eastAsiaTheme="majorEastAsia" w:cstheme="majorBidi"/>
      <w:b/>
      <w:bCs/>
      <w:color w:val="943634" w:themeColor="accent2" w:themeShade="BF"/>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23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s.gov.au/websitedbs/censushome.nsf/home/dataquality?opendocument&amp;navpos=400" TargetMode="External"/><Relationship Id="rId13" Type="http://schemas.openxmlformats.org/officeDocument/2006/relationships/hyperlink" Target="http://www.abs.gov.au/AUSSTATS/abs@.nsf/Lookup/4114.0Explanatory%20Notes12013-14?OpenDocum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abs.gov.au/AUSSTATS/abs@.nsf/Lookup/8165.0Explanatory%20Notes1Jun%202011%20to%20Jun%202015?OpenDocum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bs.gov.au/AUSSTATS/abs@.nsf/Lookup/4714.0Explanatory%20Notes12014-15?OpenDocu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bs.gov.au/AUSSTATS/abs@.nsf/Lookup/4921.0Explanatory%20Notes12013-14?OpenDocument" TargetMode="External"/><Relationship Id="rId5" Type="http://schemas.openxmlformats.org/officeDocument/2006/relationships/footnotes" Target="footnotes.xml"/><Relationship Id="rId15" Type="http://schemas.openxmlformats.org/officeDocument/2006/relationships/hyperlink" Target="http://www.abs.gov.au/AUSSTATS/abs@.nsf/Lookup/4430.0Explanatory%20Notes5002012?OpenDocument" TargetMode="External"/><Relationship Id="rId10" Type="http://schemas.openxmlformats.org/officeDocument/2006/relationships/hyperlink" Target="http://www.abs.gov.au/AUSSTATS/abs@.nsf/Lookup/4901.0Explanatory%20Notes1Apr%202012?OpenDocument" TargetMode="External"/><Relationship Id="rId4" Type="http://schemas.openxmlformats.org/officeDocument/2006/relationships/webSettings" Target="webSettings.xml"/><Relationship Id="rId9" Type="http://schemas.openxmlformats.org/officeDocument/2006/relationships/hyperlink" Target="http://www.abs.gov.au/AUSSTATS/abs@.nsf/Lookup/4183.0Explanatory%20Notes12012-13?OpenDocument" TargetMode="External"/><Relationship Id="rId14" Type="http://schemas.openxmlformats.org/officeDocument/2006/relationships/hyperlink" Target="http://www.abs.gov.au/AUSSTATS/abs@.nsf/Lookup/4159.0Explanatory%20Notes12014?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D35AA303.dotm</Template>
  <TotalTime>0</TotalTime>
  <Pages>1</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2017-04-20T00:59:00Z</dcterms:created>
  <dcterms:modified xsi:type="dcterms:W3CDTF">2017-04-20T00:59:00Z</dcterms:modified>
</cp:coreProperties>
</file>