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B3785F" w:rsidP="00822DBF">
      <w:pPr>
        <w:spacing w:after="0"/>
        <w:ind w:left="-1418"/>
        <w:sectPr w:rsidR="00133A45" w:rsidSect="00EA415A">
          <w:headerReference w:type="default" r:id="rId8"/>
          <w:footerReference w:type="default" r:id="rId9"/>
          <w:footerReference w:type="first" r:id="rId10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bookmarkStart w:id="0" w:name="_Hlk110256738"/>
      <w:bookmarkEnd w:id="0"/>
      <w:r>
        <w:rPr>
          <w:noProof/>
        </w:rPr>
        <w:drawing>
          <wp:inline distT="0" distB="0" distL="0" distR="0" wp14:anchorId="1C04634D" wp14:editId="6F624F0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CB" w:rsidRPr="00C50C61" w:rsidRDefault="000E3772" w:rsidP="00DB7BCE">
      <w:pPr>
        <w:pStyle w:val="Heading1"/>
        <w:spacing w:before="240"/>
      </w:pPr>
      <w:r>
        <w:t>General Permits</w:t>
      </w:r>
    </w:p>
    <w:p w:rsidR="00B041CB" w:rsidRPr="00B041CB" w:rsidRDefault="00C50C61" w:rsidP="00B041CB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August</w:t>
      </w:r>
      <w:r w:rsidR="00B041CB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2022</w:t>
      </w:r>
    </w:p>
    <w:p w:rsidR="00B041CB" w:rsidRPr="00B041CB" w:rsidRDefault="00B041CB" w:rsidP="00DB7BCE">
      <w:pPr>
        <w:pBdr>
          <w:bottom w:val="single" w:sz="4" w:space="1" w:color="C0D48F"/>
        </w:pBdr>
        <w:suppressAutoHyphens/>
        <w:spacing w:before="160" w:after="240"/>
        <w:rPr>
          <w:rFonts w:eastAsia="Calibri" w:cs="Times New Roman"/>
          <w:color w:val="000000"/>
          <w:kern w:val="12"/>
          <w:sz w:val="20"/>
          <w:szCs w:val="20"/>
        </w:rPr>
      </w:pPr>
    </w:p>
    <w:p w:rsidR="000E3772" w:rsidRDefault="000E3772" w:rsidP="000E3772">
      <w:r>
        <w:t>General Permits assist principal collecting institutions to temporarily export cultural heritage objects from their collections.</w:t>
      </w:r>
    </w:p>
    <w:p w:rsidR="000E3772" w:rsidRPr="003D340C" w:rsidRDefault="000E3772" w:rsidP="000E3772">
      <w:pPr>
        <w:pStyle w:val="Heading2"/>
        <w:rPr>
          <w:lang w:val="en-GB"/>
        </w:rPr>
      </w:pPr>
      <w:r w:rsidRPr="003D340C">
        <w:rPr>
          <w:lang w:val="en-GB"/>
        </w:rPr>
        <w:t>What is a General Permit?</w:t>
      </w:r>
    </w:p>
    <w:p w:rsidR="000E3772" w:rsidRDefault="000E3772" w:rsidP="000E3772">
      <w:pPr>
        <w:rPr>
          <w:rFonts w:cs="Segoe UI"/>
          <w:szCs w:val="21"/>
          <w:lang w:val="en-GB"/>
        </w:rPr>
      </w:pPr>
      <w:r w:rsidRPr="0010540D">
        <w:rPr>
          <w:rFonts w:cs="Segoe UI"/>
          <w:szCs w:val="21"/>
        </w:rPr>
        <w:t>Principal collecting institutions (</w:t>
      </w:r>
      <w:r>
        <w:rPr>
          <w:rFonts w:cs="Segoe UI"/>
          <w:szCs w:val="21"/>
        </w:rPr>
        <w:t>i.e.</w:t>
      </w:r>
      <w:r w:rsidRPr="0010540D">
        <w:rPr>
          <w:rFonts w:cs="Segoe UI"/>
          <w:szCs w:val="21"/>
        </w:rPr>
        <w:t xml:space="preserve"> public galleries, museums, libraries, and archives that are established under a law of the Commonwealth, a state or territory) may apply for a General Permit under the </w:t>
      </w:r>
      <w:hyperlink r:id="rId12" w:history="1">
        <w:r w:rsidRPr="0010540D">
          <w:rPr>
            <w:rStyle w:val="Hyperlink"/>
            <w:rFonts w:cs="Segoe UI"/>
            <w:szCs w:val="21"/>
          </w:rPr>
          <w:t>Protection of Movable Cultural Heritage Act 1986</w:t>
        </w:r>
      </w:hyperlink>
      <w:r w:rsidRPr="0010540D">
        <w:rPr>
          <w:rFonts w:cs="Segoe UI"/>
          <w:szCs w:val="21"/>
        </w:rPr>
        <w:t xml:space="preserve"> to assist in the temporary export of Class B Australian Protected Objects (APOs) </w:t>
      </w:r>
      <w:r w:rsidRPr="0010540D">
        <w:rPr>
          <w:rFonts w:cs="Segoe UI"/>
          <w:szCs w:val="21"/>
          <w:lang w:val="en-GB"/>
        </w:rPr>
        <w:t>that have been accessioned into their collection.</w:t>
      </w:r>
    </w:p>
    <w:p w:rsidR="000E3772" w:rsidRPr="00D13648" w:rsidRDefault="000E3772" w:rsidP="000E3772">
      <w:pPr>
        <w:pStyle w:val="Heading2"/>
        <w:rPr>
          <w:lang w:val="en-GB"/>
        </w:rPr>
      </w:pPr>
      <w:r w:rsidRPr="00D13648">
        <w:rPr>
          <w:lang w:val="en-GB"/>
        </w:rPr>
        <w:t>What are APOs?</w:t>
      </w:r>
    </w:p>
    <w:p w:rsidR="000E3772" w:rsidRPr="0010540D" w:rsidRDefault="000E3772" w:rsidP="000E3772">
      <w:pPr>
        <w:rPr>
          <w:rFonts w:cs="Segoe UI"/>
          <w:szCs w:val="21"/>
        </w:rPr>
      </w:pPr>
      <w:r w:rsidRPr="0010540D">
        <w:rPr>
          <w:rFonts w:cs="Segoe UI"/>
          <w:szCs w:val="21"/>
        </w:rPr>
        <w:t xml:space="preserve">The National Cultural Heritage List </w:t>
      </w:r>
      <w:r>
        <w:rPr>
          <w:rFonts w:cs="Segoe UI"/>
          <w:szCs w:val="21"/>
        </w:rPr>
        <w:t xml:space="preserve">Control </w:t>
      </w:r>
      <w:r w:rsidRPr="0010540D">
        <w:rPr>
          <w:rFonts w:cs="Segoe UI"/>
          <w:szCs w:val="21"/>
        </w:rPr>
        <w:t xml:space="preserve">(the Control List) in Schedule 1 to the </w:t>
      </w:r>
      <w:hyperlink r:id="rId13" w:history="1">
        <w:r w:rsidRPr="00932DD5">
          <w:rPr>
            <w:rStyle w:val="Hyperlink"/>
            <w:rFonts w:cs="Segoe UI"/>
            <w:iCs/>
            <w:szCs w:val="21"/>
          </w:rPr>
          <w:t>Protection of Movable Cultural Heritage Regulations 2018</w:t>
        </w:r>
      </w:hyperlink>
      <w:r w:rsidRPr="0010540D">
        <w:rPr>
          <w:rFonts w:cs="Segoe UI"/>
          <w:szCs w:val="21"/>
        </w:rPr>
        <w:t xml:space="preserve"> prescribes categories of objects that constitute the movable cultural heritage of Australia and are subject to export control. </w:t>
      </w:r>
      <w:r>
        <w:rPr>
          <w:rFonts w:cs="Segoe UI"/>
          <w:szCs w:val="21"/>
        </w:rPr>
        <w:t xml:space="preserve">These objects are APOs. </w:t>
      </w:r>
      <w:r w:rsidRPr="0010540D">
        <w:rPr>
          <w:rFonts w:cs="Segoe UI"/>
          <w:szCs w:val="21"/>
          <w:lang w:val="en-GB"/>
        </w:rPr>
        <w:t xml:space="preserve">If an object is included in a category of Class B </w:t>
      </w:r>
      <w:r>
        <w:rPr>
          <w:rFonts w:cs="Segoe UI"/>
          <w:szCs w:val="21"/>
          <w:lang w:val="en-GB"/>
        </w:rPr>
        <w:t>APOs,</w:t>
      </w:r>
      <w:r w:rsidRPr="0010540D">
        <w:rPr>
          <w:rFonts w:cs="Segoe UI"/>
          <w:szCs w:val="21"/>
          <w:lang w:val="en-GB"/>
        </w:rPr>
        <w:t xml:space="preserve"> an Export Permit is required</w:t>
      </w:r>
      <w:r w:rsidRPr="0010540D">
        <w:rPr>
          <w:rFonts w:cs="Segoe UI"/>
          <w:szCs w:val="21"/>
        </w:rPr>
        <w:t>. Export permits may not be granted for objects that are included in</w:t>
      </w:r>
      <w:r>
        <w:rPr>
          <w:rFonts w:cs="Segoe UI"/>
          <w:szCs w:val="21"/>
        </w:rPr>
        <w:t xml:space="preserve"> a category of Class A APOs.</w:t>
      </w:r>
    </w:p>
    <w:p w:rsidR="000E3772" w:rsidRDefault="000E3772" w:rsidP="000E3772">
      <w:pPr>
        <w:pStyle w:val="Heading2"/>
        <w:rPr>
          <w:lang w:val="en-GB"/>
        </w:rPr>
      </w:pPr>
      <w:r w:rsidRPr="006315A7">
        <w:rPr>
          <w:lang w:val="en-GB"/>
        </w:rPr>
        <w:t>General Permit Conditions</w:t>
      </w:r>
    </w:p>
    <w:p w:rsidR="000E3772" w:rsidRPr="00043FC6" w:rsidRDefault="000E3772" w:rsidP="000E3772">
      <w:pPr>
        <w:rPr>
          <w:rFonts w:cs="Segoe UI"/>
          <w:szCs w:val="21"/>
        </w:rPr>
      </w:pPr>
      <w:r w:rsidRPr="0010540D">
        <w:rPr>
          <w:rFonts w:cs="Segoe UI"/>
          <w:szCs w:val="21"/>
        </w:rPr>
        <w:t>General Permit holder</w:t>
      </w:r>
      <w:r>
        <w:rPr>
          <w:rFonts w:cs="Segoe UI"/>
          <w:szCs w:val="21"/>
        </w:rPr>
        <w:t xml:space="preserve">s </w:t>
      </w:r>
      <w:r w:rsidRPr="0010540D">
        <w:rPr>
          <w:rFonts w:cs="Segoe UI"/>
          <w:szCs w:val="21"/>
        </w:rPr>
        <w:t>can manage the export process internally, without having to apply for individual Export Permits for each Class B APO they export on loan for the purposes of research or public exhibition</w:t>
      </w:r>
      <w:r>
        <w:rPr>
          <w:rFonts w:cs="Segoe UI"/>
          <w:szCs w:val="21"/>
        </w:rPr>
        <w:t>.</w:t>
      </w:r>
    </w:p>
    <w:p w:rsidR="000E3772" w:rsidRPr="0010540D" w:rsidRDefault="000E3772" w:rsidP="000E3772">
      <w:pPr>
        <w:pStyle w:val="BodyText"/>
        <w:spacing w:before="0"/>
        <w:rPr>
          <w:rFonts w:ascii="Segoe UI" w:hAnsi="Segoe UI" w:cs="Segoe UI"/>
          <w:sz w:val="21"/>
          <w:szCs w:val="21"/>
          <w:lang w:val="en-GB"/>
        </w:rPr>
      </w:pPr>
      <w:r>
        <w:rPr>
          <w:rFonts w:ascii="Segoe UI" w:hAnsi="Segoe UI" w:cs="Segoe UI"/>
          <w:sz w:val="21"/>
          <w:szCs w:val="21"/>
          <w:lang w:val="en-GB"/>
        </w:rPr>
        <w:t xml:space="preserve">General Permit holders are required to meet a few conditions, </w:t>
      </w:r>
      <w:r w:rsidRPr="0010540D">
        <w:rPr>
          <w:rFonts w:ascii="Segoe UI" w:hAnsi="Segoe UI" w:cs="Segoe UI"/>
          <w:sz w:val="21"/>
          <w:szCs w:val="21"/>
          <w:lang w:val="en-GB"/>
        </w:rPr>
        <w:t>including:</w:t>
      </w:r>
    </w:p>
    <w:p w:rsidR="000E3772" w:rsidRPr="0010540D" w:rsidRDefault="000E3772" w:rsidP="000E3772">
      <w:pPr>
        <w:pStyle w:val="Bulletlevel1"/>
        <w:rPr>
          <w:lang w:val="en-GB"/>
        </w:rPr>
      </w:pPr>
      <w:r w:rsidRPr="0010540D">
        <w:rPr>
          <w:lang w:val="en-GB"/>
        </w:rPr>
        <w:t>A copy of the General Permit must accompany the object at all times.</w:t>
      </w:r>
    </w:p>
    <w:p w:rsidR="000E3772" w:rsidRPr="0010540D" w:rsidRDefault="000E3772" w:rsidP="000E3772">
      <w:pPr>
        <w:pStyle w:val="Bulletlevel1"/>
        <w:rPr>
          <w:lang w:val="en-GB"/>
        </w:rPr>
      </w:pPr>
      <w:r w:rsidRPr="0010540D">
        <w:rPr>
          <w:lang w:val="en-GB"/>
        </w:rPr>
        <w:t>An object may be exported on loan for up to two years. Should an extension of the export term be required, an Application to Vary</w:t>
      </w:r>
      <w:r>
        <w:rPr>
          <w:lang w:val="en-GB"/>
        </w:rPr>
        <w:t xml:space="preserve"> the term must be submitted</w:t>
      </w:r>
      <w:r w:rsidRPr="0010540D">
        <w:rPr>
          <w:lang w:val="en-GB"/>
        </w:rPr>
        <w:t xml:space="preserve"> </w:t>
      </w:r>
      <w:r>
        <w:rPr>
          <w:lang w:val="en-GB"/>
        </w:rPr>
        <w:t xml:space="preserve">at least </w:t>
      </w:r>
      <w:r w:rsidRPr="0010540D">
        <w:rPr>
          <w:lang w:val="en-GB"/>
        </w:rPr>
        <w:t xml:space="preserve">one month before </w:t>
      </w:r>
      <w:r>
        <w:rPr>
          <w:lang w:val="en-GB"/>
        </w:rPr>
        <w:t xml:space="preserve">it </w:t>
      </w:r>
      <w:r w:rsidRPr="0010540D">
        <w:rPr>
          <w:lang w:val="en-GB"/>
        </w:rPr>
        <w:t>expires.</w:t>
      </w:r>
    </w:p>
    <w:p w:rsidR="000E3772" w:rsidRPr="0010540D" w:rsidRDefault="000E3772" w:rsidP="000E3772">
      <w:pPr>
        <w:pStyle w:val="Bulletlevel1"/>
        <w:rPr>
          <w:lang w:val="en-GB"/>
        </w:rPr>
      </w:pPr>
      <w:r w:rsidRPr="0010540D">
        <w:rPr>
          <w:lang w:val="en-GB"/>
        </w:rPr>
        <w:t xml:space="preserve">Permit holders must maintain a register of all objects temporarily exported or returned using their General Permit, and provide a report to the </w:t>
      </w:r>
      <w:r>
        <w:rPr>
          <w:lang w:val="en-GB"/>
        </w:rPr>
        <w:t xml:space="preserve">Department of Infrastructure, Transport, Regional Development, Communications and the </w:t>
      </w:r>
      <w:r w:rsidRPr="0010540D">
        <w:rPr>
          <w:lang w:val="en-GB"/>
        </w:rPr>
        <w:t xml:space="preserve">Arts at the end of each financial year. </w:t>
      </w:r>
    </w:p>
    <w:p w:rsidR="000E3772" w:rsidRPr="00620EDE" w:rsidRDefault="000E3772" w:rsidP="000E3772">
      <w:pPr>
        <w:pStyle w:val="Heading2"/>
        <w:rPr>
          <w:lang w:val="en-GB"/>
        </w:rPr>
      </w:pPr>
      <w:r>
        <w:rPr>
          <w:lang w:val="en-GB"/>
        </w:rPr>
        <w:t>Find out more</w:t>
      </w:r>
    </w:p>
    <w:p w:rsidR="000E3772" w:rsidRPr="0010540D" w:rsidRDefault="000E3772" w:rsidP="000E3772">
      <w:pPr>
        <w:spacing w:after="0"/>
        <w:rPr>
          <w:rFonts w:cs="Segoe UI"/>
          <w:szCs w:val="21"/>
        </w:rPr>
      </w:pPr>
      <w:r w:rsidRPr="0010540D">
        <w:rPr>
          <w:rFonts w:cs="Segoe UI"/>
          <w:szCs w:val="21"/>
        </w:rPr>
        <w:t xml:space="preserve">Website: </w:t>
      </w:r>
      <w:hyperlink r:id="rId14" w:history="1">
        <w:r w:rsidRPr="0010540D">
          <w:rPr>
            <w:rStyle w:val="Hyperlink"/>
            <w:rFonts w:cs="Segoe UI"/>
            <w:szCs w:val="21"/>
          </w:rPr>
          <w:t>arts.gov.au/movable</w:t>
        </w:r>
      </w:hyperlink>
    </w:p>
    <w:p w:rsidR="000E3772" w:rsidRPr="0010540D" w:rsidRDefault="000E3772" w:rsidP="000E3772">
      <w:pPr>
        <w:spacing w:after="0"/>
        <w:rPr>
          <w:rFonts w:cs="Segoe UI"/>
          <w:szCs w:val="21"/>
        </w:rPr>
      </w:pPr>
      <w:r w:rsidRPr="0010540D">
        <w:rPr>
          <w:rFonts w:cs="Segoe UI"/>
          <w:szCs w:val="21"/>
        </w:rPr>
        <w:t>Phone: 1800 819 461</w:t>
      </w:r>
    </w:p>
    <w:p w:rsidR="000E3772" w:rsidRPr="0010540D" w:rsidRDefault="000E3772" w:rsidP="000E3772">
      <w:pPr>
        <w:spacing w:after="0"/>
        <w:rPr>
          <w:rFonts w:cs="Segoe UI"/>
          <w:szCs w:val="21"/>
        </w:rPr>
      </w:pPr>
      <w:r w:rsidRPr="0010540D">
        <w:rPr>
          <w:rFonts w:cs="Segoe UI"/>
          <w:szCs w:val="21"/>
        </w:rPr>
        <w:t xml:space="preserve">Email: </w:t>
      </w:r>
      <w:hyperlink r:id="rId15" w:history="1">
        <w:r w:rsidRPr="0010540D">
          <w:rPr>
            <w:rStyle w:val="Hyperlink"/>
            <w:rFonts w:cs="Segoe UI"/>
            <w:szCs w:val="21"/>
          </w:rPr>
          <w:t>movable.heritage@arts.gov.au</w:t>
        </w:r>
      </w:hyperlink>
      <w:bookmarkStart w:id="1" w:name="_GoBack"/>
      <w:bookmarkEnd w:id="1"/>
    </w:p>
    <w:sectPr w:rsidR="000E3772" w:rsidRPr="0010540D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E3772">
      <w:rPr>
        <w:rFonts w:cs="Segoe UI"/>
        <w:noProof/>
        <w:szCs w:val="18"/>
      </w:rPr>
      <w:t>General Permits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E3772">
      <w:rPr>
        <w:rFonts w:cs="Segoe UI"/>
        <w:noProof/>
        <w:szCs w:val="18"/>
      </w:rPr>
      <w:t>General Permits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C50C61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C50C61">
      <w:rPr>
        <w:rFonts w:cs="Segoe UI Light"/>
        <w:color w:val="001C40"/>
        <w:sz w:val="20"/>
        <w:szCs w:val="20"/>
      </w:rPr>
      <w:fldChar w:fldCharType="begin"/>
    </w:r>
    <w:r w:rsidRPr="00C50C61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="006C4EE3">
      <w:rPr>
        <w:rFonts w:cs="Segoe UI Light"/>
        <w:color w:val="001C40"/>
        <w:sz w:val="20"/>
        <w:szCs w:val="20"/>
      </w:rPr>
      <w:fldChar w:fldCharType="separate"/>
    </w:r>
    <w:r w:rsidR="000E3772">
      <w:rPr>
        <w:rFonts w:cs="Segoe UI Light"/>
        <w:noProof/>
        <w:color w:val="001C40"/>
        <w:sz w:val="20"/>
        <w:szCs w:val="20"/>
      </w:rPr>
      <w:t>Find out more</w:t>
    </w:r>
    <w:r w:rsidRPr="00C50C61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webHidden w:val="0"/>
        <w:color w:val="0F293A"/>
        <w:sz w:val="22"/>
        <w:szCs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06371"/>
    <w:multiLevelType w:val="hybridMultilevel"/>
    <w:tmpl w:val="648E0C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A3276"/>
    <w:rsid w:val="000B1E86"/>
    <w:rsid w:val="000C0244"/>
    <w:rsid w:val="000C2895"/>
    <w:rsid w:val="000D4B3B"/>
    <w:rsid w:val="000E3772"/>
    <w:rsid w:val="00105DA4"/>
    <w:rsid w:val="00113A03"/>
    <w:rsid w:val="00133A45"/>
    <w:rsid w:val="00143894"/>
    <w:rsid w:val="00190A0C"/>
    <w:rsid w:val="001B36F7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23710"/>
    <w:rsid w:val="00342348"/>
    <w:rsid w:val="003508A8"/>
    <w:rsid w:val="00367E33"/>
    <w:rsid w:val="003708E6"/>
    <w:rsid w:val="00381BDA"/>
    <w:rsid w:val="003B6D01"/>
    <w:rsid w:val="003C575A"/>
    <w:rsid w:val="003D71C5"/>
    <w:rsid w:val="003F3CB7"/>
    <w:rsid w:val="00400D24"/>
    <w:rsid w:val="00416734"/>
    <w:rsid w:val="00445017"/>
    <w:rsid w:val="004524B2"/>
    <w:rsid w:val="004A3207"/>
    <w:rsid w:val="005413E7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635B3"/>
    <w:rsid w:val="00691FA2"/>
    <w:rsid w:val="006C4EE3"/>
    <w:rsid w:val="006D43C7"/>
    <w:rsid w:val="00731351"/>
    <w:rsid w:val="00744CD2"/>
    <w:rsid w:val="00772C27"/>
    <w:rsid w:val="00790F25"/>
    <w:rsid w:val="00793843"/>
    <w:rsid w:val="0079788A"/>
    <w:rsid w:val="007B68AB"/>
    <w:rsid w:val="00822DBF"/>
    <w:rsid w:val="008A7B93"/>
    <w:rsid w:val="008B7158"/>
    <w:rsid w:val="008D4156"/>
    <w:rsid w:val="008E534F"/>
    <w:rsid w:val="008E67E3"/>
    <w:rsid w:val="008F24DE"/>
    <w:rsid w:val="008F7F62"/>
    <w:rsid w:val="00912D17"/>
    <w:rsid w:val="009276A3"/>
    <w:rsid w:val="009279AE"/>
    <w:rsid w:val="0093356D"/>
    <w:rsid w:val="00935A30"/>
    <w:rsid w:val="00953CCD"/>
    <w:rsid w:val="00981F27"/>
    <w:rsid w:val="00985DD5"/>
    <w:rsid w:val="009B0F7C"/>
    <w:rsid w:val="00A24200"/>
    <w:rsid w:val="00A44E4B"/>
    <w:rsid w:val="00A4759C"/>
    <w:rsid w:val="00A5600C"/>
    <w:rsid w:val="00A63390"/>
    <w:rsid w:val="00A82DAF"/>
    <w:rsid w:val="00A86AF3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0CD"/>
    <w:rsid w:val="00C02452"/>
    <w:rsid w:val="00C36E40"/>
    <w:rsid w:val="00C50C61"/>
    <w:rsid w:val="00C62177"/>
    <w:rsid w:val="00CA5147"/>
    <w:rsid w:val="00CD0046"/>
    <w:rsid w:val="00D47BFD"/>
    <w:rsid w:val="00D56936"/>
    <w:rsid w:val="00D64922"/>
    <w:rsid w:val="00DA60D8"/>
    <w:rsid w:val="00DB7BCE"/>
    <w:rsid w:val="00DC5DC8"/>
    <w:rsid w:val="00E7227D"/>
    <w:rsid w:val="00E76BC6"/>
    <w:rsid w:val="00E80E04"/>
    <w:rsid w:val="00EA415A"/>
    <w:rsid w:val="00EE6EE8"/>
    <w:rsid w:val="00EF5B98"/>
    <w:rsid w:val="00F41576"/>
    <w:rsid w:val="00F61FA1"/>
    <w:rsid w:val="00F814AD"/>
    <w:rsid w:val="00FA64C7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770C16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C61"/>
    <w:pPr>
      <w:numPr>
        <w:ilvl w:val="1"/>
      </w:numPr>
      <w:suppressAutoHyphens/>
      <w:spacing w:before="48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0C61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evel1">
    <w:name w:val="Bullet level 1"/>
    <w:basedOn w:val="Normal"/>
    <w:qFormat/>
    <w:rsid w:val="00DB7BCE"/>
    <w:pPr>
      <w:numPr>
        <w:numId w:val="18"/>
      </w:numPr>
      <w:ind w:left="567" w:hanging="567"/>
      <w:contextualSpacing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rsid w:val="000E3772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0E377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egislation.gov.au/Details/F2022C000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au/Details/C2016C010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movable.heritage@arts.gov.a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/Users/mkavgic/AppData/Local/Microsoft/Windows/INetCache/Content.Outlook/CTMFY1SA/arts.gov.au/movab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F5E7-C9F0-4A15-8621-555C7B0B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Buying legally—making sure it’s above board</vt:lpstr>
    </vt:vector>
  </TitlesOfParts>
  <Company>Department of Infrastructure, Transport, Regional Development, Communications and the Arts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Permits</dc:title>
  <dc:subject/>
  <dc:creator>Department of Infrastructure, Transport, Regional Development, Communications and the Arts</dc:creator>
  <cp:keywords/>
  <dc:description>22 July 2021</dc:description>
  <cp:lastModifiedBy>HALL Theresa</cp:lastModifiedBy>
  <cp:revision>3</cp:revision>
  <dcterms:created xsi:type="dcterms:W3CDTF">2022-08-01T04:47:00Z</dcterms:created>
  <dcterms:modified xsi:type="dcterms:W3CDTF">2022-08-01T04:49:00Z</dcterms:modified>
</cp:coreProperties>
</file>