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F3" w:rsidRDefault="00FC16F3" w:rsidP="0094124E">
      <w:pPr>
        <w:ind w:left="-1418"/>
        <w:sectPr w:rsidR="00FC16F3" w:rsidSect="00477982">
          <w:headerReference w:type="even" r:id="rId10"/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:rsidR="00D13C71" w:rsidRDefault="00D13C71" w:rsidP="00D13C71">
      <w:pPr>
        <w:pStyle w:val="Heading1"/>
      </w:pPr>
      <w:r>
        <w:t>Cultural Funding by Government—</w:t>
      </w:r>
      <w:r w:rsidRPr="00D76C4A">
        <w:t>2021–22</w:t>
      </w:r>
    </w:p>
    <w:p w:rsidR="00D13C71" w:rsidRDefault="00D13C71" w:rsidP="00D13C71">
      <w:pPr>
        <w:pStyle w:val="Heading2"/>
      </w:pPr>
      <w:r>
        <w:rPr>
          <w:szCs w:val="36"/>
        </w:rPr>
        <w:t xml:space="preserve">Victorian </w:t>
      </w:r>
      <w:r w:rsidRPr="00527D9C">
        <w:rPr>
          <w:szCs w:val="36"/>
        </w:rPr>
        <w:t>Government</w:t>
      </w:r>
    </w:p>
    <w:p w:rsidR="00D13C71" w:rsidRPr="00D13C71" w:rsidRDefault="00D13C71" w:rsidP="00D13C71">
      <w:r w:rsidRPr="00D13C71">
        <w:t xml:space="preserve">The estimate of expenditure funded by the Victorian Government in 2021–22 for cultural activities was </w:t>
      </w:r>
      <w:r w:rsidRPr="00D13C71">
        <w:rPr>
          <w:b/>
        </w:rPr>
        <w:t>$745.0m</w:t>
      </w:r>
      <w:r w:rsidRPr="00D13C71">
        <w:t xml:space="preserve">. This represented a decrease of 3% or $26.9m from 2020–21. This amount includes </w:t>
      </w:r>
      <w:r w:rsidRPr="00D13C71">
        <w:rPr>
          <w:b/>
          <w:bCs/>
        </w:rPr>
        <w:t>$105.4m</w:t>
      </w:r>
      <w:r w:rsidRPr="00D13C71">
        <w:t xml:space="preserve"> of targeted COVID support funding for cultural and creative organisations and infrastructure, businesses, individuals, support programs and initiatives. </w:t>
      </w:r>
    </w:p>
    <w:p w:rsidR="00D13C71" w:rsidRPr="00D13C71" w:rsidRDefault="00D13C71" w:rsidP="00D13C71">
      <w:pPr>
        <w:spacing w:after="0"/>
        <w:rPr>
          <w:rFonts w:eastAsia="Times New Roman" w:cstheme="minorHAnsi"/>
          <w:lang w:eastAsia="en-AU"/>
        </w:rPr>
      </w:pPr>
      <w:r w:rsidRPr="00D13C71">
        <w:rPr>
          <w:rFonts w:eastAsia="Times New Roman" w:cstheme="minorHAnsi"/>
          <w:lang w:eastAsia="en-AU"/>
        </w:rPr>
        <w:t>In 2021-22, the Victorian Government also contributed an additional $359.8m to eligible businesses and individuals in cultural and creative industries through its general COVID business support programs. This wider economy COVID support funding is not included in the analysis below.</w:t>
      </w:r>
    </w:p>
    <w:p w:rsidR="00D13C71" w:rsidRPr="008E7D10" w:rsidRDefault="00D13C71" w:rsidP="00D13C71">
      <w:pPr>
        <w:spacing w:after="0"/>
        <w:rPr>
          <w:rFonts w:eastAsia="Times New Roman" w:cstheme="minorHAnsi"/>
          <w:b/>
          <w:bCs/>
          <w:color w:val="FF0000"/>
          <w:lang w:eastAsia="en-AU"/>
        </w:rPr>
      </w:pPr>
    </w:p>
    <w:p w:rsidR="00D13C71" w:rsidRPr="00D76C4A" w:rsidRDefault="00D13C71" w:rsidP="00D13C71">
      <w:pPr>
        <w:pStyle w:val="Tablefigureheading"/>
        <w:rPr>
          <w:color w:val="auto"/>
        </w:rPr>
      </w:pPr>
      <w:r>
        <w:t xml:space="preserve">Table 1. Victorian Government cultural </w:t>
      </w:r>
      <w:r w:rsidRPr="00D13C71">
        <w:t>expenditure, 2019–20 to 2021–22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1. Victorian Government cultural expenditure, 2019–20 to 2021–22"/>
        <w:tblDescription w:val="Table 1. Victorian Government cultural expenditure, 2019–20 to 2021–22"/>
      </w:tblPr>
      <w:tblGrid>
        <w:gridCol w:w="1276"/>
        <w:gridCol w:w="1985"/>
        <w:gridCol w:w="1984"/>
      </w:tblGrid>
      <w:tr w:rsidR="00D13C71" w:rsidRPr="00D76C4A" w:rsidTr="006133D6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D13C71" w:rsidRPr="00D76C4A" w:rsidRDefault="00D13C71" w:rsidP="006133D6">
            <w:pPr>
              <w:pStyle w:val="Tablerowcolumnheadingcentred"/>
            </w:pPr>
            <w:r w:rsidRPr="00D76C4A">
              <w:t>2019–20</w:t>
            </w:r>
            <w:r w:rsidRPr="00D76C4A">
              <w:rPr>
                <w:rStyle w:val="FootnoteReference"/>
              </w:rPr>
              <w:footnoteReference w:id="1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D13C71" w:rsidRPr="00D76C4A" w:rsidRDefault="00D13C71" w:rsidP="006133D6">
            <w:pPr>
              <w:pStyle w:val="Tablerowcolumnheadingcentred"/>
            </w:pPr>
            <w:r w:rsidRPr="00D76C4A">
              <w:t>2020–21</w:t>
            </w:r>
            <w:r w:rsidRPr="00D76C4A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D13C71" w:rsidRPr="00D76C4A" w:rsidRDefault="00D13C71" w:rsidP="006133D6">
            <w:pPr>
              <w:pStyle w:val="Tablerowcolumnheadingcentred"/>
            </w:pPr>
            <w:r w:rsidRPr="00D76C4A">
              <w:t>2021–22</w:t>
            </w:r>
            <w:r w:rsidRPr="00D76C4A">
              <w:rPr>
                <w:rStyle w:val="FootnoteReference"/>
              </w:rPr>
              <w:footnoteReference w:id="3"/>
            </w:r>
          </w:p>
        </w:tc>
      </w:tr>
      <w:tr w:rsidR="00D13C71" w:rsidRPr="00565AB0" w:rsidTr="006133D6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13C71" w:rsidRPr="00D13C71" w:rsidRDefault="00D13C71" w:rsidP="006133D6">
            <w:pPr>
              <w:pStyle w:val="Tabletextcentred"/>
              <w:jc w:val="left"/>
            </w:pPr>
            <w:r w:rsidRPr="00D13C71">
              <w:t>$552.2m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13C71" w:rsidRPr="00D13C71" w:rsidRDefault="00D13C71" w:rsidP="006133D6">
            <w:pPr>
              <w:pStyle w:val="Tabletextcentred"/>
            </w:pPr>
            <w:r w:rsidRPr="00D13C71">
              <w:t>$771.9m ↑40%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13C71" w:rsidRPr="00D13C71" w:rsidRDefault="00D13C71" w:rsidP="006133D6">
            <w:pPr>
              <w:pStyle w:val="Tabletextcentred"/>
            </w:pPr>
            <w:r w:rsidRPr="00D13C71">
              <w:t>$745.0m ↓3%</w:t>
            </w:r>
          </w:p>
        </w:tc>
      </w:tr>
    </w:tbl>
    <w:p w:rsidR="00D13C71" w:rsidRDefault="00D13C71" w:rsidP="00D13C71"/>
    <w:p w:rsidR="00D13C71" w:rsidRPr="00A44C30" w:rsidRDefault="00D13C71" w:rsidP="00D13C71"/>
    <w:p w:rsidR="00D13C71" w:rsidRPr="00D13C71" w:rsidRDefault="00D13C71" w:rsidP="00D13C71">
      <w:pPr>
        <w:pStyle w:val="ListParagraph"/>
        <w:numPr>
          <w:ilvl w:val="0"/>
          <w:numId w:val="6"/>
        </w:numPr>
        <w:spacing w:before="360"/>
        <w:ind w:left="567" w:hanging="567"/>
      </w:pPr>
      <w:r w:rsidRPr="00D13C71">
        <w:t>Recurrent expenses accounted for 77% ($574.8m) of funded cultural expenditure.</w:t>
      </w:r>
    </w:p>
    <w:p w:rsidR="00D13C71" w:rsidRPr="00D13C71" w:rsidRDefault="00D13C71" w:rsidP="00D13C71">
      <w:pPr>
        <w:pStyle w:val="ListParagraph"/>
        <w:numPr>
          <w:ilvl w:val="0"/>
          <w:numId w:val="6"/>
        </w:numPr>
        <w:spacing w:before="360"/>
        <w:ind w:left="567" w:hanging="567"/>
      </w:pPr>
      <w:r w:rsidRPr="00D13C71">
        <w:t xml:space="preserve">Capital expenditure was $170.2m, and the largest three categories were </w:t>
      </w:r>
      <w:r w:rsidRPr="00D13C71">
        <w:rPr>
          <w:i/>
        </w:rPr>
        <w:t>Performing arts venues</w:t>
      </w:r>
      <w:r w:rsidRPr="00D13C71">
        <w:t xml:space="preserve"> ($90.2m),</w:t>
      </w:r>
      <w:r w:rsidRPr="00D13C71">
        <w:rPr>
          <w:i/>
        </w:rPr>
        <w:t xml:space="preserve"> Other museums and cultural heritage </w:t>
      </w:r>
      <w:r w:rsidRPr="00D13C71">
        <w:t xml:space="preserve">($30.1m) and </w:t>
      </w:r>
      <w:r w:rsidRPr="00D13C71">
        <w:rPr>
          <w:i/>
        </w:rPr>
        <w:t xml:space="preserve">Libraries </w:t>
      </w:r>
      <w:r w:rsidRPr="00D13C71">
        <w:t xml:space="preserve">($19.2m). </w:t>
      </w:r>
    </w:p>
    <w:p w:rsidR="00D13C71" w:rsidRPr="00D13C71" w:rsidRDefault="00D13C71" w:rsidP="00D13C71">
      <w:pPr>
        <w:pStyle w:val="ListParagraph"/>
        <w:numPr>
          <w:ilvl w:val="0"/>
          <w:numId w:val="6"/>
        </w:numPr>
        <w:spacing w:before="360"/>
        <w:ind w:left="567" w:hanging="567"/>
      </w:pPr>
      <w:r w:rsidRPr="00D13C71">
        <w:t>The estimate of per person funding was $113.54.</w:t>
      </w:r>
    </w:p>
    <w:p w:rsidR="00D13C71" w:rsidRPr="00D13C71" w:rsidRDefault="00D13C71" w:rsidP="00D13C71">
      <w:bookmarkStart w:id="0" w:name="_Toc524533023"/>
      <w:r w:rsidRPr="00D13C71">
        <w:t xml:space="preserve">Funds on Total </w:t>
      </w:r>
      <w:r w:rsidRPr="00D13C71">
        <w:rPr>
          <w:i/>
        </w:rPr>
        <w:t>Heritage</w:t>
      </w:r>
      <w:r w:rsidRPr="00D13C71">
        <w:t xml:space="preserve"> activities (recurrent and capital) decreased 2% (or $5.2m) to $330.2m. </w:t>
      </w:r>
    </w:p>
    <w:p w:rsidR="00D13C71" w:rsidRPr="00D13C71" w:rsidRDefault="00D13C71" w:rsidP="00D13C71">
      <w:r w:rsidRPr="00D13C71">
        <w:t xml:space="preserve">This decrease was driven by a drop in </w:t>
      </w:r>
      <w:r w:rsidRPr="00D13C71">
        <w:rPr>
          <w:i/>
          <w:iCs/>
        </w:rPr>
        <w:t>Art Museums</w:t>
      </w:r>
      <w:r w:rsidRPr="00D13C71">
        <w:t xml:space="preserve"> (↓ $14.6m), however was offset by increases in the categories of </w:t>
      </w:r>
      <w:r w:rsidRPr="00D13C71">
        <w:rPr>
          <w:i/>
        </w:rPr>
        <w:t xml:space="preserve">Libraries </w:t>
      </w:r>
      <w:r w:rsidRPr="00D13C71">
        <w:t xml:space="preserve">(↑$4.4m), </w:t>
      </w:r>
      <w:r w:rsidRPr="00D13C71">
        <w:rPr>
          <w:i/>
        </w:rPr>
        <w:t xml:space="preserve">Other museums and cultural heritage </w:t>
      </w:r>
      <w:r w:rsidRPr="00D13C71">
        <w:t xml:space="preserve">(↑$3.7m) and </w:t>
      </w:r>
      <w:r w:rsidRPr="00D13C71">
        <w:rPr>
          <w:i/>
          <w:iCs/>
        </w:rPr>
        <w:t xml:space="preserve">Archives </w:t>
      </w:r>
      <w:r w:rsidRPr="00D13C71">
        <w:t xml:space="preserve">(↑$1.1m). </w:t>
      </w:r>
    </w:p>
    <w:p w:rsidR="00D13C71" w:rsidRPr="00D13C71" w:rsidRDefault="00D13C71" w:rsidP="00D13C71">
      <w:pPr>
        <w:rPr>
          <w:iCs/>
        </w:rPr>
      </w:pPr>
      <w:r w:rsidRPr="00D13C71">
        <w:t xml:space="preserve">Over a third (34%) of </w:t>
      </w:r>
      <w:r w:rsidRPr="00D13C71">
        <w:rPr>
          <w:i/>
        </w:rPr>
        <w:t>Heritage</w:t>
      </w:r>
      <w:r w:rsidRPr="00D13C71">
        <w:t xml:space="preserve"> funds were spent on Libraries ($113.0m), 33% on </w:t>
      </w:r>
      <w:r w:rsidRPr="00D13C71">
        <w:rPr>
          <w:i/>
        </w:rPr>
        <w:t xml:space="preserve">Art museums </w:t>
      </w:r>
      <w:r w:rsidRPr="00D13C71">
        <w:t xml:space="preserve">($110.6m), 28% on </w:t>
      </w:r>
      <w:r w:rsidRPr="00D13C71">
        <w:rPr>
          <w:i/>
          <w:iCs/>
        </w:rPr>
        <w:t>Other museums and cultural heritage</w:t>
      </w:r>
      <w:r w:rsidRPr="00D13C71">
        <w:t xml:space="preserve"> ($91.1m)</w:t>
      </w:r>
      <w:r w:rsidRPr="00D13C71">
        <w:rPr>
          <w:i/>
        </w:rPr>
        <w:t xml:space="preserve"> </w:t>
      </w:r>
      <w:r w:rsidRPr="00D13C71">
        <w:rPr>
          <w:iCs/>
        </w:rPr>
        <w:t xml:space="preserve">and 5% on </w:t>
      </w:r>
      <w:r w:rsidRPr="00D13C71">
        <w:rPr>
          <w:i/>
        </w:rPr>
        <w:t>Archives</w:t>
      </w:r>
      <w:r w:rsidRPr="00D13C71">
        <w:rPr>
          <w:iCs/>
        </w:rPr>
        <w:t xml:space="preserve"> ($15.4m).</w:t>
      </w:r>
    </w:p>
    <w:p w:rsidR="00D13C71" w:rsidRPr="00D13C71" w:rsidRDefault="00D13C71" w:rsidP="00D13C71">
      <w:pPr>
        <w:pStyle w:val="Tablefigureheading"/>
      </w:pPr>
      <w:r w:rsidRPr="00D13C71">
        <w:t>Figure 1. Victorian Government heritage expenditure</w:t>
      </w:r>
      <w:bookmarkEnd w:id="0"/>
      <w:r w:rsidRPr="00D13C71">
        <w:t xml:space="preserve"> (recurrent and capital)</w:t>
      </w:r>
    </w:p>
    <w:p w:rsidR="00D13C71" w:rsidRPr="000E0E9C" w:rsidRDefault="00D13C71" w:rsidP="00D13C71">
      <w:pPr>
        <w:rPr>
          <w:lang w:eastAsia="en-US"/>
        </w:rPr>
      </w:pPr>
      <w:r>
        <w:rPr>
          <w:noProof/>
        </w:rPr>
        <w:drawing>
          <wp:inline distT="0" distB="0" distL="0" distR="0" wp14:anchorId="0AE383BF" wp14:editId="26A520C2">
            <wp:extent cx="4610100" cy="1781175"/>
            <wp:effectExtent l="0" t="0" r="0" b="0"/>
            <wp:docPr id="4" name="Chart 4" descr="Figure 1. Victorian Government heritage expenditure (recurrent and capital).&#10;&#10;A column graph compares expenditure across the heritage categories of Art museums, Other museums &amp; cultural heritage, Libraries and Archives between the financial years of 2019-20, 2020-21 and 2021-22 for Victorian Government&#10;2019-20: Art museums $74.7m, Other museums &amp; cultural heritage $60.2m, Libraries $109.1m, Archives $18.8m.&#10;2020-21: Art museums $125.2m, Other museums &amp; cultural heritage $87.4m, Libraries $108.6m, Archives $14.3m.&#10;2021-22: Art museums $110.6m, Other museums &amp; cultural heritage $91.1m, Libraries $113.0m, Archives $15.4m.&#10;">
              <a:extLst xmlns:a="http://schemas.openxmlformats.org/drawingml/2006/main">
                <a:ext uri="{FF2B5EF4-FFF2-40B4-BE49-F238E27FC236}">
                  <a16:creationId xmlns:a16="http://schemas.microsoft.com/office/drawing/2014/main" id="{EB355EFA-172E-40D7-A781-F1D547C084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3C71" w:rsidRPr="00D13C71" w:rsidRDefault="00D13C71" w:rsidP="00D13C71">
      <w:r w:rsidRPr="00D13C71">
        <w:t xml:space="preserve">Funds for Total </w:t>
      </w:r>
      <w:r w:rsidRPr="00D13C71">
        <w:rPr>
          <w:i/>
        </w:rPr>
        <w:t>Arts</w:t>
      </w:r>
      <w:r w:rsidRPr="00D13C71">
        <w:t xml:space="preserve"> activities (recurrent and capital) dropped 5% (or $21.5m) to $414.9m.</w:t>
      </w:r>
    </w:p>
    <w:p w:rsidR="00D13C71" w:rsidRPr="00D13C71" w:rsidRDefault="00D13C71" w:rsidP="00D13C71">
      <w:r w:rsidRPr="00D13C71">
        <w:t xml:space="preserve">The main contributors to this decrease were </w:t>
      </w:r>
      <w:r w:rsidRPr="00D13C71">
        <w:rPr>
          <w:i/>
        </w:rPr>
        <w:t xml:space="preserve">Film and video production and distribution </w:t>
      </w:r>
      <w:r w:rsidRPr="00D13C71">
        <w:rPr>
          <w:iCs/>
        </w:rPr>
        <w:t>(</w:t>
      </w:r>
      <w:r w:rsidRPr="00D13C71">
        <w:t>↓</w:t>
      </w:r>
      <w:r w:rsidRPr="00D13C71">
        <w:rPr>
          <w:iCs/>
        </w:rPr>
        <w:t xml:space="preserve">$33.4m), </w:t>
      </w:r>
      <w:r w:rsidRPr="00D13C71">
        <w:rPr>
          <w:i/>
        </w:rPr>
        <w:t>Music</w:t>
      </w:r>
      <w:r w:rsidRPr="00D13C71">
        <w:rPr>
          <w:iCs/>
        </w:rPr>
        <w:t xml:space="preserve"> (</w:t>
      </w:r>
      <w:r w:rsidRPr="00D13C71">
        <w:t>↓</w:t>
      </w:r>
      <w:r w:rsidRPr="00D13C71">
        <w:rPr>
          <w:iCs/>
        </w:rPr>
        <w:t>$12.7m)</w:t>
      </w:r>
      <w:r w:rsidRPr="00D13C71">
        <w:t xml:space="preserve"> and </w:t>
      </w:r>
      <w:r w:rsidRPr="00D13C71">
        <w:rPr>
          <w:i/>
          <w:iCs/>
        </w:rPr>
        <w:t>Cross-art form</w:t>
      </w:r>
      <w:r w:rsidRPr="00D13C71">
        <w:t xml:space="preserve"> (↓</w:t>
      </w:r>
      <w:r w:rsidRPr="00D13C71">
        <w:rPr>
          <w:iCs/>
        </w:rPr>
        <w:t>$6.7m</w:t>
      </w:r>
      <w:r w:rsidRPr="00D13C71">
        <w:t xml:space="preserve">). The largest increase was </w:t>
      </w:r>
      <w:r w:rsidRPr="00D13C71">
        <w:rPr>
          <w:i/>
        </w:rPr>
        <w:t xml:space="preserve">Performing arts venues </w:t>
      </w:r>
      <w:r w:rsidRPr="00D13C71">
        <w:rPr>
          <w:iCs/>
        </w:rPr>
        <w:t>(↑$36.1m)</w:t>
      </w:r>
      <w:r>
        <w:rPr>
          <w:iCs/>
        </w:rPr>
        <w:t>.</w:t>
      </w:r>
    </w:p>
    <w:p w:rsidR="00D13C71" w:rsidRPr="00D13C71" w:rsidRDefault="00D13C71" w:rsidP="00D13C71">
      <w:pPr>
        <w:pStyle w:val="Tablefigureheading"/>
      </w:pPr>
      <w:bookmarkStart w:id="1" w:name="_Toc524533024"/>
      <w:r w:rsidRPr="00D13C71">
        <w:t>Figure 2. Victorian Government arts expenditure</w:t>
      </w:r>
      <w:r>
        <w:t xml:space="preserve"> (recurrent and capital)</w:t>
      </w:r>
      <w:r w:rsidRPr="00D13C71">
        <w:t>, by selected categories</w:t>
      </w:r>
      <w:bookmarkEnd w:id="1"/>
    </w:p>
    <w:p w:rsidR="00D13C71" w:rsidRPr="001B5AEC" w:rsidRDefault="00D13C71" w:rsidP="00D13C71">
      <w:pPr>
        <w:rPr>
          <w:lang w:eastAsia="en-US"/>
        </w:rPr>
      </w:pPr>
      <w:r>
        <w:rPr>
          <w:noProof/>
        </w:rPr>
        <w:drawing>
          <wp:inline distT="0" distB="0" distL="0" distR="0" wp14:anchorId="5D596D95" wp14:editId="02B87BC8">
            <wp:extent cx="4808220" cy="2152650"/>
            <wp:effectExtent l="0" t="0" r="0" b="0"/>
            <wp:docPr id="2" name="Chart 2" descr="Figure 2. Victorian Government arts expenditure (recurrent and capital), by selected categories.&#10;&#10;A column graph compares expenditure across selected arts categories of Music, Performing arts venues, Film &amp; video production &amp; distribution, Arts education, Community arts &amp; cultural development, Multi-arts festivals and Arts administration between the financial years of  2019-20, 2020-21 and 2021-22 for Victoria Government.&#10;2019-20: Music $13.0m, Performing arts venues $73.5m, Film &amp; video production &amp; distribution $60.4m, Arts education $38.6m, Community arts &amp; cultural development $4.6m, Multi-arts festivals $12.3m, Arts administration $23.5m.&#10;2020-21: Music $46.2m, Performing arts venues $123.9m, Film &amp; video production &amp; distribution $71.0m, Arts education $37.2m, Community arts &amp; cultural development $21.5m, Multi-arts festivals $27.7m, Arts administration $20.9m.&#10;2021-22: Music $33.5m, Performing arts venues $160.0m, Film &amp; video production &amp; distribution $37.6m, Arts education $38.7m, Community arts &amp; cultural development $16.9m, Multi-arts festivals $28.4m, Arts administration $24.8m.">
              <a:extLst xmlns:a="http://schemas.openxmlformats.org/drawingml/2006/main">
                <a:ext uri="{FF2B5EF4-FFF2-40B4-BE49-F238E27FC236}">
                  <a16:creationId xmlns:a16="http://schemas.microsoft.com/office/drawing/2014/main" id="{77B997F7-5C20-417D-8C9E-AD2FADC24C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13C71" w:rsidRPr="00D13C71" w:rsidRDefault="00D13C71" w:rsidP="00D13C71">
      <w:pPr>
        <w:spacing w:after="0"/>
        <w:rPr>
          <w:lang w:eastAsia="en-AU"/>
        </w:rPr>
      </w:pPr>
      <w:r w:rsidRPr="00D13C71">
        <w:t xml:space="preserve">The main categories of </w:t>
      </w:r>
      <w:r w:rsidRPr="00D13C71">
        <w:rPr>
          <w:i/>
        </w:rPr>
        <w:t>Arts</w:t>
      </w:r>
      <w:r w:rsidRPr="00D13C71">
        <w:t xml:space="preserve"> activities funding were:</w:t>
      </w:r>
    </w:p>
    <w:p w:rsidR="00D13C71" w:rsidRPr="00D13C71" w:rsidRDefault="00D13C71" w:rsidP="00D13C71">
      <w:pPr>
        <w:pStyle w:val="Bulletlevel1"/>
      </w:pPr>
      <w:r w:rsidRPr="00D13C71">
        <w:rPr>
          <w:i/>
        </w:rPr>
        <w:t>Performing arts venues</w:t>
      </w:r>
      <w:r w:rsidRPr="00D13C71">
        <w:t>—$160.0m</w:t>
      </w:r>
    </w:p>
    <w:p w:rsidR="00D13C71" w:rsidRPr="00D13C71" w:rsidRDefault="00D13C71" w:rsidP="00D13C71">
      <w:pPr>
        <w:pStyle w:val="Bulletlevel1"/>
      </w:pPr>
      <w:r w:rsidRPr="00D13C71">
        <w:rPr>
          <w:i/>
        </w:rPr>
        <w:t>Arts Education</w:t>
      </w:r>
      <w:r w:rsidRPr="00D13C71">
        <w:t>—$38.7m</w:t>
      </w:r>
      <w:r w:rsidRPr="00D13C71">
        <w:rPr>
          <w:i/>
        </w:rPr>
        <w:t xml:space="preserve"> </w:t>
      </w:r>
    </w:p>
    <w:p w:rsidR="00DE0411" w:rsidRDefault="00D13C71" w:rsidP="00D13C71">
      <w:pPr>
        <w:pStyle w:val="Bulletlevel1"/>
      </w:pPr>
      <w:r w:rsidRPr="00D13C71">
        <w:rPr>
          <w:i/>
        </w:rPr>
        <w:t>Film and video production and distribution</w:t>
      </w:r>
      <w:r w:rsidRPr="00D13C71">
        <w:t>—$37.6m</w:t>
      </w:r>
    </w:p>
    <w:p w:rsidR="00D13C71" w:rsidRPr="00D13C71" w:rsidRDefault="00DE0411" w:rsidP="00DE0411">
      <w:pPr>
        <w:pStyle w:val="Bulletlevel1"/>
      </w:pPr>
      <w:r>
        <w:rPr>
          <w:i/>
        </w:rPr>
        <w:t>Music</w:t>
      </w:r>
      <w:r w:rsidRPr="00D13C71">
        <w:t>—$3</w:t>
      </w:r>
      <w:r>
        <w:t>3.5</w:t>
      </w:r>
      <w:r w:rsidRPr="00D13C71">
        <w:t>m</w:t>
      </w:r>
      <w:r w:rsidR="00D13C71" w:rsidRPr="00D13C71">
        <w:t>.</w:t>
      </w:r>
    </w:p>
    <w:p w:rsidR="00D13C71" w:rsidRPr="00D13C71" w:rsidRDefault="00D13C71" w:rsidP="00D13C71">
      <w:r w:rsidRPr="00D13C71">
        <w:t xml:space="preserve">Total recurrent expenditure (including COVID support funding) decreased 5% (or $29.0m) to $574.8m. </w:t>
      </w:r>
    </w:p>
    <w:p w:rsidR="00D13C71" w:rsidRPr="00D13C71" w:rsidRDefault="00D13C71" w:rsidP="00D13C71">
      <w:pPr>
        <w:pStyle w:val="Tablefigureheading"/>
      </w:pPr>
      <w:r w:rsidRPr="00D13C71">
        <w:t>Table 2. Victorian Government recurrent cultural expenditure, 2019–20 to 2021–22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2. Victorian Government recurrent cultural expenditure, 2019–20 to 2021–22"/>
        <w:tblDescription w:val="Table 2. Victorian Government recurrent cultural expenditure, 2019–20 to 2021–22"/>
      </w:tblPr>
      <w:tblGrid>
        <w:gridCol w:w="1276"/>
        <w:gridCol w:w="1985"/>
        <w:gridCol w:w="1984"/>
      </w:tblGrid>
      <w:tr w:rsidR="00D13C71" w:rsidRPr="00D76C4A" w:rsidTr="006133D6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D13C71" w:rsidRPr="00D76C4A" w:rsidRDefault="00D13C71" w:rsidP="006133D6">
            <w:pPr>
              <w:pStyle w:val="Tablerowcolumnheadingcentred"/>
            </w:pPr>
            <w:r w:rsidRPr="00D76C4A">
              <w:t>2019–20</w:t>
            </w:r>
            <w:r w:rsidRPr="00D76C4A">
              <w:rPr>
                <w:rStyle w:val="FootnoteReference"/>
              </w:rPr>
              <w:footnoteReference w:id="4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D13C71" w:rsidRPr="00D76C4A" w:rsidRDefault="00D13C71" w:rsidP="006133D6">
            <w:pPr>
              <w:pStyle w:val="Tablerowcolumnheadingcentred"/>
            </w:pPr>
            <w:r w:rsidRPr="00D76C4A">
              <w:t>2020–21</w:t>
            </w:r>
            <w:r w:rsidRPr="00D76C4A">
              <w:rPr>
                <w:rStyle w:val="FootnoteReference"/>
              </w:rPr>
              <w:footnoteReference w:id="5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D13C71" w:rsidRPr="00D76C4A" w:rsidRDefault="00D13C71" w:rsidP="006133D6">
            <w:pPr>
              <w:pStyle w:val="Tablerowcolumnheadingcentred"/>
            </w:pPr>
            <w:r w:rsidRPr="00D76C4A">
              <w:t>2021–22</w:t>
            </w:r>
            <w:r w:rsidRPr="00D76C4A">
              <w:rPr>
                <w:rStyle w:val="FootnoteReference"/>
              </w:rPr>
              <w:footnoteReference w:id="6"/>
            </w:r>
          </w:p>
        </w:tc>
      </w:tr>
      <w:tr w:rsidR="00D13C71" w:rsidRPr="00D13C71" w:rsidTr="006133D6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13C71" w:rsidRPr="00D13C71" w:rsidRDefault="00D13C71" w:rsidP="00D13C71">
            <w:pPr>
              <w:pStyle w:val="Tabletextcentred"/>
            </w:pPr>
            <w:r w:rsidRPr="00D13C71">
              <w:t xml:space="preserve">$468.6m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13C71" w:rsidRPr="00D13C71" w:rsidRDefault="00D13C71" w:rsidP="00D13C71">
            <w:pPr>
              <w:pStyle w:val="Tabletextcentred"/>
            </w:pPr>
            <w:r w:rsidRPr="00D13C71">
              <w:t>$603.8m ↑29%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D13C71" w:rsidRPr="00D13C71" w:rsidRDefault="00D13C71" w:rsidP="00D13C71">
            <w:pPr>
              <w:pStyle w:val="Tabletextcentred"/>
            </w:pPr>
            <w:r w:rsidRPr="00D13C71">
              <w:t>$574.8m ↓5%</w:t>
            </w:r>
          </w:p>
        </w:tc>
      </w:tr>
    </w:tbl>
    <w:p w:rsidR="00D13C71" w:rsidRPr="00D13C71" w:rsidRDefault="00D13C71" w:rsidP="00D13C71">
      <w:pPr>
        <w:spacing w:before="240"/>
      </w:pPr>
      <w:r w:rsidRPr="00D13C71">
        <w:t xml:space="preserve">The largest recurrent expenditure was for Libraries, $93.8m, followed by </w:t>
      </w:r>
      <w:r w:rsidRPr="00D13C71">
        <w:rPr>
          <w:i/>
        </w:rPr>
        <w:t>Art museums</w:t>
      </w:r>
      <w:r w:rsidRPr="00D13C71">
        <w:t xml:space="preserve"> $93.1m.</w:t>
      </w:r>
    </w:p>
    <w:p w:rsidR="00D13C71" w:rsidRPr="00D13C71" w:rsidRDefault="00D13C71" w:rsidP="00D13C71">
      <w:pPr>
        <w:pStyle w:val="Tablefigureheading"/>
      </w:pPr>
      <w:r w:rsidRPr="00D13C71">
        <w:t>Figure 3. Victorian Government recurrent cultural expenditure, by selected categories</w:t>
      </w:r>
    </w:p>
    <w:p w:rsidR="00F67604" w:rsidRDefault="00D13C71" w:rsidP="0027679D">
      <w:pPr>
        <w:rPr>
          <w:lang w:eastAsia="en-US"/>
        </w:rPr>
      </w:pPr>
      <w:r>
        <w:rPr>
          <w:noProof/>
        </w:rPr>
        <w:drawing>
          <wp:inline distT="0" distB="0" distL="0" distR="0" wp14:anchorId="58505079" wp14:editId="7DE55446">
            <wp:extent cx="5215890" cy="2438400"/>
            <wp:effectExtent l="0" t="0" r="3810" b="0"/>
            <wp:docPr id="3" name="Chart 3" descr="Figure 3. Victorian Government recurrent cultural expenditure, by selected categories.&#10;&#10;A bar chart compares recurrent expenditure across selected categories of Art museums, Other museums &amp; cultural heritage, Libraries, Music, Performing arts venues, Film &amp; video production &amp; distribution, Arts education, Multi-arts festivals and Arts administration between the financial years of 2019-20, 2020-21 and 2021-22 for Victorian Government.&#10;2019-20: Art museums $65.3m, Other museums &amp; cultural heritage $54.6m, Libraries $102.1m, Music $13.0m, Performing arts venues $42.1m, Film &amp; video production &amp; distribution $32.1m, Arts education $38.6m, Multi-arts festivals $12.3m, Arts administration $23.5m.&#10;2020-21: Art museums $94.3m, Other museums &amp; cultural heritage $77.0m, Libraries $97.0m, Music $46.2m, Performing arts venues $82.5m, Film &amp; video production &amp; distribution $29.5m, Arts education $37.2m, Multi-arts festivals $27.7m, Arts administration $20.9m.&#10;2021-22: Art museums $93.1m, Other museums &amp; cultural heritage $61.0m, Libraries $93.8m, Music $33.5m, Performing arts venues $69.7m, Film &amp; video production &amp; distribution $37.0m, Arts education $38.7m, Multi-arts festivals $28.4m, Arts administration $24.8m.">
              <a:extLst xmlns:a="http://schemas.openxmlformats.org/drawingml/2006/main">
                <a:ext uri="{FF2B5EF4-FFF2-40B4-BE49-F238E27FC236}">
                  <a16:creationId xmlns:a16="http://schemas.microsoft.com/office/drawing/2014/main" id="{CC0176F7-7A27-4F65-AA34-3AFA93D3B3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F67604" w:rsidSect="00C23D1A">
      <w:type w:val="continuous"/>
      <w:pgSz w:w="11906" w:h="16838"/>
      <w:pgMar w:top="1418" w:right="1133" w:bottom="993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8C1" w:rsidRDefault="002748C1" w:rsidP="002117E6">
      <w:pPr>
        <w:spacing w:after="0"/>
      </w:pPr>
      <w:r>
        <w:separator/>
      </w:r>
    </w:p>
  </w:endnote>
  <w:endnote w:type="continuationSeparator" w:id="0">
    <w:p w:rsidR="002748C1" w:rsidRDefault="002748C1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226CF2">
      <w:rPr>
        <w:sz w:val="18"/>
        <w:szCs w:val="18"/>
      </w:rPr>
      <w:t>1</w:t>
    </w:r>
    <w:r>
      <w:t>–</w:t>
    </w:r>
    <w:r>
      <w:rPr>
        <w:sz w:val="18"/>
        <w:szCs w:val="18"/>
      </w:rPr>
      <w:t>2</w:t>
    </w:r>
    <w:r w:rsidR="00226CF2">
      <w:rPr>
        <w:sz w:val="18"/>
        <w:szCs w:val="18"/>
      </w:rPr>
      <w:t>2</w:t>
    </w:r>
    <w:r w:rsidRPr="00CC4247">
      <w:rPr>
        <w:sz w:val="18"/>
        <w:szCs w:val="18"/>
      </w:rPr>
      <w:t>—</w:t>
    </w:r>
    <w:r w:rsidR="00833FE7">
      <w:rPr>
        <w:sz w:val="18"/>
        <w:szCs w:val="18"/>
      </w:rPr>
      <w:t>Victorian</w:t>
    </w:r>
    <w:r w:rsidR="0027679D">
      <w:rPr>
        <w:sz w:val="18"/>
        <w:szCs w:val="18"/>
      </w:rPr>
      <w:t xml:space="preserve"> </w:t>
    </w:r>
    <w:r w:rsidRPr="00CC4247">
      <w:rPr>
        <w:sz w:val="18"/>
        <w:szCs w:val="18"/>
      </w:rPr>
      <w:t>Government</w:t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226CF2">
      <w:rPr>
        <w:i/>
        <w:iCs/>
        <w:noProof/>
        <w:sz w:val="18"/>
        <w:szCs w:val="18"/>
        <w:lang w:eastAsia="en-AU"/>
      </w:rPr>
      <w:t>1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226CF2">
      <w:rPr>
        <w:i/>
        <w:iCs/>
        <w:noProof/>
        <w:sz w:val="18"/>
        <w:szCs w:val="18"/>
        <w:lang w:eastAsia="en-AU"/>
      </w:rPr>
      <w:t>2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8C1" w:rsidRDefault="002748C1" w:rsidP="002117E6">
      <w:pPr>
        <w:spacing w:after="0"/>
      </w:pPr>
      <w:r>
        <w:separator/>
      </w:r>
    </w:p>
  </w:footnote>
  <w:footnote w:type="continuationSeparator" w:id="0">
    <w:p w:rsidR="002748C1" w:rsidRDefault="002748C1" w:rsidP="002117E6">
      <w:pPr>
        <w:spacing w:after="0"/>
      </w:pPr>
      <w:r>
        <w:continuationSeparator/>
      </w:r>
    </w:p>
  </w:footnote>
  <w:footnote w:id="1">
    <w:p w:rsidR="00D13C71" w:rsidRPr="0062167E" w:rsidRDefault="00D13C71" w:rsidP="00D13C71">
      <w:pPr>
        <w:pStyle w:val="FootnoteText"/>
        <w:rPr>
          <w:sz w:val="17"/>
          <w:szCs w:val="17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$23.5m targeted cultural and creative sector COVID support funding.</w:t>
      </w:r>
    </w:p>
  </w:footnote>
  <w:footnote w:id="2">
    <w:p w:rsidR="00D13C71" w:rsidRPr="0062167E" w:rsidRDefault="00D13C71" w:rsidP="00D13C71">
      <w:pPr>
        <w:pStyle w:val="FootnoteText"/>
        <w:rPr>
          <w:sz w:val="17"/>
          <w:szCs w:val="17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$122.0m targeted cultural and creative sector COVID support funding, reported across categories and totals.</w:t>
      </w:r>
    </w:p>
  </w:footnote>
  <w:footnote w:id="3">
    <w:p w:rsidR="00D13C71" w:rsidRPr="00CD71AB" w:rsidRDefault="00D13C71" w:rsidP="00D13C71">
      <w:pPr>
        <w:pStyle w:val="FootnoteText"/>
        <w:rPr>
          <w:sz w:val="18"/>
          <w:szCs w:val="18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$105.4m targeted cultural and creative sector COVID support funding, reported across categories and totals.</w:t>
      </w:r>
    </w:p>
  </w:footnote>
  <w:footnote w:id="4">
    <w:p w:rsidR="00D13C71" w:rsidRPr="0062167E" w:rsidRDefault="00D13C71" w:rsidP="00D13C71">
      <w:pPr>
        <w:pStyle w:val="FootnoteText"/>
        <w:rPr>
          <w:sz w:val="17"/>
          <w:szCs w:val="17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$23.5m targeted cultural and creative sector COVID support funding.</w:t>
      </w:r>
    </w:p>
  </w:footnote>
  <w:footnote w:id="5">
    <w:p w:rsidR="00D13C71" w:rsidRPr="0062167E" w:rsidRDefault="00D13C71" w:rsidP="00D13C71">
      <w:pPr>
        <w:pStyle w:val="FootnoteText"/>
        <w:rPr>
          <w:sz w:val="17"/>
          <w:szCs w:val="17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$122.0m targeted cultural and creative sector COVID support funding, reported across categories and totals.</w:t>
      </w:r>
    </w:p>
  </w:footnote>
  <w:footnote w:id="6">
    <w:p w:rsidR="00D13C71" w:rsidRPr="005330DC" w:rsidRDefault="00D13C71" w:rsidP="00D13C71">
      <w:pPr>
        <w:pStyle w:val="FootnoteText"/>
        <w:rPr>
          <w:sz w:val="18"/>
          <w:szCs w:val="18"/>
        </w:rPr>
      </w:pPr>
      <w:r w:rsidRPr="0062167E">
        <w:rPr>
          <w:rStyle w:val="FootnoteReference"/>
          <w:sz w:val="17"/>
          <w:szCs w:val="17"/>
        </w:rPr>
        <w:footnoteRef/>
      </w:r>
      <w:r w:rsidRPr="0062167E">
        <w:rPr>
          <w:sz w:val="17"/>
          <w:szCs w:val="17"/>
        </w:rPr>
        <w:t xml:space="preserve"> Includes $105.4m targeted cultural and creative sector COVID support funding, reported across categories and totals.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479" w:rsidRDefault="0084247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C33905" wp14:editId="751920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2540"/>
              <wp:wrapSquare wrapText="bothSides"/>
              <wp:docPr id="8" name="Text Box 8" descr="OFFICIAL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2479" w:rsidRPr="00842479" w:rsidRDefault="0084247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42479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339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iWKEi1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:rsidR="00842479" w:rsidRPr="00842479" w:rsidRDefault="00842479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42479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D78BC60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3A4A43">
      <w:t>August</w:t>
    </w:r>
    <w:r w:rsidR="00833FE7"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961A2"/>
    <w:multiLevelType w:val="hybridMultilevel"/>
    <w:tmpl w:val="A016E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4567"/>
    <w:rsid w:val="00004A49"/>
    <w:rsid w:val="00024E6D"/>
    <w:rsid w:val="00024EAC"/>
    <w:rsid w:val="000651E7"/>
    <w:rsid w:val="00066DCE"/>
    <w:rsid w:val="00077A45"/>
    <w:rsid w:val="000901A4"/>
    <w:rsid w:val="000B27A8"/>
    <w:rsid w:val="000B7F04"/>
    <w:rsid w:val="000D1CCB"/>
    <w:rsid w:val="0010452B"/>
    <w:rsid w:val="00111A64"/>
    <w:rsid w:val="00124A6F"/>
    <w:rsid w:val="00134864"/>
    <w:rsid w:val="00144118"/>
    <w:rsid w:val="001471EA"/>
    <w:rsid w:val="001472FC"/>
    <w:rsid w:val="00156DBE"/>
    <w:rsid w:val="001715EF"/>
    <w:rsid w:val="001736CC"/>
    <w:rsid w:val="001800D2"/>
    <w:rsid w:val="00185E9F"/>
    <w:rsid w:val="00192F6D"/>
    <w:rsid w:val="0019701B"/>
    <w:rsid w:val="001C77F1"/>
    <w:rsid w:val="001C7827"/>
    <w:rsid w:val="001D64AC"/>
    <w:rsid w:val="001D7905"/>
    <w:rsid w:val="001E22B3"/>
    <w:rsid w:val="002117E6"/>
    <w:rsid w:val="002240CF"/>
    <w:rsid w:val="00226CF2"/>
    <w:rsid w:val="0023201F"/>
    <w:rsid w:val="00233C13"/>
    <w:rsid w:val="00234C00"/>
    <w:rsid w:val="002352F9"/>
    <w:rsid w:val="0024033A"/>
    <w:rsid w:val="00242B78"/>
    <w:rsid w:val="002454AC"/>
    <w:rsid w:val="00252875"/>
    <w:rsid w:val="00265D2E"/>
    <w:rsid w:val="00267B33"/>
    <w:rsid w:val="002748C1"/>
    <w:rsid w:val="0027679D"/>
    <w:rsid w:val="00290FEC"/>
    <w:rsid w:val="00293DD6"/>
    <w:rsid w:val="002966CA"/>
    <w:rsid w:val="002A3B4B"/>
    <w:rsid w:val="002A4338"/>
    <w:rsid w:val="002A63D8"/>
    <w:rsid w:val="002B48ED"/>
    <w:rsid w:val="002C2134"/>
    <w:rsid w:val="002C485B"/>
    <w:rsid w:val="002C5369"/>
    <w:rsid w:val="002E2477"/>
    <w:rsid w:val="002E2585"/>
    <w:rsid w:val="002E46A4"/>
    <w:rsid w:val="002F0402"/>
    <w:rsid w:val="002F3895"/>
    <w:rsid w:val="002F47FB"/>
    <w:rsid w:val="00302513"/>
    <w:rsid w:val="00303786"/>
    <w:rsid w:val="00310234"/>
    <w:rsid w:val="00327F06"/>
    <w:rsid w:val="00335334"/>
    <w:rsid w:val="00336DDD"/>
    <w:rsid w:val="00336F0E"/>
    <w:rsid w:val="0034581A"/>
    <w:rsid w:val="00363704"/>
    <w:rsid w:val="003703DD"/>
    <w:rsid w:val="00371043"/>
    <w:rsid w:val="0037364C"/>
    <w:rsid w:val="00377488"/>
    <w:rsid w:val="00381364"/>
    <w:rsid w:val="00382743"/>
    <w:rsid w:val="0039367A"/>
    <w:rsid w:val="00394F53"/>
    <w:rsid w:val="003A4A43"/>
    <w:rsid w:val="003B51BC"/>
    <w:rsid w:val="003B5B1D"/>
    <w:rsid w:val="003C73DB"/>
    <w:rsid w:val="003D142F"/>
    <w:rsid w:val="003E78EF"/>
    <w:rsid w:val="003F495D"/>
    <w:rsid w:val="00400E77"/>
    <w:rsid w:val="0041185C"/>
    <w:rsid w:val="00420E56"/>
    <w:rsid w:val="00423090"/>
    <w:rsid w:val="00426F0B"/>
    <w:rsid w:val="00433E7A"/>
    <w:rsid w:val="00436F4C"/>
    <w:rsid w:val="00445197"/>
    <w:rsid w:val="00450D6E"/>
    <w:rsid w:val="00456F44"/>
    <w:rsid w:val="00467552"/>
    <w:rsid w:val="004715AF"/>
    <w:rsid w:val="004755A2"/>
    <w:rsid w:val="00477982"/>
    <w:rsid w:val="00480764"/>
    <w:rsid w:val="004819E5"/>
    <w:rsid w:val="0048626B"/>
    <w:rsid w:val="0048644E"/>
    <w:rsid w:val="004D0B6D"/>
    <w:rsid w:val="004E59C7"/>
    <w:rsid w:val="004F1EAB"/>
    <w:rsid w:val="00503CD4"/>
    <w:rsid w:val="00506643"/>
    <w:rsid w:val="00511C7B"/>
    <w:rsid w:val="00512608"/>
    <w:rsid w:val="00514C96"/>
    <w:rsid w:val="00526687"/>
    <w:rsid w:val="005377F7"/>
    <w:rsid w:val="00542695"/>
    <w:rsid w:val="00544465"/>
    <w:rsid w:val="005534E9"/>
    <w:rsid w:val="005562BD"/>
    <w:rsid w:val="005579A8"/>
    <w:rsid w:val="00561190"/>
    <w:rsid w:val="005658F1"/>
    <w:rsid w:val="00565B47"/>
    <w:rsid w:val="005741CF"/>
    <w:rsid w:val="00575A5A"/>
    <w:rsid w:val="005932D0"/>
    <w:rsid w:val="00597F9B"/>
    <w:rsid w:val="005B3551"/>
    <w:rsid w:val="005C6252"/>
    <w:rsid w:val="005C7C65"/>
    <w:rsid w:val="005C7F3F"/>
    <w:rsid w:val="005F23E0"/>
    <w:rsid w:val="00605481"/>
    <w:rsid w:val="0061446D"/>
    <w:rsid w:val="0061583E"/>
    <w:rsid w:val="0062167E"/>
    <w:rsid w:val="00625397"/>
    <w:rsid w:val="00636865"/>
    <w:rsid w:val="0064138E"/>
    <w:rsid w:val="00641912"/>
    <w:rsid w:val="0066760D"/>
    <w:rsid w:val="00677BF2"/>
    <w:rsid w:val="00693994"/>
    <w:rsid w:val="006970A6"/>
    <w:rsid w:val="006A08AD"/>
    <w:rsid w:val="006A1AFE"/>
    <w:rsid w:val="006A2F0E"/>
    <w:rsid w:val="006C4BC7"/>
    <w:rsid w:val="006C5A9D"/>
    <w:rsid w:val="006D0316"/>
    <w:rsid w:val="006F06FD"/>
    <w:rsid w:val="006F4C05"/>
    <w:rsid w:val="0070126E"/>
    <w:rsid w:val="00702DE5"/>
    <w:rsid w:val="00705B86"/>
    <w:rsid w:val="00705FA6"/>
    <w:rsid w:val="00725BF3"/>
    <w:rsid w:val="007260A2"/>
    <w:rsid w:val="007316EF"/>
    <w:rsid w:val="0074751D"/>
    <w:rsid w:val="00753BB6"/>
    <w:rsid w:val="00756B9B"/>
    <w:rsid w:val="00784F67"/>
    <w:rsid w:val="007907C5"/>
    <w:rsid w:val="007A4B0F"/>
    <w:rsid w:val="007A5DD1"/>
    <w:rsid w:val="007C082B"/>
    <w:rsid w:val="007C4542"/>
    <w:rsid w:val="007E400E"/>
    <w:rsid w:val="007F1B6E"/>
    <w:rsid w:val="00813AD2"/>
    <w:rsid w:val="008169A6"/>
    <w:rsid w:val="00820CF9"/>
    <w:rsid w:val="0082186E"/>
    <w:rsid w:val="008228E2"/>
    <w:rsid w:val="00833FE7"/>
    <w:rsid w:val="00834DE8"/>
    <w:rsid w:val="00842479"/>
    <w:rsid w:val="00842CA0"/>
    <w:rsid w:val="00847DAD"/>
    <w:rsid w:val="00860C86"/>
    <w:rsid w:val="008646E6"/>
    <w:rsid w:val="00866475"/>
    <w:rsid w:val="00867254"/>
    <w:rsid w:val="008914D6"/>
    <w:rsid w:val="00893360"/>
    <w:rsid w:val="00896A41"/>
    <w:rsid w:val="008A4B1F"/>
    <w:rsid w:val="008B2A19"/>
    <w:rsid w:val="008B767F"/>
    <w:rsid w:val="008C0B20"/>
    <w:rsid w:val="008D4E53"/>
    <w:rsid w:val="008D7AAA"/>
    <w:rsid w:val="008E036D"/>
    <w:rsid w:val="008F7FA4"/>
    <w:rsid w:val="00905E68"/>
    <w:rsid w:val="00912280"/>
    <w:rsid w:val="00920F57"/>
    <w:rsid w:val="00927FF3"/>
    <w:rsid w:val="009313D2"/>
    <w:rsid w:val="00937283"/>
    <w:rsid w:val="0094124E"/>
    <w:rsid w:val="00957422"/>
    <w:rsid w:val="009654E0"/>
    <w:rsid w:val="00966C24"/>
    <w:rsid w:val="00991EBB"/>
    <w:rsid w:val="009B74C6"/>
    <w:rsid w:val="009B7EF0"/>
    <w:rsid w:val="009C01D1"/>
    <w:rsid w:val="009C47F7"/>
    <w:rsid w:val="009C627D"/>
    <w:rsid w:val="009D0D57"/>
    <w:rsid w:val="009E12E4"/>
    <w:rsid w:val="009E7932"/>
    <w:rsid w:val="00A0554C"/>
    <w:rsid w:val="00A06663"/>
    <w:rsid w:val="00A06D09"/>
    <w:rsid w:val="00A0756F"/>
    <w:rsid w:val="00A150F0"/>
    <w:rsid w:val="00A22246"/>
    <w:rsid w:val="00A241FE"/>
    <w:rsid w:val="00A35CD0"/>
    <w:rsid w:val="00A37719"/>
    <w:rsid w:val="00A44D6C"/>
    <w:rsid w:val="00A46A1E"/>
    <w:rsid w:val="00A55609"/>
    <w:rsid w:val="00A57B08"/>
    <w:rsid w:val="00A606B1"/>
    <w:rsid w:val="00A66771"/>
    <w:rsid w:val="00A75A43"/>
    <w:rsid w:val="00A830DE"/>
    <w:rsid w:val="00A91A72"/>
    <w:rsid w:val="00A93EA2"/>
    <w:rsid w:val="00AA38E6"/>
    <w:rsid w:val="00AA620D"/>
    <w:rsid w:val="00AC0151"/>
    <w:rsid w:val="00AC027C"/>
    <w:rsid w:val="00AC0B64"/>
    <w:rsid w:val="00AC1A69"/>
    <w:rsid w:val="00AE4F02"/>
    <w:rsid w:val="00AF0EE7"/>
    <w:rsid w:val="00AF5FC0"/>
    <w:rsid w:val="00B026E4"/>
    <w:rsid w:val="00B049A4"/>
    <w:rsid w:val="00B04E5C"/>
    <w:rsid w:val="00B1045C"/>
    <w:rsid w:val="00B216AB"/>
    <w:rsid w:val="00B32DA1"/>
    <w:rsid w:val="00B43B95"/>
    <w:rsid w:val="00B43C56"/>
    <w:rsid w:val="00B54081"/>
    <w:rsid w:val="00B55747"/>
    <w:rsid w:val="00B704AE"/>
    <w:rsid w:val="00B723E4"/>
    <w:rsid w:val="00B93737"/>
    <w:rsid w:val="00B945EA"/>
    <w:rsid w:val="00B96893"/>
    <w:rsid w:val="00BA0771"/>
    <w:rsid w:val="00BA0A5A"/>
    <w:rsid w:val="00BC0D30"/>
    <w:rsid w:val="00BC2AAF"/>
    <w:rsid w:val="00BC329E"/>
    <w:rsid w:val="00BC4BB1"/>
    <w:rsid w:val="00BC7D72"/>
    <w:rsid w:val="00BE1ACB"/>
    <w:rsid w:val="00BE1F34"/>
    <w:rsid w:val="00BE7E66"/>
    <w:rsid w:val="00C12049"/>
    <w:rsid w:val="00C16794"/>
    <w:rsid w:val="00C21780"/>
    <w:rsid w:val="00C23D1A"/>
    <w:rsid w:val="00C240E2"/>
    <w:rsid w:val="00C3695F"/>
    <w:rsid w:val="00C451EE"/>
    <w:rsid w:val="00C52D16"/>
    <w:rsid w:val="00C55F55"/>
    <w:rsid w:val="00CA16FE"/>
    <w:rsid w:val="00CC4247"/>
    <w:rsid w:val="00CC75CC"/>
    <w:rsid w:val="00CD0CB6"/>
    <w:rsid w:val="00CD5C1E"/>
    <w:rsid w:val="00CE07F2"/>
    <w:rsid w:val="00CE5C90"/>
    <w:rsid w:val="00CE72E8"/>
    <w:rsid w:val="00D03AE2"/>
    <w:rsid w:val="00D078A3"/>
    <w:rsid w:val="00D13C71"/>
    <w:rsid w:val="00D14C03"/>
    <w:rsid w:val="00D44042"/>
    <w:rsid w:val="00D47936"/>
    <w:rsid w:val="00D521E7"/>
    <w:rsid w:val="00D5583D"/>
    <w:rsid w:val="00D56E77"/>
    <w:rsid w:val="00D746E5"/>
    <w:rsid w:val="00D75C4E"/>
    <w:rsid w:val="00D776B6"/>
    <w:rsid w:val="00D86CAA"/>
    <w:rsid w:val="00D92957"/>
    <w:rsid w:val="00DA7469"/>
    <w:rsid w:val="00DB4FA3"/>
    <w:rsid w:val="00DB7840"/>
    <w:rsid w:val="00DC17B6"/>
    <w:rsid w:val="00DC2DFA"/>
    <w:rsid w:val="00DC6A98"/>
    <w:rsid w:val="00DD492F"/>
    <w:rsid w:val="00DD4ACA"/>
    <w:rsid w:val="00DD5D52"/>
    <w:rsid w:val="00DE0411"/>
    <w:rsid w:val="00DE0F36"/>
    <w:rsid w:val="00E03DF5"/>
    <w:rsid w:val="00E06D3D"/>
    <w:rsid w:val="00E1035D"/>
    <w:rsid w:val="00E23218"/>
    <w:rsid w:val="00E42F9F"/>
    <w:rsid w:val="00E46A2A"/>
    <w:rsid w:val="00E51D5C"/>
    <w:rsid w:val="00E546B0"/>
    <w:rsid w:val="00E71039"/>
    <w:rsid w:val="00E76886"/>
    <w:rsid w:val="00E80B2E"/>
    <w:rsid w:val="00E819BF"/>
    <w:rsid w:val="00E85276"/>
    <w:rsid w:val="00E92EB5"/>
    <w:rsid w:val="00E97404"/>
    <w:rsid w:val="00EA2F26"/>
    <w:rsid w:val="00EA5BA4"/>
    <w:rsid w:val="00EA6D34"/>
    <w:rsid w:val="00EB40A5"/>
    <w:rsid w:val="00EE5043"/>
    <w:rsid w:val="00EE7759"/>
    <w:rsid w:val="00EF213E"/>
    <w:rsid w:val="00EF61B4"/>
    <w:rsid w:val="00F02CC1"/>
    <w:rsid w:val="00F239E3"/>
    <w:rsid w:val="00F242E6"/>
    <w:rsid w:val="00F33EF0"/>
    <w:rsid w:val="00F3567E"/>
    <w:rsid w:val="00F408EE"/>
    <w:rsid w:val="00F56262"/>
    <w:rsid w:val="00F67604"/>
    <w:rsid w:val="00F701E3"/>
    <w:rsid w:val="00F7051B"/>
    <w:rsid w:val="00F80DDD"/>
    <w:rsid w:val="00F86DEA"/>
    <w:rsid w:val="00F9394E"/>
    <w:rsid w:val="00F9793C"/>
    <w:rsid w:val="00FC0C98"/>
    <w:rsid w:val="00FC16F3"/>
    <w:rsid w:val="00FC2CDB"/>
    <w:rsid w:val="00FE6B97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adminsrvad.sa.gov.au\DfsRoot\DataDPC\ArtsSA\ABS\Cultural%20Funding%20Collections\2021-22\Publication\Working\2%20-%20Vic\Vic-Analysis-2021-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corp\absdfs\workgroup\NCE&amp;T\SURVEYS\Culture\Cultural%20Funding%20by%20Governments%20Survey\2021-22%20Survey\2021-2022\1.%20Working\2%20-%20Vic\Vic-Analysis-2021-2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adminsrvad.sa.gov.au\DfsRoot\DataDPC\ArtsSA\ABS\Cultural%20Funding%20Collections\2021-22\Publication\Working\2%20-%20Vic\Vic-Analysis-2021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4332239720034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Working!$B$42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Working!$A$43:$A$46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Working!$B$43:$B$46</c:f>
              <c:numCache>
                <c:formatCode>0.0</c:formatCode>
                <c:ptCount val="4"/>
                <c:pt idx="0">
                  <c:v>74.7</c:v>
                </c:pt>
                <c:pt idx="1">
                  <c:v>60.2</c:v>
                </c:pt>
                <c:pt idx="2">
                  <c:v>109.1</c:v>
                </c:pt>
                <c:pt idx="3">
                  <c:v>18.8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9F-474C-808F-E8484973E525}"/>
            </c:ext>
          </c:extLst>
        </c:ser>
        <c:ser>
          <c:idx val="1"/>
          <c:order val="1"/>
          <c:tx>
            <c:strRef>
              <c:f>Working!$C$42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Working!$A$43:$A$46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Working!$C$43:$C$46</c:f>
              <c:numCache>
                <c:formatCode>#,##0.0</c:formatCode>
                <c:ptCount val="4"/>
                <c:pt idx="0">
                  <c:v>125.2</c:v>
                </c:pt>
                <c:pt idx="1">
                  <c:v>87.4</c:v>
                </c:pt>
                <c:pt idx="2">
                  <c:v>108.6</c:v>
                </c:pt>
                <c:pt idx="3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9F-474C-808F-E8484973E525}"/>
            </c:ext>
          </c:extLst>
        </c:ser>
        <c:ser>
          <c:idx val="2"/>
          <c:order val="2"/>
          <c:tx>
            <c:strRef>
              <c:f>Working!$D$42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Working!$A$43:$A$46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Working!$D$43:$D$46</c:f>
              <c:numCache>
                <c:formatCode>#,##0.0</c:formatCode>
                <c:ptCount val="4"/>
                <c:pt idx="0">
                  <c:v>110.59</c:v>
                </c:pt>
                <c:pt idx="1">
                  <c:v>91.135999999999996</c:v>
                </c:pt>
                <c:pt idx="2">
                  <c:v>113.006</c:v>
                </c:pt>
                <c:pt idx="3">
                  <c:v>15.423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9F-474C-808F-E8484973E5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26825728"/>
        <c:axId val="226827264"/>
      </c:barChart>
      <c:catAx>
        <c:axId val="22682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827264"/>
        <c:crosses val="autoZero"/>
        <c:auto val="1"/>
        <c:lblAlgn val="ctr"/>
        <c:lblOffset val="100"/>
        <c:noMultiLvlLbl val="0"/>
      </c:catAx>
      <c:valAx>
        <c:axId val="22682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82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0412746240654942"/>
          <c:y val="0.14222212049075261"/>
          <c:w val="0.15110665388534239"/>
          <c:h val="0.302581944698773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2747928084974367E-2"/>
          <c:y val="9.5937440809589519E-2"/>
          <c:w val="0.93000546601468437"/>
          <c:h val="0.690580945423059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Working!$B$52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Working!$A$53:$A$59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Community arts &amp; cultural development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Working!$B$53:$B$59</c:f>
              <c:numCache>
                <c:formatCode>#,##0.0</c:formatCode>
                <c:ptCount val="7"/>
                <c:pt idx="0">
                  <c:v>13</c:v>
                </c:pt>
                <c:pt idx="1">
                  <c:v>73.5</c:v>
                </c:pt>
                <c:pt idx="2">
                  <c:v>60.4</c:v>
                </c:pt>
                <c:pt idx="3">
                  <c:v>38.6</c:v>
                </c:pt>
                <c:pt idx="4">
                  <c:v>4.5999999999999996</c:v>
                </c:pt>
                <c:pt idx="5">
                  <c:v>12.3</c:v>
                </c:pt>
                <c:pt idx="6">
                  <c:v>23.5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1D-4BC8-AA8F-76EB3969A1F5}"/>
            </c:ext>
          </c:extLst>
        </c:ser>
        <c:ser>
          <c:idx val="1"/>
          <c:order val="1"/>
          <c:tx>
            <c:strRef>
              <c:f>Working!$C$52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Working!$A$53:$A$59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Community arts &amp; cultural development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Working!$C$53:$C$59</c:f>
              <c:numCache>
                <c:formatCode>#,##0.0</c:formatCode>
                <c:ptCount val="7"/>
                <c:pt idx="0">
                  <c:v>46.2</c:v>
                </c:pt>
                <c:pt idx="1">
                  <c:v>123.9</c:v>
                </c:pt>
                <c:pt idx="2">
                  <c:v>71</c:v>
                </c:pt>
                <c:pt idx="3">
                  <c:v>37.200000000000003</c:v>
                </c:pt>
                <c:pt idx="4">
                  <c:v>21.5</c:v>
                </c:pt>
                <c:pt idx="5">
                  <c:v>27.7</c:v>
                </c:pt>
                <c:pt idx="6">
                  <c:v>20.9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1D-4BC8-AA8F-76EB3969A1F5}"/>
            </c:ext>
          </c:extLst>
        </c:ser>
        <c:ser>
          <c:idx val="2"/>
          <c:order val="2"/>
          <c:tx>
            <c:strRef>
              <c:f>Working!$D$52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Working!$A$53:$A$59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Community arts &amp; cultural development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Working!$D$53:$D$59</c:f>
              <c:numCache>
                <c:formatCode>#,##0.0</c:formatCode>
                <c:ptCount val="7"/>
                <c:pt idx="0">
                  <c:v>33.5</c:v>
                </c:pt>
                <c:pt idx="1">
                  <c:v>160</c:v>
                </c:pt>
                <c:pt idx="2">
                  <c:v>37.6</c:v>
                </c:pt>
                <c:pt idx="3">
                  <c:v>38.700000000000003</c:v>
                </c:pt>
                <c:pt idx="4">
                  <c:v>16.899999999999999</c:v>
                </c:pt>
                <c:pt idx="5">
                  <c:v>28.4</c:v>
                </c:pt>
                <c:pt idx="6">
                  <c:v>24.8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1D-4BC8-AA8F-76EB3969A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3107456"/>
        <c:axId val="233108992"/>
      </c:barChart>
      <c:catAx>
        <c:axId val="23310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08992"/>
        <c:crosses val="autoZero"/>
        <c:auto val="1"/>
        <c:lblAlgn val="ctr"/>
        <c:lblOffset val="100"/>
        <c:noMultiLvlLbl val="0"/>
      </c:catAx>
      <c:valAx>
        <c:axId val="23310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0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6803218547024947"/>
          <c:y val="0.13187060620637855"/>
          <c:w val="0.13859882899252979"/>
          <c:h val="0.163251217392038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5384329810484721"/>
          <c:y val="5.0925925925925923E-2"/>
          <c:w val="0.61552927557059167"/>
          <c:h val="0.772400535608332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Working!$B$63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Working!$A$64:$A$72</c:f>
              <c:strCache>
                <c:ptCount val="9"/>
                <c:pt idx="0">
                  <c:v>Arts administration</c:v>
                </c:pt>
                <c:pt idx="1">
                  <c:v>Multi-arts festivals</c:v>
                </c:pt>
                <c:pt idx="2">
                  <c:v>Arts education</c:v>
                </c:pt>
                <c:pt idx="3">
                  <c:v>Film &amp; video production &amp; distribution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Working!$B$64:$B$72</c:f>
              <c:numCache>
                <c:formatCode>#,##0.0</c:formatCode>
                <c:ptCount val="9"/>
                <c:pt idx="0">
                  <c:v>24.834</c:v>
                </c:pt>
                <c:pt idx="1">
                  <c:v>28.437000000000001</c:v>
                </c:pt>
                <c:pt idx="2">
                  <c:v>38.676000000000002</c:v>
                </c:pt>
                <c:pt idx="3">
                  <c:v>36.954999999999998</c:v>
                </c:pt>
                <c:pt idx="4">
                  <c:v>69.72</c:v>
                </c:pt>
                <c:pt idx="5">
                  <c:v>33.473999999999997</c:v>
                </c:pt>
                <c:pt idx="6">
                  <c:v>93.76</c:v>
                </c:pt>
                <c:pt idx="7">
                  <c:v>61.006</c:v>
                </c:pt>
                <c:pt idx="8">
                  <c:v>93.122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7B-444B-AD45-B5AB147D4A0F}"/>
            </c:ext>
          </c:extLst>
        </c:ser>
        <c:ser>
          <c:idx val="1"/>
          <c:order val="1"/>
          <c:tx>
            <c:strRef>
              <c:f>Working!$C$63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Working!$A$64:$A$72</c:f>
              <c:strCache>
                <c:ptCount val="9"/>
                <c:pt idx="0">
                  <c:v>Arts administration</c:v>
                </c:pt>
                <c:pt idx="1">
                  <c:v>Multi-arts festivals</c:v>
                </c:pt>
                <c:pt idx="2">
                  <c:v>Arts education</c:v>
                </c:pt>
                <c:pt idx="3">
                  <c:v>Film &amp; video production &amp; distribution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Working!$C$64:$C$72</c:f>
              <c:numCache>
                <c:formatCode>0.0</c:formatCode>
                <c:ptCount val="9"/>
                <c:pt idx="0">
                  <c:v>20.9</c:v>
                </c:pt>
                <c:pt idx="1">
                  <c:v>27.7</c:v>
                </c:pt>
                <c:pt idx="2" formatCode="#,##0.0">
                  <c:v>37.200000000000003</c:v>
                </c:pt>
                <c:pt idx="3" formatCode="#,##0.0">
                  <c:v>29.5</c:v>
                </c:pt>
                <c:pt idx="4" formatCode="#,##0.0">
                  <c:v>82.5</c:v>
                </c:pt>
                <c:pt idx="5">
                  <c:v>46.2</c:v>
                </c:pt>
                <c:pt idx="6" formatCode="#,##0.0">
                  <c:v>97</c:v>
                </c:pt>
                <c:pt idx="7" formatCode="#,##0.0">
                  <c:v>77</c:v>
                </c:pt>
                <c:pt idx="8" formatCode="#,##0.0">
                  <c:v>94.3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7B-444B-AD45-B5AB147D4A0F}"/>
            </c:ext>
          </c:extLst>
        </c:ser>
        <c:ser>
          <c:idx val="2"/>
          <c:order val="2"/>
          <c:tx>
            <c:strRef>
              <c:f>Working!$D$63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Working!$A$64:$A$72</c:f>
              <c:strCache>
                <c:ptCount val="9"/>
                <c:pt idx="0">
                  <c:v>Arts administration</c:v>
                </c:pt>
                <c:pt idx="1">
                  <c:v>Multi-arts festivals</c:v>
                </c:pt>
                <c:pt idx="2">
                  <c:v>Arts education</c:v>
                </c:pt>
                <c:pt idx="3">
                  <c:v>Film &amp; video production &amp; distribution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Working!$D$64:$D$72</c:f>
              <c:numCache>
                <c:formatCode>0.0</c:formatCode>
                <c:ptCount val="9"/>
                <c:pt idx="0">
                  <c:v>23.5</c:v>
                </c:pt>
                <c:pt idx="1">
                  <c:v>12.3</c:v>
                </c:pt>
                <c:pt idx="2">
                  <c:v>38.6</c:v>
                </c:pt>
                <c:pt idx="3">
                  <c:v>32.1</c:v>
                </c:pt>
                <c:pt idx="4">
                  <c:v>42.1</c:v>
                </c:pt>
                <c:pt idx="5">
                  <c:v>13</c:v>
                </c:pt>
                <c:pt idx="6">
                  <c:v>102.1</c:v>
                </c:pt>
                <c:pt idx="7">
                  <c:v>54.6</c:v>
                </c:pt>
                <c:pt idx="8">
                  <c:v>65.3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7B-444B-AD45-B5AB147D4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7019392"/>
        <c:axId val="233050496"/>
      </c:barChart>
      <c:catAx>
        <c:axId val="227019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050496"/>
        <c:crosses val="autoZero"/>
        <c:auto val="1"/>
        <c:lblAlgn val="ctr"/>
        <c:lblOffset val="100"/>
        <c:noMultiLvlLbl val="0"/>
      </c:catAx>
      <c:valAx>
        <c:axId val="233050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latin typeface="+mn-lt"/>
                  </a:rPr>
                  <a:t>$m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70193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3130145804017854"/>
          <c:y val="0.56800792588078708"/>
          <c:w val="0.11407243296108902"/>
          <c:h val="0.197328673487387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C72D-3874-40CE-A7AC-754FA7017C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2021–22 — Victorian Government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2021–22 — Victorian Government</dc:title>
  <dc:subject/>
  <dc:creator/>
  <cp:keywords/>
  <dc:description/>
  <cp:lastModifiedBy/>
  <cp:revision>1</cp:revision>
  <dcterms:created xsi:type="dcterms:W3CDTF">2023-08-14T07:15:00Z</dcterms:created>
  <dcterms:modified xsi:type="dcterms:W3CDTF">2023-08-14T07:15:00Z</dcterms:modified>
</cp:coreProperties>
</file>