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24E" w:rsidRDefault="00CD5C1E" w:rsidP="0094124E">
      <w:pPr>
        <w:ind w:left="-1418"/>
      </w:pPr>
      <w:r>
        <w:rPr>
          <w:noProof/>
        </w:rPr>
        <w:drawing>
          <wp:inline distT="0" distB="0" distL="0" distR="0" wp14:anchorId="0B2096A5" wp14:editId="00E7133E">
            <wp:extent cx="7645481" cy="1400175"/>
            <wp:effectExtent l="0" t="0" r="0" b="0"/>
            <wp:docPr id="11" name="Picture 11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hape, rectang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6221" cy="1414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6F3" w:rsidRDefault="00FC16F3" w:rsidP="0094124E">
      <w:pPr>
        <w:ind w:left="-1418"/>
        <w:sectPr w:rsidR="00FC16F3" w:rsidSect="00477982">
          <w:headerReference w:type="default" r:id="rId10"/>
          <w:footerReference w:type="default" r:id="rId11"/>
          <w:footerReference w:type="first" r:id="rId12"/>
          <w:type w:val="continuous"/>
          <w:pgSz w:w="11906" w:h="16838"/>
          <w:pgMar w:top="0" w:right="1440" w:bottom="1440" w:left="1440" w:header="0" w:footer="0" w:gutter="0"/>
          <w:cols w:space="708"/>
          <w:titlePg/>
          <w:docGrid w:linePitch="360"/>
        </w:sectPr>
      </w:pPr>
    </w:p>
    <w:p w:rsidR="002117E6" w:rsidRDefault="001D64AC" w:rsidP="00477982">
      <w:pPr>
        <w:pStyle w:val="Heading1"/>
      </w:pPr>
      <w:r>
        <w:t xml:space="preserve">Cultural Funding by </w:t>
      </w:r>
      <w:r w:rsidRPr="00B04088">
        <w:t>Government—</w:t>
      </w:r>
      <w:r w:rsidR="0070126E" w:rsidRPr="00B04088">
        <w:t>202</w:t>
      </w:r>
      <w:r w:rsidR="00D97EBF" w:rsidRPr="00B04088">
        <w:t>1</w:t>
      </w:r>
      <w:r w:rsidR="0070126E" w:rsidRPr="00B04088">
        <w:t>–2</w:t>
      </w:r>
      <w:r w:rsidR="00D97EBF" w:rsidRPr="00B04088">
        <w:t>2</w:t>
      </w:r>
    </w:p>
    <w:p w:rsidR="00B06463" w:rsidRDefault="00B06463" w:rsidP="00B06463">
      <w:pPr>
        <w:pStyle w:val="Heading2"/>
      </w:pPr>
      <w:r>
        <w:rPr>
          <w:szCs w:val="36"/>
        </w:rPr>
        <w:t xml:space="preserve">State and territory </w:t>
      </w:r>
      <w:r w:rsidRPr="00527D9C">
        <w:rPr>
          <w:szCs w:val="36"/>
        </w:rPr>
        <w:t>government</w:t>
      </w:r>
    </w:p>
    <w:p w:rsidR="00B06463" w:rsidRPr="00E61D8C" w:rsidRDefault="00B06463" w:rsidP="00B06463">
      <w:r w:rsidRPr="00E61D8C">
        <w:t>In 202</w:t>
      </w:r>
      <w:r w:rsidR="00D97EBF" w:rsidRPr="00E61D8C">
        <w:t>1</w:t>
      </w:r>
      <w:r w:rsidRPr="00E61D8C">
        <w:t>–2</w:t>
      </w:r>
      <w:r w:rsidR="00D97EBF" w:rsidRPr="00E61D8C">
        <w:t>2</w:t>
      </w:r>
      <w:r w:rsidRPr="00E61D8C">
        <w:t xml:space="preserve"> the estimate of expenditure on cultural activities, funded by state and territory governments, was </w:t>
      </w:r>
      <w:r w:rsidRPr="00E61D8C">
        <w:rPr>
          <w:b/>
        </w:rPr>
        <w:t>$</w:t>
      </w:r>
      <w:r w:rsidR="00741BB6" w:rsidRPr="00E61D8C">
        <w:rPr>
          <w:b/>
        </w:rPr>
        <w:t>3,325.6m</w:t>
      </w:r>
      <w:r w:rsidRPr="00E61D8C">
        <w:rPr>
          <w:b/>
        </w:rPr>
        <w:t xml:space="preserve">. </w:t>
      </w:r>
      <w:r w:rsidRPr="00E61D8C">
        <w:t>This represented a rise of 1</w:t>
      </w:r>
      <w:r w:rsidR="00741BB6" w:rsidRPr="00E61D8C">
        <w:t>3</w:t>
      </w:r>
      <w:r w:rsidRPr="00E61D8C">
        <w:t>% (or $</w:t>
      </w:r>
      <w:r w:rsidR="00741BB6" w:rsidRPr="00E61D8C">
        <w:t>370.4</w:t>
      </w:r>
      <w:r w:rsidRPr="00E61D8C">
        <w:t xml:space="preserve">m). This amount includes </w:t>
      </w:r>
      <w:r w:rsidRPr="00E61D8C">
        <w:rPr>
          <w:b/>
        </w:rPr>
        <w:t>$</w:t>
      </w:r>
      <w:r w:rsidR="00741BB6" w:rsidRPr="00E61D8C">
        <w:rPr>
          <w:b/>
        </w:rPr>
        <w:t>4</w:t>
      </w:r>
      <w:r w:rsidR="002618A0" w:rsidRPr="00E61D8C">
        <w:rPr>
          <w:b/>
        </w:rPr>
        <w:t>36</w:t>
      </w:r>
      <w:r w:rsidR="007628D6" w:rsidRPr="00E61D8C">
        <w:rPr>
          <w:b/>
        </w:rPr>
        <w:t>.</w:t>
      </w:r>
      <w:r w:rsidR="002618A0" w:rsidRPr="00E61D8C">
        <w:rPr>
          <w:b/>
        </w:rPr>
        <w:t>3</w:t>
      </w:r>
      <w:r w:rsidRPr="00E61D8C">
        <w:rPr>
          <w:b/>
        </w:rPr>
        <w:t>m</w:t>
      </w:r>
      <w:r w:rsidR="00CB3033" w:rsidRPr="00E61D8C">
        <w:rPr>
          <w:bCs/>
        </w:rPr>
        <w:t xml:space="preserve"> </w:t>
      </w:r>
      <w:r w:rsidRPr="00E61D8C">
        <w:rPr>
          <w:bCs/>
        </w:rPr>
        <w:t>targeted COVID support funding for cultural and creative organisations and infrastructure, businesses, individuals, support programs and initiatives</w:t>
      </w:r>
      <w:r w:rsidRPr="00E61D8C">
        <w:t>.</w:t>
      </w:r>
      <w:r w:rsidR="002618A0" w:rsidRPr="00E61D8C">
        <w:t xml:space="preserve"> </w:t>
      </w:r>
      <w:r w:rsidR="00C35381">
        <w:t xml:space="preserve">The COVID funding includes </w:t>
      </w:r>
      <w:r w:rsidR="002618A0" w:rsidRPr="00E61D8C">
        <w:rPr>
          <w:b/>
          <w:bCs/>
        </w:rPr>
        <w:t>$22.1m</w:t>
      </w:r>
      <w:r w:rsidR="002618A0" w:rsidRPr="00E61D8C">
        <w:t xml:space="preserve"> </w:t>
      </w:r>
      <w:r w:rsidR="00C35381">
        <w:t xml:space="preserve">that </w:t>
      </w:r>
      <w:r w:rsidR="002618A0" w:rsidRPr="00E61D8C">
        <w:t xml:space="preserve">could not be </w:t>
      </w:r>
      <w:r w:rsidR="00C35381">
        <w:t xml:space="preserve">reported by individual </w:t>
      </w:r>
      <w:r w:rsidR="002618A0" w:rsidRPr="00E61D8C">
        <w:t>category and is included in the totals only.</w:t>
      </w:r>
      <w:r w:rsidRPr="00E61D8C">
        <w:rPr>
          <w:rStyle w:val="FootnoteReference"/>
        </w:rPr>
        <w:footnoteReference w:id="1"/>
      </w:r>
    </w:p>
    <w:p w:rsidR="00B06463" w:rsidRDefault="00B06463" w:rsidP="00B06463">
      <w:pPr>
        <w:pStyle w:val="Tablefigureheading"/>
      </w:pPr>
      <w:r>
        <w:t xml:space="preserve">Table 1. State and territory </w:t>
      </w:r>
      <w:r w:rsidRPr="00E61D8C">
        <w:t>government cultural expenditure, 201</w:t>
      </w:r>
      <w:r w:rsidR="00D97EBF" w:rsidRPr="00E61D8C">
        <w:t>9</w:t>
      </w:r>
      <w:r w:rsidRPr="00E61D8C">
        <w:t>–</w:t>
      </w:r>
      <w:r w:rsidR="00D97EBF" w:rsidRPr="00E61D8C">
        <w:t>20</w:t>
      </w:r>
      <w:r w:rsidRPr="00E61D8C">
        <w:t xml:space="preserve"> to 202</w:t>
      </w:r>
      <w:r w:rsidR="00D97EBF" w:rsidRPr="00E61D8C">
        <w:t>1</w:t>
      </w:r>
      <w:r w:rsidRPr="00E61D8C">
        <w:t>–2</w:t>
      </w:r>
      <w:r w:rsidR="00D97EBF" w:rsidRPr="00E61D8C">
        <w:t>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le 1. State and territory government cultural expenditure, 2019–20 to 2021–22"/>
        <w:tblDescription w:val="Table 1. State and territory government cultural expenditure, 2019–20 to 2021–22"/>
      </w:tblPr>
      <w:tblGrid>
        <w:gridCol w:w="1981"/>
        <w:gridCol w:w="1981"/>
        <w:gridCol w:w="2583"/>
      </w:tblGrid>
      <w:tr w:rsidR="00B06463" w:rsidRPr="00D54FEF" w:rsidTr="00A75DB8">
        <w:trPr>
          <w:cantSplit/>
          <w:trHeight w:val="403"/>
          <w:tblHeader/>
        </w:trPr>
        <w:tc>
          <w:tcPr>
            <w:tcW w:w="19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B06463" w:rsidRPr="00E61D8C" w:rsidRDefault="00D97EBF" w:rsidP="00A75DB8">
            <w:pPr>
              <w:pStyle w:val="Tablerowcolumnheadingcentred"/>
            </w:pPr>
            <w:r w:rsidRPr="00E61D8C">
              <w:t>2019–20</w:t>
            </w:r>
            <w:r w:rsidRPr="00E61D8C">
              <w:rPr>
                <w:rStyle w:val="FootnoteReference"/>
              </w:rPr>
              <w:footnoteReference w:id="2"/>
            </w:r>
          </w:p>
        </w:tc>
        <w:tc>
          <w:tcPr>
            <w:tcW w:w="1981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B06463" w:rsidRPr="00E61D8C" w:rsidRDefault="00D97EBF" w:rsidP="00A75DB8">
            <w:pPr>
              <w:pStyle w:val="Tablerowcolumnheadingcentred"/>
            </w:pPr>
            <w:r w:rsidRPr="00E61D8C">
              <w:t>2020–21</w:t>
            </w:r>
            <w:r w:rsidRPr="00E61D8C">
              <w:rPr>
                <w:rStyle w:val="FootnoteReference"/>
              </w:rPr>
              <w:footnoteReference w:id="3"/>
            </w:r>
          </w:p>
        </w:tc>
        <w:tc>
          <w:tcPr>
            <w:tcW w:w="2583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shd w:val="clear" w:color="auto" w:fill="C3AFF7"/>
          </w:tcPr>
          <w:p w:rsidR="00B06463" w:rsidRPr="00E61D8C" w:rsidRDefault="00B06463" w:rsidP="00A75DB8">
            <w:pPr>
              <w:pStyle w:val="Tablerowcolumnheadingcentred"/>
            </w:pPr>
            <w:r w:rsidRPr="00E61D8C">
              <w:t>202</w:t>
            </w:r>
            <w:r w:rsidR="00D97EBF" w:rsidRPr="00E61D8C">
              <w:t>1</w:t>
            </w:r>
            <w:r w:rsidRPr="00E61D8C">
              <w:t>–2</w:t>
            </w:r>
            <w:r w:rsidR="00D97EBF" w:rsidRPr="00E61D8C">
              <w:t>2</w:t>
            </w:r>
            <w:r w:rsidRPr="00E61D8C">
              <w:rPr>
                <w:rStyle w:val="FootnoteReference"/>
              </w:rPr>
              <w:footnoteReference w:id="4"/>
            </w:r>
          </w:p>
        </w:tc>
      </w:tr>
      <w:tr w:rsidR="00B06463" w:rsidRPr="00ED41F7" w:rsidTr="00A75DB8">
        <w:trPr>
          <w:cantSplit/>
          <w:trHeight w:val="197"/>
        </w:trPr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6463" w:rsidRPr="00E61D8C" w:rsidRDefault="00B06463" w:rsidP="00A75DB8">
            <w:pPr>
              <w:pStyle w:val="Tabletextcentred"/>
            </w:pPr>
            <w:r w:rsidRPr="00E61D8C">
              <w:t>$2,</w:t>
            </w:r>
            <w:r w:rsidR="00D97EBF" w:rsidRPr="00E61D8C">
              <w:t>681.3</w:t>
            </w:r>
            <w:r w:rsidRPr="00E61D8C">
              <w:t>m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6463" w:rsidRPr="00E61D8C" w:rsidRDefault="00B06463" w:rsidP="00A75DB8">
            <w:pPr>
              <w:pStyle w:val="Tabletextcentred"/>
              <w:rPr>
                <w:highlight w:val="yellow"/>
              </w:rPr>
            </w:pPr>
            <w:r w:rsidRPr="00E61D8C">
              <w:t>$2,</w:t>
            </w:r>
            <w:r w:rsidR="00D97EBF" w:rsidRPr="00E61D8C">
              <w:t>955</w:t>
            </w:r>
            <w:r w:rsidRPr="00E61D8C">
              <w:t>.</w:t>
            </w:r>
            <w:r w:rsidR="00D97EBF" w:rsidRPr="00E61D8C">
              <w:t>2</w:t>
            </w:r>
            <w:r w:rsidRPr="00E61D8C">
              <w:t>m ↑1</w:t>
            </w:r>
            <w:r w:rsidR="00D97EBF" w:rsidRPr="00E61D8C">
              <w:t>0</w:t>
            </w:r>
            <w:r w:rsidRPr="00E61D8C">
              <w:t>%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B06463" w:rsidRPr="00E61D8C" w:rsidRDefault="00B06463" w:rsidP="00A75DB8">
            <w:pPr>
              <w:pStyle w:val="Tabletextcentred"/>
            </w:pPr>
            <w:r w:rsidRPr="00E61D8C">
              <w:t>$</w:t>
            </w:r>
            <w:r w:rsidR="00741BB6" w:rsidRPr="00E61D8C">
              <w:t>3,325.6</w:t>
            </w:r>
            <w:r w:rsidRPr="00E61D8C">
              <w:t>m ↑</w:t>
            </w:r>
            <w:r w:rsidR="00741BB6" w:rsidRPr="00E61D8C">
              <w:t>13</w:t>
            </w:r>
            <w:r w:rsidRPr="00E61D8C">
              <w:t>%</w:t>
            </w:r>
          </w:p>
        </w:tc>
      </w:tr>
    </w:tbl>
    <w:p w:rsidR="00B06463" w:rsidRPr="00ED41F7" w:rsidRDefault="00B06463" w:rsidP="00B06463">
      <w:pPr>
        <w:pStyle w:val="bullets-arrows"/>
        <w:numPr>
          <w:ilvl w:val="0"/>
          <w:numId w:val="13"/>
        </w:numPr>
      </w:pPr>
      <w:r w:rsidRPr="00ED41F7">
        <w:t xml:space="preserve">The estimate of per person cultural funding </w:t>
      </w:r>
      <w:r w:rsidRPr="00DE5293">
        <w:t>was $1</w:t>
      </w:r>
      <w:r w:rsidR="00741BB6">
        <w:t>29.03</w:t>
      </w:r>
      <w:r w:rsidRPr="00DE5293">
        <w:t>.</w:t>
      </w:r>
    </w:p>
    <w:p w:rsidR="00B06463" w:rsidRPr="00E61D8C" w:rsidRDefault="00B06463" w:rsidP="00B06463">
      <w:pPr>
        <w:pStyle w:val="Tablefigureheading"/>
      </w:pPr>
      <w:r w:rsidRPr="00E61D8C">
        <w:t>Figure 1. State and territory governments total cultural expenditure</w:t>
      </w:r>
      <w:r w:rsidR="00E61D8C" w:rsidRPr="00E61D8C">
        <w:t xml:space="preserve"> (recurrent and capital)</w:t>
      </w:r>
      <w:r w:rsidRPr="00E61D8C">
        <w:t>(a)(b)</w:t>
      </w:r>
    </w:p>
    <w:p w:rsidR="00741BB6" w:rsidRPr="00741BB6" w:rsidRDefault="00741BB6" w:rsidP="00741BB6">
      <w:pPr>
        <w:rPr>
          <w:lang w:eastAsia="en-US"/>
        </w:rPr>
      </w:pPr>
      <w:r>
        <w:rPr>
          <w:noProof/>
        </w:rPr>
        <w:drawing>
          <wp:inline distT="0" distB="0" distL="0" distR="0" wp14:anchorId="525E8A09" wp14:editId="7E609F47">
            <wp:extent cx="4781550" cy="2533650"/>
            <wp:effectExtent l="0" t="0" r="0" b="0"/>
            <wp:docPr id="1" name="Chart 1" descr="Figure 1. State and territory governments total cultural expenditure (recurrent and capital).&#10;&#10;A column graph compares total cultural expenditure across state and territory governments between the financial years of 2019-20, 2020-21 and 2021-22.&#10;&#10;Care should be taken when comparing expenditure between states and territories due to different administrative arrangements.&#10;&#10;2019-20: New South Wales $799.4m, Victoria $552.2m, Queensland $450.2m, South Australia $239.3m, Western Australia $375.6m, Tasmania $99.1m, Northern Territory $76.0m, Australian Capital Territory $89.4m.&#10;2020-21: New South Wales $906.4m, Victoria $771.9m, Queensland $506.7m, South Australia $233.3m, Western Australia $294.9m, Tasmania $90.4m, Northern Territory $77.2m, Australian Capital Territory $74.4m.&#10;2021-22: New South Wales $1,159.6m, &#10;Victoria $745.0m, Queensland $518.1m, South Australia $296.0m, Western Australia $350.1m, Tasmania $94.9m, Northern Territory $79.9m, Australian Capital Territory $82.1m.">
              <a:extLst xmlns:a="http://schemas.openxmlformats.org/drawingml/2006/main">
                <a:ext uri="{FF2B5EF4-FFF2-40B4-BE49-F238E27FC236}">
                  <a16:creationId xmlns:a16="http://schemas.microsoft.com/office/drawing/2014/main" id="{A8A6EF3E-C158-40D3-A634-E5FDEA2D03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06463" w:rsidRPr="00E61D8C" w:rsidRDefault="00B06463" w:rsidP="00E61D8C">
      <w:pPr>
        <w:pStyle w:val="Sourcenote"/>
        <w:numPr>
          <w:ilvl w:val="0"/>
          <w:numId w:val="11"/>
        </w:numPr>
        <w:spacing w:after="0"/>
        <w:rPr>
          <w:sz w:val="18"/>
          <w:szCs w:val="18"/>
        </w:rPr>
      </w:pPr>
      <w:bookmarkStart w:id="0" w:name="_Hlk6925977"/>
      <w:r w:rsidRPr="00AC6FCD">
        <w:rPr>
          <w:sz w:val="18"/>
          <w:szCs w:val="18"/>
        </w:rPr>
        <w:t>Care should be taken when comparing expenditure between states and territories due to different</w:t>
      </w:r>
      <w:r w:rsidR="00E61D8C">
        <w:rPr>
          <w:sz w:val="18"/>
          <w:szCs w:val="18"/>
        </w:rPr>
        <w:t xml:space="preserve"> </w:t>
      </w:r>
      <w:r w:rsidRPr="00E61D8C">
        <w:rPr>
          <w:sz w:val="18"/>
          <w:szCs w:val="18"/>
        </w:rPr>
        <w:t>administrative arrangements.</w:t>
      </w:r>
    </w:p>
    <w:p w:rsidR="00B06463" w:rsidRPr="00DC4BD0" w:rsidRDefault="00B06463" w:rsidP="00DC4BD0">
      <w:pPr>
        <w:pStyle w:val="ListParagraph"/>
        <w:numPr>
          <w:ilvl w:val="0"/>
          <w:numId w:val="11"/>
        </w:numPr>
        <w:rPr>
          <w:sz w:val="18"/>
          <w:szCs w:val="18"/>
        </w:rPr>
      </w:pPr>
      <w:r w:rsidRPr="00CE4866">
        <w:rPr>
          <w:sz w:val="18"/>
          <w:szCs w:val="18"/>
        </w:rPr>
        <w:t xml:space="preserve">Caution should be taken when comparing targeted COVID support funding as the impact of COVID </w:t>
      </w:r>
      <w:r w:rsidR="00DC4BD0">
        <w:rPr>
          <w:sz w:val="18"/>
          <w:szCs w:val="18"/>
        </w:rPr>
        <w:t xml:space="preserve">                    </w:t>
      </w:r>
      <w:r w:rsidRPr="00DC4BD0">
        <w:rPr>
          <w:sz w:val="18"/>
          <w:szCs w:val="18"/>
        </w:rPr>
        <w:t>and the response to this impact was different for respective states and territories.</w:t>
      </w:r>
    </w:p>
    <w:bookmarkEnd w:id="0"/>
    <w:p w:rsidR="00B06463" w:rsidRPr="00E61D8C" w:rsidRDefault="00B06463" w:rsidP="00B06463">
      <w:pPr>
        <w:pStyle w:val="Sourcenote"/>
        <w:rPr>
          <w:sz w:val="22"/>
          <w:szCs w:val="22"/>
        </w:rPr>
      </w:pPr>
      <w:r w:rsidRPr="00E61D8C">
        <w:rPr>
          <w:sz w:val="22"/>
          <w:szCs w:val="22"/>
        </w:rPr>
        <w:t xml:space="preserve">The highest percentage increase in funding was for </w:t>
      </w:r>
      <w:r w:rsidR="00741BB6" w:rsidRPr="00E61D8C">
        <w:rPr>
          <w:sz w:val="22"/>
          <w:szCs w:val="22"/>
        </w:rPr>
        <w:t>New South Wales</w:t>
      </w:r>
      <w:r w:rsidRPr="00E61D8C">
        <w:rPr>
          <w:sz w:val="22"/>
          <w:szCs w:val="22"/>
        </w:rPr>
        <w:t xml:space="preserve"> (</w:t>
      </w:r>
      <w:r w:rsidR="00741BB6" w:rsidRPr="00E61D8C">
        <w:rPr>
          <w:sz w:val="22"/>
          <w:szCs w:val="22"/>
        </w:rPr>
        <w:t>28</w:t>
      </w:r>
      <w:r w:rsidRPr="00E61D8C">
        <w:rPr>
          <w:sz w:val="22"/>
          <w:szCs w:val="22"/>
        </w:rPr>
        <w:t xml:space="preserve">%), followed by South </w:t>
      </w:r>
      <w:r w:rsidR="00741BB6" w:rsidRPr="00E61D8C">
        <w:rPr>
          <w:sz w:val="22"/>
          <w:szCs w:val="22"/>
        </w:rPr>
        <w:t>Australia (27%) and Western Australia (19%).</w:t>
      </w:r>
      <w:r w:rsidRPr="00E61D8C">
        <w:rPr>
          <w:sz w:val="22"/>
          <w:szCs w:val="22"/>
        </w:rPr>
        <w:t xml:space="preserve"> </w:t>
      </w:r>
    </w:p>
    <w:p w:rsidR="00B06463" w:rsidRPr="00F0060F" w:rsidRDefault="00B06463" w:rsidP="00B06463">
      <w:pPr>
        <w:pStyle w:val="Heading3"/>
        <w:rPr>
          <w:color w:val="5860B0" w:themeColor="accent3" w:themeShade="BF"/>
        </w:rPr>
      </w:pPr>
      <w:r>
        <w:t>Heritage</w:t>
      </w:r>
    </w:p>
    <w:p w:rsidR="00B06463" w:rsidRPr="00E61D8C" w:rsidRDefault="00B06463" w:rsidP="00B06463">
      <w:r w:rsidRPr="00E61D8C">
        <w:t xml:space="preserve">Funds </w:t>
      </w:r>
      <w:r w:rsidR="008C2939" w:rsidRPr="00E61D8C">
        <w:t>for</w:t>
      </w:r>
      <w:r w:rsidRPr="00E61D8C">
        <w:t xml:space="preserve"> </w:t>
      </w:r>
      <w:r w:rsidR="008C2939" w:rsidRPr="00E61D8C">
        <w:t xml:space="preserve">Total </w:t>
      </w:r>
      <w:r w:rsidRPr="00E61D8C">
        <w:rPr>
          <w:i/>
        </w:rPr>
        <w:t>Heritage</w:t>
      </w:r>
      <w:r w:rsidRPr="00E61D8C">
        <w:t xml:space="preserve"> activities</w:t>
      </w:r>
      <w:r w:rsidR="008C2939" w:rsidRPr="00E61D8C">
        <w:t xml:space="preserve"> (recurrent and capital) </w:t>
      </w:r>
      <w:r w:rsidR="00A555E5" w:rsidRPr="00E61D8C">
        <w:t>in</w:t>
      </w:r>
      <w:r w:rsidRPr="00E61D8C">
        <w:t xml:space="preserve">creased </w:t>
      </w:r>
      <w:r w:rsidR="00A555E5" w:rsidRPr="00E61D8C">
        <w:t>1</w:t>
      </w:r>
      <w:r w:rsidRPr="00E61D8C">
        <w:t>2% (or $</w:t>
      </w:r>
      <w:r w:rsidR="00A555E5" w:rsidRPr="00E61D8C">
        <w:t>165.4</w:t>
      </w:r>
      <w:r w:rsidRPr="00E61D8C">
        <w:t>m) to $1,</w:t>
      </w:r>
      <w:r w:rsidR="00A555E5" w:rsidRPr="00E61D8C">
        <w:t>595.8</w:t>
      </w:r>
      <w:r w:rsidRPr="00E61D8C">
        <w:t>m.</w:t>
      </w:r>
    </w:p>
    <w:p w:rsidR="00B06463" w:rsidRPr="00E61D8C" w:rsidRDefault="00B16766" w:rsidP="00B06463">
      <w:r w:rsidRPr="00E61D8C">
        <w:t xml:space="preserve">This </w:t>
      </w:r>
      <w:r w:rsidR="00A555E5" w:rsidRPr="00E61D8C">
        <w:t>in</w:t>
      </w:r>
      <w:r w:rsidRPr="00E61D8C">
        <w:t xml:space="preserve">crease was driven by </w:t>
      </w:r>
      <w:r w:rsidR="00A555E5" w:rsidRPr="00E61D8C">
        <w:t>increased e</w:t>
      </w:r>
      <w:r w:rsidRPr="00E61D8C">
        <w:t>xpenditure on</w:t>
      </w:r>
      <w:r w:rsidR="00B06463" w:rsidRPr="00E61D8C">
        <w:t xml:space="preserve"> </w:t>
      </w:r>
      <w:r w:rsidR="00B06463" w:rsidRPr="00E61D8C">
        <w:rPr>
          <w:i/>
        </w:rPr>
        <w:t xml:space="preserve">Other museums and cultural heritage </w:t>
      </w:r>
      <w:r w:rsidR="00B06463" w:rsidRPr="00E61D8C">
        <w:t>(</w:t>
      </w:r>
      <w:r w:rsidR="00A555E5" w:rsidRPr="00E61D8C">
        <w:t>↑</w:t>
      </w:r>
      <w:r w:rsidR="00B06463" w:rsidRPr="00E61D8C">
        <w:t>$12</w:t>
      </w:r>
      <w:r w:rsidR="00A555E5" w:rsidRPr="00E61D8C">
        <w:t>3</w:t>
      </w:r>
      <w:r w:rsidR="00B06463" w:rsidRPr="00E61D8C">
        <w:t>.</w:t>
      </w:r>
      <w:r w:rsidR="00A555E5" w:rsidRPr="00E61D8C">
        <w:t>6</w:t>
      </w:r>
      <w:r w:rsidR="00B06463" w:rsidRPr="00E61D8C">
        <w:t>m</w:t>
      </w:r>
      <w:r w:rsidR="00A555E5" w:rsidRPr="00E61D8C">
        <w:t xml:space="preserve">) and </w:t>
      </w:r>
      <w:r w:rsidR="00A555E5" w:rsidRPr="00E61D8C">
        <w:rPr>
          <w:i/>
          <w:iCs/>
        </w:rPr>
        <w:t>Art Museums</w:t>
      </w:r>
      <w:r w:rsidR="00A555E5" w:rsidRPr="00E61D8C">
        <w:t xml:space="preserve"> (↑$30.5m). </w:t>
      </w:r>
      <w:r w:rsidR="00B06463" w:rsidRPr="00E61D8C">
        <w:rPr>
          <w:i/>
        </w:rPr>
        <w:t>Libraries</w:t>
      </w:r>
      <w:r w:rsidR="00B06463" w:rsidRPr="00E61D8C">
        <w:t xml:space="preserve"> and </w:t>
      </w:r>
      <w:r w:rsidR="00B06463" w:rsidRPr="00E61D8C">
        <w:rPr>
          <w:i/>
        </w:rPr>
        <w:t xml:space="preserve">Archives </w:t>
      </w:r>
      <w:r w:rsidR="00A555E5" w:rsidRPr="00E61D8C">
        <w:t>also increased, by $11.0m and $0.4m respectively.</w:t>
      </w:r>
    </w:p>
    <w:p w:rsidR="00B06463" w:rsidRPr="00823A44" w:rsidRDefault="00B06463" w:rsidP="00B06463">
      <w:r w:rsidRPr="00E61D8C">
        <w:t xml:space="preserve">The largest categories of </w:t>
      </w:r>
      <w:r w:rsidRPr="00E61D8C">
        <w:rPr>
          <w:i/>
        </w:rPr>
        <w:t>Heritage</w:t>
      </w:r>
      <w:r w:rsidRPr="00E61D8C">
        <w:t xml:space="preserve"> expenditure were </w:t>
      </w:r>
      <w:r w:rsidRPr="00E61D8C">
        <w:rPr>
          <w:i/>
        </w:rPr>
        <w:t>Other museums and cultural heritage</w:t>
      </w:r>
      <w:r w:rsidRPr="00E61D8C">
        <w:t xml:space="preserve"> with </w:t>
      </w:r>
      <w:r w:rsidRPr="00823A44">
        <w:t>$</w:t>
      </w:r>
      <w:r w:rsidR="00A555E5" w:rsidRPr="00823A44">
        <w:t>629.1</w:t>
      </w:r>
      <w:r w:rsidRPr="00823A44">
        <w:t xml:space="preserve">m, followed by </w:t>
      </w:r>
      <w:r w:rsidRPr="00823A44">
        <w:rPr>
          <w:i/>
        </w:rPr>
        <w:t xml:space="preserve">Libraries </w:t>
      </w:r>
      <w:r w:rsidRPr="00823A44">
        <w:t>with $4</w:t>
      </w:r>
      <w:r w:rsidR="00A555E5" w:rsidRPr="00823A44">
        <w:t>62.6</w:t>
      </w:r>
      <w:r w:rsidRPr="00823A44">
        <w:t>m.</w:t>
      </w:r>
    </w:p>
    <w:p w:rsidR="00B06463" w:rsidRPr="00E61D8C" w:rsidRDefault="00A13557" w:rsidP="00B06463">
      <w:pPr>
        <w:pStyle w:val="bullets-arrows"/>
        <w:ind w:left="0" w:firstLine="0"/>
        <w:rPr>
          <w:iCs/>
        </w:rPr>
      </w:pPr>
      <w:r w:rsidRPr="00E61D8C">
        <w:t>Just over o</w:t>
      </w:r>
      <w:r w:rsidR="003512D3" w:rsidRPr="00E61D8C">
        <w:t>ne third (3</w:t>
      </w:r>
      <w:r w:rsidRPr="00E61D8C">
        <w:t>5</w:t>
      </w:r>
      <w:r w:rsidR="003512D3" w:rsidRPr="00E61D8C">
        <w:t>% or $</w:t>
      </w:r>
      <w:r w:rsidRPr="00E61D8C">
        <w:t>220.4</w:t>
      </w:r>
      <w:r w:rsidR="003512D3" w:rsidRPr="00E61D8C">
        <w:t xml:space="preserve">m) of total state and territory government </w:t>
      </w:r>
      <w:r w:rsidR="00A6123A" w:rsidRPr="00E61D8C">
        <w:t xml:space="preserve">heritage </w:t>
      </w:r>
      <w:r w:rsidR="003512D3" w:rsidRPr="00E61D8C">
        <w:t xml:space="preserve">expenditure for </w:t>
      </w:r>
      <w:r w:rsidR="003512D3" w:rsidRPr="00E61D8C">
        <w:rPr>
          <w:i/>
        </w:rPr>
        <w:t xml:space="preserve">Other museums and cultural heritage </w:t>
      </w:r>
      <w:r w:rsidR="003512D3" w:rsidRPr="00E61D8C">
        <w:rPr>
          <w:iCs/>
        </w:rPr>
        <w:t xml:space="preserve">was </w:t>
      </w:r>
      <w:r w:rsidR="00221EAF" w:rsidRPr="00E61D8C">
        <w:rPr>
          <w:iCs/>
        </w:rPr>
        <w:t>attributed to</w:t>
      </w:r>
      <w:r w:rsidR="003512D3" w:rsidRPr="00E61D8C">
        <w:rPr>
          <w:iCs/>
        </w:rPr>
        <w:t xml:space="preserve"> the </w:t>
      </w:r>
      <w:r w:rsidR="00B06463" w:rsidRPr="00E61D8C">
        <w:t>New South Wales Government</w:t>
      </w:r>
      <w:r w:rsidR="003512D3" w:rsidRPr="00E61D8C">
        <w:t xml:space="preserve">. </w:t>
      </w:r>
      <w:r w:rsidR="00B06463" w:rsidRPr="00E61D8C">
        <w:t>Western Australian Government was the next highest contributor (</w:t>
      </w:r>
      <w:r w:rsidR="003512D3" w:rsidRPr="00E61D8C">
        <w:t>2</w:t>
      </w:r>
      <w:r w:rsidRPr="00E61D8C">
        <w:t>1</w:t>
      </w:r>
      <w:r w:rsidR="003512D3" w:rsidRPr="00E61D8C">
        <w:t xml:space="preserve">% or </w:t>
      </w:r>
      <w:r w:rsidR="00B06463" w:rsidRPr="00E61D8C">
        <w:t>$1</w:t>
      </w:r>
      <w:r w:rsidRPr="00E61D8C">
        <w:t>31.0</w:t>
      </w:r>
      <w:r w:rsidR="00B06463" w:rsidRPr="00E61D8C">
        <w:t>m)</w:t>
      </w:r>
      <w:r w:rsidR="003512D3" w:rsidRPr="00E61D8C">
        <w:t xml:space="preserve"> on this category.</w:t>
      </w:r>
    </w:p>
    <w:p w:rsidR="00B06463" w:rsidRPr="00E61D8C" w:rsidRDefault="00B06463" w:rsidP="00B06463">
      <w:pPr>
        <w:pStyle w:val="bullets-arrows"/>
        <w:ind w:left="0" w:firstLine="0"/>
      </w:pPr>
    </w:p>
    <w:p w:rsidR="00B06463" w:rsidRPr="00E61D8C" w:rsidRDefault="00A13557" w:rsidP="00B06463">
      <w:pPr>
        <w:pStyle w:val="bullets-arrows"/>
        <w:ind w:left="0" w:firstLine="0"/>
      </w:pPr>
      <w:r w:rsidRPr="00E61D8C">
        <w:t>Over o</w:t>
      </w:r>
      <w:r w:rsidR="00210C69" w:rsidRPr="00E61D8C">
        <w:t>ne quarter (2</w:t>
      </w:r>
      <w:r w:rsidRPr="00E61D8C">
        <w:t>8</w:t>
      </w:r>
      <w:r w:rsidR="00210C69" w:rsidRPr="00E61D8C">
        <w:t>% or $</w:t>
      </w:r>
      <w:r w:rsidRPr="00E61D8C">
        <w:t>128.4</w:t>
      </w:r>
      <w:r w:rsidR="00210C69" w:rsidRPr="00E61D8C">
        <w:t xml:space="preserve">m) of total state and territory government expenditure </w:t>
      </w:r>
      <w:r w:rsidR="00FD07CA" w:rsidRPr="00E61D8C">
        <w:t>for</w:t>
      </w:r>
      <w:r w:rsidR="00210C69" w:rsidRPr="00E61D8C">
        <w:t xml:space="preserve"> </w:t>
      </w:r>
      <w:r w:rsidR="00210C69" w:rsidRPr="00E61D8C">
        <w:rPr>
          <w:i/>
        </w:rPr>
        <w:t>Libraries</w:t>
      </w:r>
      <w:r w:rsidR="00210C69" w:rsidRPr="00E61D8C">
        <w:t xml:space="preserve"> was funded by t</w:t>
      </w:r>
      <w:r w:rsidR="00B06463" w:rsidRPr="00E61D8C">
        <w:t>he New South Wales Government</w:t>
      </w:r>
      <w:r w:rsidR="00210C69" w:rsidRPr="00E61D8C">
        <w:t>.</w:t>
      </w:r>
      <w:r w:rsidRPr="00E61D8C">
        <w:t xml:space="preserve"> The Victorian Government was the next highest contributor (24% or $113.0m) on this category.</w:t>
      </w:r>
    </w:p>
    <w:p w:rsidR="00B06463" w:rsidRDefault="00B06463" w:rsidP="00B06463">
      <w:pPr>
        <w:pStyle w:val="Tablefigureheading"/>
      </w:pPr>
      <w:bookmarkStart w:id="1" w:name="_Toc524533023"/>
      <w:r w:rsidRPr="00303AC1">
        <w:t xml:space="preserve">Figure </w:t>
      </w:r>
      <w:r>
        <w:t>2</w:t>
      </w:r>
      <w:r w:rsidRPr="00303AC1">
        <w:t xml:space="preserve">. </w:t>
      </w:r>
      <w:r>
        <w:t xml:space="preserve"> S</w:t>
      </w:r>
      <w:r w:rsidRPr="00350E30">
        <w:t>tate and territory government</w:t>
      </w:r>
      <w:r>
        <w:t xml:space="preserve"> </w:t>
      </w:r>
      <w:r w:rsidRPr="00303AC1">
        <w:t>heritage expenditure</w:t>
      </w:r>
      <w:bookmarkEnd w:id="1"/>
      <w:r w:rsidR="00A13557">
        <w:t xml:space="preserve"> (recurrent and capital)</w:t>
      </w:r>
    </w:p>
    <w:p w:rsidR="00E61D8C" w:rsidRPr="00E61D8C" w:rsidRDefault="00E61D8C" w:rsidP="00E61D8C">
      <w:pPr>
        <w:rPr>
          <w:lang w:eastAsia="en-US"/>
        </w:rPr>
      </w:pPr>
    </w:p>
    <w:p w:rsidR="00A13557" w:rsidRPr="00A13557" w:rsidRDefault="00E61D8C" w:rsidP="00A13557">
      <w:pPr>
        <w:rPr>
          <w:lang w:eastAsia="en-US"/>
        </w:rPr>
      </w:pPr>
      <w:r>
        <w:rPr>
          <w:noProof/>
        </w:rPr>
        <w:drawing>
          <wp:inline distT="0" distB="0" distL="0" distR="0" wp14:anchorId="29EEF6E2" wp14:editId="760FB409">
            <wp:extent cx="4190994" cy="2262186"/>
            <wp:effectExtent l="0" t="0" r="635" b="5080"/>
            <wp:docPr id="3" name="Chart 3" descr="Figure 2. State and territory  Governments heritage expenditure (recurrent and capital).&#10;&#10;A column graph compares expenditure across the heritage categories of Art museums, Other museums &amp; cultural heritage, Libraries and Archives between the financial years of 2019-20, 2020-21 and 2021-22 for state and territory governments.&#10;&#10;2019-20: Art museums $296.8m, Other museums &amp; cultural heritage, $607.7m, Libraries $484.1m, Archives $69.4m.&#10;2020-21: Art museums $414.0m, Other museums &amp; cultural heritage $505.5m, Libraries $451.6m, Archives $59.2m.&#10;2021-22: Art museums $444.5m, &#10;Other museums &amp; cultural heritage $629.1m, Libraries $462.6m, Archives $59.6m.">
              <a:extLst xmlns:a="http://schemas.openxmlformats.org/drawingml/2006/main">
                <a:ext uri="{FF2B5EF4-FFF2-40B4-BE49-F238E27FC236}">
                  <a16:creationId xmlns:a16="http://schemas.microsoft.com/office/drawing/2014/main" id="{7EC0C8F3-289F-41ED-924A-D7AFAA166F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324C" w:rsidRPr="00E0324C" w:rsidRDefault="00E0324C" w:rsidP="00E0324C">
      <w:pPr>
        <w:rPr>
          <w:lang w:eastAsia="en-US"/>
        </w:rPr>
      </w:pPr>
    </w:p>
    <w:p w:rsidR="00B06463" w:rsidRPr="00586CC5" w:rsidRDefault="00B06463" w:rsidP="00B06463">
      <w:pPr>
        <w:pStyle w:val="Heading3"/>
        <w:rPr>
          <w:b w:val="0"/>
          <w:bCs/>
          <w:color w:val="FF0000"/>
          <w:sz w:val="18"/>
          <w:szCs w:val="18"/>
        </w:rPr>
      </w:pPr>
      <w:bookmarkStart w:id="2" w:name="_Toc521318948"/>
      <w:bookmarkStart w:id="3" w:name="_Toc521427134"/>
      <w:bookmarkStart w:id="4" w:name="_Toc524532895"/>
      <w:r w:rsidRPr="00350E30">
        <w:t>Arts</w:t>
      </w:r>
      <w:bookmarkEnd w:id="2"/>
      <w:bookmarkEnd w:id="3"/>
      <w:bookmarkEnd w:id="4"/>
      <w:r>
        <w:t xml:space="preserve"> </w:t>
      </w:r>
    </w:p>
    <w:p w:rsidR="008C2939" w:rsidRPr="00E61D8C" w:rsidRDefault="00B06463" w:rsidP="00B06463">
      <w:r w:rsidRPr="00E61D8C">
        <w:t xml:space="preserve">Funds for </w:t>
      </w:r>
      <w:r w:rsidR="008C2939" w:rsidRPr="00E61D8C">
        <w:t xml:space="preserve">Total </w:t>
      </w:r>
      <w:r w:rsidRPr="00E61D8C">
        <w:rPr>
          <w:i/>
        </w:rPr>
        <w:t>Arts</w:t>
      </w:r>
      <w:r w:rsidRPr="00E61D8C">
        <w:t xml:space="preserve"> activities</w:t>
      </w:r>
      <w:r w:rsidR="008C2939" w:rsidRPr="00E61D8C">
        <w:t xml:space="preserve"> (recurrent and capital)</w:t>
      </w:r>
      <w:r w:rsidRPr="00E61D8C">
        <w:t xml:space="preserve"> rose </w:t>
      </w:r>
      <w:r w:rsidR="00A13557" w:rsidRPr="00E61D8C">
        <w:t>12</w:t>
      </w:r>
      <w:r w:rsidRPr="00E61D8C">
        <w:t xml:space="preserve">% (or </w:t>
      </w:r>
      <w:r w:rsidR="00B9434E" w:rsidRPr="00E61D8C">
        <w:t>$184.5m</w:t>
      </w:r>
      <w:r w:rsidRPr="00E61D8C">
        <w:t>) to $1</w:t>
      </w:r>
      <w:r w:rsidR="00CB178B" w:rsidRPr="00E61D8C">
        <w:t>,</w:t>
      </w:r>
      <w:r w:rsidR="00A13557" w:rsidRPr="00E61D8C">
        <w:t>707.8</w:t>
      </w:r>
      <w:r w:rsidRPr="00E61D8C">
        <w:t xml:space="preserve">m. </w:t>
      </w:r>
    </w:p>
    <w:p w:rsidR="00B06463" w:rsidRPr="00E61D8C" w:rsidRDefault="00B06463" w:rsidP="00B06463">
      <w:r w:rsidRPr="00E61D8C">
        <w:t xml:space="preserve">The main contributors to this </w:t>
      </w:r>
      <w:r w:rsidR="008C2939" w:rsidRPr="00E61D8C">
        <w:t>increase</w:t>
      </w:r>
      <w:r w:rsidRPr="00E61D8C">
        <w:t xml:space="preserve"> were </w:t>
      </w:r>
      <w:r w:rsidR="00A13557" w:rsidRPr="00E61D8C">
        <w:rPr>
          <w:i/>
        </w:rPr>
        <w:t>Music</w:t>
      </w:r>
      <w:r w:rsidRPr="00E61D8C">
        <w:t xml:space="preserve"> (↑$</w:t>
      </w:r>
      <w:r w:rsidR="00A13557" w:rsidRPr="00E61D8C">
        <w:t>89.1</w:t>
      </w:r>
      <w:r w:rsidRPr="00E61D8C">
        <w:t>m),</w:t>
      </w:r>
      <w:r w:rsidR="005663C5" w:rsidRPr="00E61D8C">
        <w:t xml:space="preserve"> </w:t>
      </w:r>
      <w:r w:rsidR="000E5975">
        <w:t xml:space="preserve">and </w:t>
      </w:r>
      <w:r w:rsidRPr="00E61D8C">
        <w:rPr>
          <w:i/>
        </w:rPr>
        <w:t>Mu</w:t>
      </w:r>
      <w:r w:rsidR="00A13557" w:rsidRPr="00E61D8C">
        <w:rPr>
          <w:i/>
        </w:rPr>
        <w:t>sic theatre and opera</w:t>
      </w:r>
      <w:r w:rsidRPr="00E61D8C">
        <w:t xml:space="preserve"> (↑$</w:t>
      </w:r>
      <w:r w:rsidR="00A13557" w:rsidRPr="00E61D8C">
        <w:t>66.1</w:t>
      </w:r>
      <w:r w:rsidRPr="00E61D8C">
        <w:t>m)</w:t>
      </w:r>
      <w:r w:rsidR="000E5975">
        <w:t xml:space="preserve">, </w:t>
      </w:r>
      <w:r w:rsidR="00523EDD">
        <w:t>with the majority coming from New South Wales</w:t>
      </w:r>
      <w:r w:rsidR="00A13557" w:rsidRPr="00E61D8C">
        <w:t xml:space="preserve">. </w:t>
      </w:r>
      <w:r w:rsidR="00A13557" w:rsidRPr="00E61D8C">
        <w:rPr>
          <w:lang w:eastAsia="en-US"/>
        </w:rPr>
        <w:t xml:space="preserve">There were also increases in </w:t>
      </w:r>
      <w:r w:rsidR="00A13557" w:rsidRPr="00E61D8C">
        <w:rPr>
          <w:i/>
          <w:iCs/>
        </w:rPr>
        <w:t>Design</w:t>
      </w:r>
      <w:r w:rsidR="008025B8" w:rsidRPr="00E61D8C">
        <w:t xml:space="preserve"> </w:t>
      </w:r>
      <w:r w:rsidR="005663C5" w:rsidRPr="00E61D8C">
        <w:t>(↑$</w:t>
      </w:r>
      <w:r w:rsidR="00A13557" w:rsidRPr="00E61D8C">
        <w:t>16.2</w:t>
      </w:r>
      <w:r w:rsidR="005663C5" w:rsidRPr="00E61D8C">
        <w:t>m)</w:t>
      </w:r>
      <w:r w:rsidR="00F15C92" w:rsidRPr="00E61D8C">
        <w:t xml:space="preserve"> and </w:t>
      </w:r>
      <w:r w:rsidR="00F15C92" w:rsidRPr="00E61D8C">
        <w:rPr>
          <w:i/>
        </w:rPr>
        <w:t xml:space="preserve">Film and video production and distribution </w:t>
      </w:r>
      <w:r w:rsidR="00F15C92" w:rsidRPr="00E61D8C">
        <w:t xml:space="preserve">(↑$13.8m). Funding for </w:t>
      </w:r>
      <w:r w:rsidR="00F15C92" w:rsidRPr="00E61D8C">
        <w:rPr>
          <w:i/>
        </w:rPr>
        <w:t>Performing arts venues</w:t>
      </w:r>
      <w:r w:rsidRPr="00E61D8C">
        <w:rPr>
          <w:i/>
        </w:rPr>
        <w:t xml:space="preserve"> </w:t>
      </w:r>
      <w:r w:rsidRPr="00E61D8C">
        <w:t>dropped</w:t>
      </w:r>
      <w:r w:rsidR="003C5AF8" w:rsidRPr="00E61D8C">
        <w:t xml:space="preserve"> by </w:t>
      </w:r>
      <w:r w:rsidR="003C5AF8" w:rsidRPr="00E61D8C">
        <w:rPr>
          <w:iCs/>
        </w:rPr>
        <w:t>$</w:t>
      </w:r>
      <w:r w:rsidR="00F15C92" w:rsidRPr="00E61D8C">
        <w:rPr>
          <w:iCs/>
        </w:rPr>
        <w:t>56.0</w:t>
      </w:r>
      <w:r w:rsidR="003C5AF8" w:rsidRPr="00E61D8C">
        <w:rPr>
          <w:iCs/>
        </w:rPr>
        <w:t>m</w:t>
      </w:r>
      <w:r w:rsidR="00523EDD">
        <w:t>.</w:t>
      </w:r>
    </w:p>
    <w:p w:rsidR="003C5AF8" w:rsidRDefault="00B06463" w:rsidP="00B06463">
      <w:pPr>
        <w:pStyle w:val="Tablefigureheading"/>
      </w:pPr>
      <w:bookmarkStart w:id="5" w:name="_Toc524533024"/>
      <w:r w:rsidRPr="00E61D8C">
        <w:t>Figure 3. State and territory government arts expenditure</w:t>
      </w:r>
      <w:r w:rsidR="00A62E73" w:rsidRPr="00E61D8C">
        <w:t xml:space="preserve"> (recurrent and capital)</w:t>
      </w:r>
      <w:r w:rsidRPr="00E61D8C">
        <w:t>, by selected categories</w:t>
      </w:r>
      <w:bookmarkEnd w:id="5"/>
    </w:p>
    <w:p w:rsidR="00197A53" w:rsidRPr="00197A53" w:rsidRDefault="00197A53" w:rsidP="00197A53">
      <w:pPr>
        <w:rPr>
          <w:lang w:eastAsia="en-US"/>
        </w:rPr>
      </w:pPr>
      <w:r>
        <w:rPr>
          <w:noProof/>
        </w:rPr>
        <w:drawing>
          <wp:inline distT="0" distB="0" distL="0" distR="0" wp14:anchorId="135BFB2D" wp14:editId="05BD172C">
            <wp:extent cx="4867275" cy="2581275"/>
            <wp:effectExtent l="0" t="0" r="0" b="0"/>
            <wp:docPr id="2" name="Chart 2" descr="Figure 3. State and territory government arts expenditure (recurrent and capital), by selected categories.&#10;&#10;A column graph compares expenditure across selected arts categories of Music, Music theatre &amp; opera, Performing arts venues, Film &amp; video production &amp; distribution, Arts education, Multi-arts festivals and Arts administration between the financial years of  2019-20, 2020-12 and 2021-22 for State and territory government.&#10;&#10;2019-20: Music $77.4m, Music theatre &amp; opera $20.4m, Performing arts venues $411.9m, Film &amp; video production &amp; distribution $138.1m, Arts education $136.2m, Multi-arts festivals $56.0m, Arts administration $116.7m&#10;2020-21: Music $108.7m, Music theatre &amp; opera $22.6m, Performing arts venues $510.9m, Film &amp; video production &amp; distribution $161.6m, Arts education $176.2m, Multi-arts festivals $99.5m, Arts administration $89.3m.&#10;2021-22: Music $197.8m, Music theatre &amp; opera $88.7m, Performing arts venues $454.9m, Film &amp; video production &amp; distribution $175.4m, Arts education $184.5m, Multi-arts festivals $110.4m, Arts administration $99.5m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06463" w:rsidRPr="00E61D8C" w:rsidRDefault="00B06463" w:rsidP="00B06463">
      <w:r w:rsidRPr="00E61D8C">
        <w:t xml:space="preserve">The highest amount of state and territory government </w:t>
      </w:r>
      <w:r w:rsidRPr="00E61D8C">
        <w:rPr>
          <w:i/>
        </w:rPr>
        <w:t>Arts</w:t>
      </w:r>
      <w:r w:rsidRPr="00E61D8C">
        <w:t xml:space="preserve"> expenditure was for </w:t>
      </w:r>
      <w:r w:rsidRPr="00E61D8C">
        <w:rPr>
          <w:i/>
        </w:rPr>
        <w:t>Performing arts venues</w:t>
      </w:r>
      <w:r w:rsidRPr="00E61D8C">
        <w:t xml:space="preserve"> ($</w:t>
      </w:r>
      <w:r w:rsidR="00A62E73" w:rsidRPr="00E61D8C">
        <w:t>454.9</w:t>
      </w:r>
      <w:r w:rsidRPr="00E61D8C">
        <w:t xml:space="preserve">m), with the governments of </w:t>
      </w:r>
      <w:r w:rsidR="00A62E73" w:rsidRPr="00E61D8C">
        <w:t>Victoria</w:t>
      </w:r>
      <w:r w:rsidRPr="00E61D8C">
        <w:t xml:space="preserve"> ($1</w:t>
      </w:r>
      <w:r w:rsidR="00A62E73" w:rsidRPr="00E61D8C">
        <w:t>60.0</w:t>
      </w:r>
      <w:r w:rsidRPr="00E61D8C">
        <w:t>m or 3</w:t>
      </w:r>
      <w:r w:rsidR="00A62E73" w:rsidRPr="00E61D8C">
        <w:t>5</w:t>
      </w:r>
      <w:r w:rsidRPr="00E61D8C">
        <w:t xml:space="preserve">%) and </w:t>
      </w:r>
      <w:r w:rsidR="00A62E73" w:rsidRPr="00E61D8C">
        <w:t>Queensland</w:t>
      </w:r>
      <w:r w:rsidRPr="00E61D8C">
        <w:t xml:space="preserve"> ($</w:t>
      </w:r>
      <w:r w:rsidR="00A62E73" w:rsidRPr="00E61D8C">
        <w:t>120.7</w:t>
      </w:r>
      <w:r w:rsidRPr="00E61D8C">
        <w:t xml:space="preserve">m or </w:t>
      </w:r>
      <w:r w:rsidR="00A62E73" w:rsidRPr="00E61D8C">
        <w:t>27</w:t>
      </w:r>
      <w:r w:rsidRPr="00E61D8C">
        <w:t xml:space="preserve">%) contributing most of the funding </w:t>
      </w:r>
      <w:r w:rsidR="00862BAB" w:rsidRPr="00E61D8C">
        <w:t>to</w:t>
      </w:r>
      <w:r w:rsidRPr="00E61D8C">
        <w:t xml:space="preserve"> this category.</w:t>
      </w:r>
    </w:p>
    <w:p w:rsidR="00B06463" w:rsidRPr="00E61D8C" w:rsidRDefault="00B06463" w:rsidP="00674627">
      <w:pPr>
        <w:keepNext/>
        <w:spacing w:after="0"/>
      </w:pPr>
      <w:r w:rsidRPr="00E61D8C">
        <w:t xml:space="preserve">Other main categories of </w:t>
      </w:r>
      <w:r w:rsidRPr="00E61D8C">
        <w:rPr>
          <w:i/>
        </w:rPr>
        <w:t>Arts</w:t>
      </w:r>
      <w:r w:rsidRPr="00E61D8C">
        <w:t xml:space="preserve"> activities funding were:</w:t>
      </w:r>
    </w:p>
    <w:p w:rsidR="00B06463" w:rsidRPr="00E61D8C" w:rsidRDefault="00A62E73" w:rsidP="00674627">
      <w:pPr>
        <w:pStyle w:val="Bulletlevel1"/>
        <w:numPr>
          <w:ilvl w:val="0"/>
          <w:numId w:val="12"/>
        </w:numPr>
        <w:spacing w:after="0"/>
        <w:ind w:left="567" w:hanging="567"/>
      </w:pPr>
      <w:r w:rsidRPr="00E61D8C">
        <w:rPr>
          <w:i/>
        </w:rPr>
        <w:t>Music</w:t>
      </w:r>
      <w:r w:rsidR="00B06463" w:rsidRPr="00E61D8C">
        <w:t>—$1</w:t>
      </w:r>
      <w:r w:rsidRPr="00E61D8C">
        <w:t>97.8</w:t>
      </w:r>
      <w:r w:rsidR="00B06463" w:rsidRPr="00E61D8C">
        <w:t>m</w:t>
      </w:r>
    </w:p>
    <w:p w:rsidR="00B06463" w:rsidRPr="00E61D8C" w:rsidRDefault="00A62E7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Arts education</w:t>
      </w:r>
      <w:r w:rsidR="00B06463" w:rsidRPr="00E61D8C">
        <w:t>—$</w:t>
      </w:r>
      <w:r w:rsidRPr="00E61D8C">
        <w:t>184.5</w:t>
      </w:r>
      <w:r w:rsidR="00B06463" w:rsidRPr="00E61D8C">
        <w:t>m</w:t>
      </w:r>
    </w:p>
    <w:p w:rsidR="00B06463" w:rsidRPr="00E61D8C" w:rsidRDefault="00A62E7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Film and video production and distribution</w:t>
      </w:r>
      <w:r w:rsidR="00B06463" w:rsidRPr="00E61D8C">
        <w:t>—$1</w:t>
      </w:r>
      <w:r w:rsidRPr="00E61D8C">
        <w:t>75.4</w:t>
      </w:r>
      <w:r w:rsidR="00B06463" w:rsidRPr="00E61D8C">
        <w:t>m</w:t>
      </w:r>
    </w:p>
    <w:p w:rsidR="00B06463" w:rsidRPr="00E61D8C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Multi-arts festivals</w:t>
      </w:r>
      <w:r w:rsidRPr="00E61D8C">
        <w:t>—$</w:t>
      </w:r>
      <w:r w:rsidR="001413E0" w:rsidRPr="00E61D8C">
        <w:t>110.4</w:t>
      </w:r>
      <w:r w:rsidRPr="00E61D8C">
        <w:t>m</w:t>
      </w:r>
    </w:p>
    <w:p w:rsidR="00B06463" w:rsidRPr="00E61D8C" w:rsidRDefault="001413E0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Music theatre and opera</w:t>
      </w:r>
      <w:r w:rsidR="00B06463" w:rsidRPr="00E61D8C">
        <w:rPr>
          <w:i/>
        </w:rPr>
        <w:t xml:space="preserve"> </w:t>
      </w:r>
      <w:r w:rsidR="00B06463" w:rsidRPr="00E61D8C">
        <w:t>—$</w:t>
      </w:r>
      <w:r w:rsidRPr="00E61D8C">
        <w:t>88.7</w:t>
      </w:r>
      <w:r w:rsidR="00B06463" w:rsidRPr="00E61D8C">
        <w:t>m.</w:t>
      </w:r>
    </w:p>
    <w:p w:rsidR="00B06463" w:rsidRPr="00F0060F" w:rsidRDefault="00B06463" w:rsidP="00B06463">
      <w:pPr>
        <w:pStyle w:val="Heading3"/>
        <w:rPr>
          <w:color w:val="5860B0" w:themeColor="accent3" w:themeShade="BF"/>
        </w:rPr>
      </w:pPr>
      <w:bookmarkStart w:id="6" w:name="_Hlk11224443"/>
      <w:bookmarkStart w:id="7" w:name="_Hlk109913824"/>
      <w:r>
        <w:t>Recurrent expenditure</w:t>
      </w:r>
    </w:p>
    <w:bookmarkEnd w:id="6"/>
    <w:p w:rsidR="00B06463" w:rsidRPr="00E61D8C" w:rsidRDefault="00B06463" w:rsidP="00B06463">
      <w:r w:rsidRPr="00E61D8C">
        <w:t>Total recurrent expenditure rose 1</w:t>
      </w:r>
      <w:r w:rsidR="001413E0" w:rsidRPr="00E61D8C">
        <w:t>1</w:t>
      </w:r>
      <w:r w:rsidRPr="00E61D8C">
        <w:t>% (or $</w:t>
      </w:r>
      <w:r w:rsidR="001413E0" w:rsidRPr="00E61D8C">
        <w:t>254.2</w:t>
      </w:r>
      <w:r w:rsidRPr="00E61D8C">
        <w:t>m) to $2,</w:t>
      </w:r>
      <w:r w:rsidR="001413E0" w:rsidRPr="00E61D8C">
        <w:t>551.3</w:t>
      </w:r>
      <w:r w:rsidRPr="00E61D8C">
        <w:t>m and accounted for 7</w:t>
      </w:r>
      <w:r w:rsidR="001413E0" w:rsidRPr="00E61D8C">
        <w:t>7</w:t>
      </w:r>
      <w:r w:rsidRPr="00E61D8C">
        <w:t>% of total funded cultural expenditure. This includes $</w:t>
      </w:r>
      <w:r w:rsidR="002618A0" w:rsidRPr="00E61D8C">
        <w:t>436.3</w:t>
      </w:r>
      <w:r w:rsidRPr="00E61D8C">
        <w:t>m in COVID support funding.</w:t>
      </w:r>
      <w:r w:rsidRPr="00E61D8C">
        <w:rPr>
          <w:rStyle w:val="FootnoteReference"/>
        </w:rPr>
        <w:footnoteReference w:id="5"/>
      </w:r>
    </w:p>
    <w:p w:rsidR="00B06463" w:rsidRPr="00E61D8C" w:rsidRDefault="00B06463" w:rsidP="00B06463">
      <w:r w:rsidRPr="00E61D8C">
        <w:t xml:space="preserve">The </w:t>
      </w:r>
      <w:r w:rsidR="00FB4CF2" w:rsidRPr="00E61D8C">
        <w:t>highest</w:t>
      </w:r>
      <w:r w:rsidRPr="00E61D8C">
        <w:t xml:space="preserve"> recurrent expenditure was for </w:t>
      </w:r>
      <w:r w:rsidR="001413E0" w:rsidRPr="00E61D8C">
        <w:rPr>
          <w:i/>
        </w:rPr>
        <w:t>Other museums and cultural heritage</w:t>
      </w:r>
      <w:r w:rsidRPr="00E61D8C">
        <w:t xml:space="preserve"> with $4</w:t>
      </w:r>
      <w:r w:rsidR="001413E0" w:rsidRPr="00E61D8C">
        <w:t>28.5</w:t>
      </w:r>
      <w:r w:rsidRPr="00E61D8C">
        <w:t>m.</w:t>
      </w:r>
    </w:p>
    <w:p w:rsidR="00B06463" w:rsidRPr="00E61D8C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E61D8C">
        <w:t xml:space="preserve">The </w:t>
      </w:r>
      <w:r w:rsidR="00E43238" w:rsidRPr="00E61D8C">
        <w:t>New South Wales</w:t>
      </w:r>
      <w:r w:rsidRPr="00E61D8C">
        <w:t xml:space="preserve"> Government spent the most recurrent dollars on </w:t>
      </w:r>
      <w:r w:rsidR="00E43238" w:rsidRPr="00E61D8C">
        <w:rPr>
          <w:i/>
        </w:rPr>
        <w:t>Other museums and cultural heritage</w:t>
      </w:r>
      <w:r w:rsidRPr="00E61D8C">
        <w:t xml:space="preserve"> (</w:t>
      </w:r>
      <w:r w:rsidR="00804D0A" w:rsidRPr="00E61D8C">
        <w:t>$152.1m</w:t>
      </w:r>
      <w:r w:rsidRPr="00E61D8C">
        <w:t>).</w:t>
      </w:r>
    </w:p>
    <w:p w:rsidR="00B06463" w:rsidRPr="00E61D8C" w:rsidRDefault="006271CB" w:rsidP="00B06463">
      <w:pPr>
        <w:pStyle w:val="bullets-arrows"/>
        <w:numPr>
          <w:ilvl w:val="0"/>
          <w:numId w:val="6"/>
        </w:numPr>
        <w:ind w:left="567" w:hanging="567"/>
      </w:pPr>
      <w:r w:rsidRPr="00E61D8C">
        <w:t>Half of the s</w:t>
      </w:r>
      <w:r w:rsidR="00B06463" w:rsidRPr="00E61D8C">
        <w:t xml:space="preserve">tate and territory governments (except New South Wales, Western </w:t>
      </w:r>
      <w:r w:rsidR="00F4428E" w:rsidRPr="00E61D8C">
        <w:t>Australia,</w:t>
      </w:r>
      <w:r w:rsidR="00B06463" w:rsidRPr="00E61D8C">
        <w:t xml:space="preserve"> </w:t>
      </w:r>
      <w:r w:rsidRPr="00E61D8C">
        <w:t xml:space="preserve">Northern Territory </w:t>
      </w:r>
      <w:r w:rsidR="00B06463" w:rsidRPr="00E61D8C">
        <w:t xml:space="preserve">and </w:t>
      </w:r>
      <w:r w:rsidRPr="00E61D8C">
        <w:t>Australian Capital Territory</w:t>
      </w:r>
      <w:r w:rsidR="00B06463" w:rsidRPr="00E61D8C">
        <w:t xml:space="preserve">) spent the </w:t>
      </w:r>
      <w:r w:rsidR="005C5D70" w:rsidRPr="00E61D8C">
        <w:t>largest p</w:t>
      </w:r>
      <w:r w:rsidR="001412C6" w:rsidRPr="00E61D8C">
        <w:t>roportion</w:t>
      </w:r>
      <w:r w:rsidR="00B06463" w:rsidRPr="00E61D8C">
        <w:t xml:space="preserve"> of their recurrent expenditure on </w:t>
      </w:r>
      <w:r w:rsidR="00B06463" w:rsidRPr="00E61D8C">
        <w:rPr>
          <w:i/>
          <w:iCs/>
        </w:rPr>
        <w:t>Libraries</w:t>
      </w:r>
      <w:r w:rsidR="00B06463" w:rsidRPr="00E61D8C">
        <w:t xml:space="preserve">. </w:t>
      </w:r>
      <w:r w:rsidR="00572F10" w:rsidRPr="00E61D8C">
        <w:t xml:space="preserve">The total recurrent spend on Libraries across all state and territory governments was $399.6m. </w:t>
      </w:r>
      <w:r w:rsidR="00B06463" w:rsidRPr="00E61D8C">
        <w:t xml:space="preserve">Tasmania had the highest </w:t>
      </w:r>
      <w:r w:rsidR="00572F10" w:rsidRPr="00E61D8C">
        <w:t xml:space="preserve">proportion </w:t>
      </w:r>
      <w:r w:rsidR="00B06463" w:rsidRPr="00E61D8C">
        <w:t>with 4</w:t>
      </w:r>
      <w:r w:rsidRPr="00E61D8C">
        <w:t>5</w:t>
      </w:r>
      <w:r w:rsidR="00B06463" w:rsidRPr="00E61D8C">
        <w:t>%.</w:t>
      </w:r>
    </w:p>
    <w:p w:rsidR="00B06463" w:rsidRPr="00E61D8C" w:rsidRDefault="00B06463" w:rsidP="00F4428E">
      <w:pPr>
        <w:spacing w:after="0"/>
      </w:pPr>
      <w:bookmarkStart w:id="8" w:name="_Hlk11224479"/>
      <w:r w:rsidRPr="00E61D8C">
        <w:t>Other main categories of recurrent expenditure were:</w:t>
      </w:r>
    </w:p>
    <w:p w:rsidR="00B06463" w:rsidRPr="00E61D8C" w:rsidRDefault="006271CB" w:rsidP="00F4428E">
      <w:pPr>
        <w:pStyle w:val="Bulletlevel1"/>
        <w:numPr>
          <w:ilvl w:val="0"/>
          <w:numId w:val="12"/>
        </w:numPr>
        <w:spacing w:after="0"/>
        <w:ind w:left="567" w:hanging="567"/>
      </w:pPr>
      <w:r w:rsidRPr="00E61D8C">
        <w:rPr>
          <w:i/>
        </w:rPr>
        <w:t xml:space="preserve">Art </w:t>
      </w:r>
      <w:r w:rsidR="00B06463" w:rsidRPr="00E61D8C">
        <w:rPr>
          <w:i/>
        </w:rPr>
        <w:t>museums</w:t>
      </w:r>
      <w:r w:rsidR="00B06463" w:rsidRPr="00E61D8C">
        <w:t>—$</w:t>
      </w:r>
      <w:r w:rsidR="00572F10" w:rsidRPr="00E61D8C">
        <w:t>247.7</w:t>
      </w:r>
      <w:r w:rsidR="00B06463" w:rsidRPr="00E61D8C">
        <w:t>m</w:t>
      </w:r>
    </w:p>
    <w:p w:rsidR="00B06463" w:rsidRPr="00E61D8C" w:rsidRDefault="00B06463" w:rsidP="00B06463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Performing arts venues</w:t>
      </w:r>
      <w:r w:rsidRPr="00E61D8C">
        <w:t>—$2</w:t>
      </w:r>
      <w:r w:rsidR="00572F10" w:rsidRPr="00E61D8C">
        <w:t>05.9</w:t>
      </w:r>
      <w:r w:rsidRPr="00E61D8C">
        <w:t>m</w:t>
      </w:r>
    </w:p>
    <w:p w:rsidR="003C5AF8" w:rsidRPr="00E61D8C" w:rsidRDefault="00572F10" w:rsidP="003C5AF8">
      <w:pPr>
        <w:pStyle w:val="Bulletlevel1"/>
        <w:numPr>
          <w:ilvl w:val="0"/>
          <w:numId w:val="12"/>
        </w:numPr>
        <w:spacing w:before="240"/>
        <w:ind w:left="567" w:hanging="567"/>
      </w:pPr>
      <w:r w:rsidRPr="00E61D8C">
        <w:rPr>
          <w:i/>
        </w:rPr>
        <w:t>Music</w:t>
      </w:r>
      <w:r w:rsidR="003C5AF8" w:rsidRPr="00E61D8C">
        <w:t>—$</w:t>
      </w:r>
      <w:r w:rsidRPr="00E61D8C">
        <w:t>197.2</w:t>
      </w:r>
      <w:r w:rsidR="003C5AF8" w:rsidRPr="00E61D8C">
        <w:t>m</w:t>
      </w:r>
      <w:r w:rsidR="00E61D8C" w:rsidRPr="00E61D8C">
        <w:t>.</w:t>
      </w:r>
    </w:p>
    <w:bookmarkEnd w:id="7"/>
    <w:bookmarkEnd w:id="8"/>
    <w:p w:rsidR="00572F10" w:rsidRPr="00E61D8C" w:rsidRDefault="00B06463" w:rsidP="00B06463">
      <w:pPr>
        <w:pStyle w:val="Tablefigureheading"/>
      </w:pPr>
      <w:r w:rsidRPr="00E61D8C">
        <w:t>Figure 4. State and territory government recurrent cultural expenditure, by selected categories</w:t>
      </w:r>
    </w:p>
    <w:p w:rsidR="00B06463" w:rsidRDefault="00572F10" w:rsidP="00B06463">
      <w:pPr>
        <w:pStyle w:val="Tablefigureheading"/>
      </w:pPr>
      <w:r>
        <w:rPr>
          <w:noProof/>
        </w:rPr>
        <w:drawing>
          <wp:inline distT="0" distB="0" distL="0" distR="0" wp14:anchorId="77E2CB59" wp14:editId="3BD202FC">
            <wp:extent cx="5038725" cy="2581275"/>
            <wp:effectExtent l="0" t="0" r="0" b="0"/>
            <wp:docPr id="4" name="Chart 4" descr="Figure 4. State and territory government recurrent cultural expenditure, by selected categories.&#10;&#10;A bar graph compares expenditure across selected arts categories of Art museums, Other museums &amp; cultural heritage, Libraries, Music, Music theatre &amp; opera, Performing arts venues, Film &amp; video production &amp; distribution, Arts education and Multi-arts festivals between the financial years of 2019-20, 2020-21 and 2021-22 for State and territory government.&#10;&#10;2019-20: Art museums $214.9m, Other museums &amp; cultural heritage $373.2m, Libraries $440.6m, Music$70.3m, Music theatre &amp; opera $20.4m, Performing arts venues $156.1m, Film &amp; video production &amp; distribution $109.7m, Arts education $136.1m and Multi-arts festivals $56.0m.&#10;2020-21: Art museums $254.3m, Other museums &amp; cultural heritage $399.9m, Libraries $409.3m, Music$106.5m, Music theatre &amp; opera $22.6m, Performing arts venues $277.5m, Film &amp; video production &amp; distribution $119.7m, Arts education $175.5m and Multi-arts festivals $99.4m.&#10;2021-22: Art museums $247.7m, Other museums &amp; cultural heritage $428.5m, Libraries $399.6m, Music$197.2m, Music theatre &amp; opera $88.7m, Performing arts venues $205.9m, Film &amp; video production &amp; distribution $169.2m, Arts education $183.9m and Multi-arts festivals $110.3m.">
              <a:extLst xmlns:a="http://schemas.openxmlformats.org/drawingml/2006/main">
                <a:ext uri="{FF2B5EF4-FFF2-40B4-BE49-F238E27FC236}">
                  <a16:creationId xmlns:a16="http://schemas.microsoft.com/office/drawing/2014/main" id="{AA6B60DD-538B-471C-AA8C-F5A1162927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B06463" w:rsidRPr="00B47579">
        <w:t xml:space="preserve"> </w:t>
      </w:r>
    </w:p>
    <w:p w:rsidR="00B06463" w:rsidRPr="005834B9" w:rsidRDefault="00B06463" w:rsidP="00B06463">
      <w:pPr>
        <w:rPr>
          <w:lang w:eastAsia="en-US"/>
        </w:rPr>
      </w:pPr>
      <w:r w:rsidRPr="005834B9">
        <w:t>The</w:t>
      </w:r>
      <w:r w:rsidR="00572F10" w:rsidRPr="005834B9">
        <w:t xml:space="preserve"> New South Wales</w:t>
      </w:r>
      <w:r w:rsidRPr="005834B9">
        <w:t xml:space="preserve"> Government had the highest estimate of recurrent </w:t>
      </w:r>
      <w:r w:rsidRPr="00505B19">
        <w:t>expenditure with $</w:t>
      </w:r>
      <w:r w:rsidR="00572F10" w:rsidRPr="00505B19">
        <w:t>815.7m</w:t>
      </w:r>
      <w:r w:rsidRPr="00505B19">
        <w:t>.</w:t>
      </w:r>
    </w:p>
    <w:p w:rsidR="00B06463" w:rsidRPr="00E61D8C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E61D8C">
        <w:t xml:space="preserve">The New South Wales Government had the highest recurrent expenditure on </w:t>
      </w:r>
      <w:r w:rsidRPr="00E61D8C">
        <w:rPr>
          <w:i/>
        </w:rPr>
        <w:t>Heritage</w:t>
      </w:r>
      <w:r w:rsidRPr="00E61D8C">
        <w:t xml:space="preserve"> activities ($</w:t>
      </w:r>
      <w:r w:rsidR="00572F10" w:rsidRPr="00E61D8C">
        <w:t>304.7</w:t>
      </w:r>
      <w:r w:rsidRPr="00E61D8C">
        <w:t>m).</w:t>
      </w:r>
    </w:p>
    <w:p w:rsidR="00B06463" w:rsidRPr="00E61D8C" w:rsidRDefault="00572F10" w:rsidP="00B06463">
      <w:pPr>
        <w:pStyle w:val="bullets-arrows"/>
        <w:numPr>
          <w:ilvl w:val="0"/>
          <w:numId w:val="6"/>
        </w:numPr>
        <w:ind w:left="567" w:hanging="567"/>
      </w:pPr>
      <w:r w:rsidRPr="00E61D8C">
        <w:t xml:space="preserve">The New South Wales Government </w:t>
      </w:r>
      <w:r w:rsidR="00B06463" w:rsidRPr="00E61D8C">
        <w:t xml:space="preserve">had the highest recurrent expenditure on </w:t>
      </w:r>
      <w:r w:rsidR="00B06463" w:rsidRPr="00E61D8C">
        <w:rPr>
          <w:i/>
        </w:rPr>
        <w:t>Arts</w:t>
      </w:r>
      <w:r w:rsidR="00B06463" w:rsidRPr="00E61D8C">
        <w:t xml:space="preserve"> activities ($</w:t>
      </w:r>
      <w:r w:rsidRPr="00E61D8C">
        <w:t>505.1</w:t>
      </w:r>
      <w:r w:rsidR="00B06463" w:rsidRPr="00E61D8C">
        <w:t>m).</w:t>
      </w:r>
    </w:p>
    <w:p w:rsidR="00C96703" w:rsidRPr="00E61D8C" w:rsidRDefault="00B06463" w:rsidP="00B06463">
      <w:pPr>
        <w:pStyle w:val="Tablefigureheading"/>
      </w:pPr>
      <w:bookmarkStart w:id="9" w:name="_Toc524532998"/>
      <w:r w:rsidRPr="00E61D8C">
        <w:t xml:space="preserve">Figure 5. State and territory governments recurrent cultural expenditure(a)(b), heritage and </w:t>
      </w:r>
    </w:p>
    <w:p w:rsidR="00B06463" w:rsidRPr="00E61D8C" w:rsidRDefault="00B06463" w:rsidP="00B06463">
      <w:pPr>
        <w:pStyle w:val="Tablefigureheading"/>
      </w:pPr>
      <w:r w:rsidRPr="00E61D8C">
        <w:t>arts—202</w:t>
      </w:r>
      <w:r w:rsidR="00572F10" w:rsidRPr="00E61D8C">
        <w:t>1</w:t>
      </w:r>
      <w:r w:rsidRPr="00E61D8C">
        <w:t>–</w:t>
      </w:r>
      <w:bookmarkEnd w:id="9"/>
      <w:r w:rsidRPr="00E61D8C">
        <w:t>2</w:t>
      </w:r>
      <w:r w:rsidR="00572F10" w:rsidRPr="00E61D8C">
        <w:t>2</w:t>
      </w:r>
    </w:p>
    <w:p w:rsidR="00572F10" w:rsidRPr="00572F10" w:rsidRDefault="00572F10" w:rsidP="00572F10">
      <w:pPr>
        <w:rPr>
          <w:lang w:eastAsia="en-US"/>
        </w:rPr>
      </w:pPr>
      <w:r>
        <w:rPr>
          <w:noProof/>
        </w:rPr>
        <w:drawing>
          <wp:inline distT="0" distB="0" distL="0" distR="0" wp14:anchorId="553B5B48" wp14:editId="04094DA9">
            <wp:extent cx="4914900" cy="2638425"/>
            <wp:effectExtent l="0" t="0" r="0" b="0"/>
            <wp:docPr id="8" name="Chart 8" descr="Figure 5. State and territory governments recurrent cultural expenditure, heritage and arts, by state and territory, 2021-22.&#10;&#10;A column graph compares recurrent cultural expenditure across heritage and arts by state and territory;&#10;NSW: Heritage $304.7m, Arts $505.1m, Total $815.7m&#10;Victoria: Heritage $262.8m, Arts $312.0m, Total $574.8m&#10;Qld: Heritage $211.4m, Arts $190.9m, Total $402.3m&#10;SA: Heritage $83.6m, Arts $159.8m, Total $243.5m&#10;WA: Heritage $124.1m, Arts $134.5m, Total $274.8m&#10;Tas: Heritage $65.0m, Arts $27.9m, Total $92.9m&#10;NT: Heritage $36.2m, Arts $36.7m, Total 72.9m&#10;ACT: Heritage $39.6m, Arts $34.7m, Total $74.3m&#10;&#10;">
              <a:extLst xmlns:a="http://schemas.openxmlformats.org/drawingml/2006/main">
                <a:ext uri="{FF2B5EF4-FFF2-40B4-BE49-F238E27FC236}">
                  <a16:creationId xmlns:a16="http://schemas.microsoft.com/office/drawing/2014/main" id="{18712FC7-796E-47CD-AA9E-F441F86CFA3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6463" w:rsidRDefault="00B06463" w:rsidP="00784525">
      <w:pPr>
        <w:pStyle w:val="Sourcenote"/>
        <w:numPr>
          <w:ilvl w:val="0"/>
          <w:numId w:val="9"/>
        </w:numPr>
        <w:spacing w:after="0"/>
      </w:pPr>
      <w:r w:rsidRPr="00AC6FCD">
        <w:rPr>
          <w:sz w:val="18"/>
          <w:szCs w:val="18"/>
        </w:rPr>
        <w:t>Care should be taken when comparing expenditure between states and territories due to different</w:t>
      </w:r>
      <w:r w:rsidR="00E61D8C">
        <w:rPr>
          <w:sz w:val="18"/>
          <w:szCs w:val="18"/>
        </w:rPr>
        <w:t xml:space="preserve"> </w:t>
      </w:r>
      <w:r w:rsidRPr="00784525">
        <w:rPr>
          <w:sz w:val="18"/>
          <w:szCs w:val="18"/>
        </w:rPr>
        <w:t>administrative arrangements</w:t>
      </w:r>
      <w:r w:rsidRPr="004576DC">
        <w:t>.</w:t>
      </w:r>
    </w:p>
    <w:p w:rsidR="00364D5D" w:rsidRDefault="00B06463" w:rsidP="00784525">
      <w:pPr>
        <w:pStyle w:val="ListParagraph"/>
        <w:numPr>
          <w:ilvl w:val="0"/>
          <w:numId w:val="9"/>
        </w:numPr>
        <w:spacing w:after="0"/>
        <w:rPr>
          <w:sz w:val="18"/>
          <w:szCs w:val="18"/>
        </w:rPr>
      </w:pPr>
      <w:r w:rsidRPr="00CE4866">
        <w:rPr>
          <w:sz w:val="18"/>
          <w:szCs w:val="18"/>
        </w:rPr>
        <w:t xml:space="preserve">Caution should be taken when comparing targeted COVID support funding as the impact of COVID </w:t>
      </w:r>
    </w:p>
    <w:p w:rsidR="00B06463" w:rsidRPr="00364D5D" w:rsidRDefault="00B06463" w:rsidP="00364D5D">
      <w:pPr>
        <w:spacing w:after="0"/>
        <w:ind w:left="720" w:firstLine="360"/>
        <w:rPr>
          <w:sz w:val="18"/>
          <w:szCs w:val="18"/>
        </w:rPr>
      </w:pPr>
      <w:r w:rsidRPr="00364D5D">
        <w:rPr>
          <w:sz w:val="18"/>
          <w:szCs w:val="18"/>
        </w:rPr>
        <w:t>and the response to this impact was different for respective states and territories.</w:t>
      </w:r>
    </w:p>
    <w:p w:rsidR="00784525" w:rsidRDefault="00784525" w:rsidP="00B06463">
      <w:pPr>
        <w:pStyle w:val="Heading3"/>
      </w:pPr>
      <w:bookmarkStart w:id="10" w:name="_Hlk11224558"/>
      <w:bookmarkStart w:id="11" w:name="_Toc524532999"/>
    </w:p>
    <w:p w:rsidR="00B06463" w:rsidRPr="00D35B94" w:rsidRDefault="00B06463" w:rsidP="00B06463">
      <w:pPr>
        <w:pStyle w:val="Heading3"/>
      </w:pPr>
      <w:r>
        <w:t>Capital expenditure</w:t>
      </w:r>
    </w:p>
    <w:p w:rsidR="00B06463" w:rsidRPr="00E61D8C" w:rsidRDefault="00B06463" w:rsidP="00B06463">
      <w:r w:rsidRPr="005834B9">
        <w:t xml:space="preserve">Capital </w:t>
      </w:r>
      <w:r w:rsidRPr="00E61D8C">
        <w:t>expenditure accounted for 2</w:t>
      </w:r>
      <w:r w:rsidR="007B2A7A" w:rsidRPr="00E61D8C">
        <w:t>3</w:t>
      </w:r>
      <w:r w:rsidRPr="00E61D8C">
        <w:t>% ($</w:t>
      </w:r>
      <w:r w:rsidR="007B2A7A" w:rsidRPr="00E61D8C">
        <w:t>774.3</w:t>
      </w:r>
      <w:r w:rsidRPr="00E61D8C">
        <w:t xml:space="preserve">m) of total state and territory funded cultural spending. </w:t>
      </w:r>
    </w:p>
    <w:bookmarkEnd w:id="10"/>
    <w:p w:rsidR="00B06463" w:rsidRPr="00E61D8C" w:rsidRDefault="00B06463" w:rsidP="00B06463">
      <w:pPr>
        <w:pStyle w:val="bullets-arrows"/>
        <w:numPr>
          <w:ilvl w:val="0"/>
          <w:numId w:val="6"/>
        </w:numPr>
        <w:ind w:left="567" w:hanging="567"/>
      </w:pPr>
      <w:r w:rsidRPr="00E61D8C">
        <w:t xml:space="preserve">The largest two categories were </w:t>
      </w:r>
      <w:r w:rsidRPr="00E61D8C">
        <w:rPr>
          <w:i/>
        </w:rPr>
        <w:t>Performing arts venues</w:t>
      </w:r>
      <w:r w:rsidRPr="00E61D8C">
        <w:t xml:space="preserve"> ($2</w:t>
      </w:r>
      <w:r w:rsidR="007B2A7A" w:rsidRPr="00E61D8C">
        <w:t>49.0</w:t>
      </w:r>
      <w:r w:rsidRPr="00E61D8C">
        <w:t>m) and</w:t>
      </w:r>
      <w:r w:rsidR="007B2A7A" w:rsidRPr="00E61D8C">
        <w:t xml:space="preserve"> </w:t>
      </w:r>
      <w:r w:rsidR="007B2A7A" w:rsidRPr="00E61D8C">
        <w:rPr>
          <w:i/>
        </w:rPr>
        <w:t xml:space="preserve">Other </w:t>
      </w:r>
      <w:r w:rsidRPr="00E61D8C">
        <w:rPr>
          <w:i/>
        </w:rPr>
        <w:t>museums</w:t>
      </w:r>
      <w:r w:rsidR="007B2A7A" w:rsidRPr="00E61D8C">
        <w:rPr>
          <w:i/>
        </w:rPr>
        <w:t xml:space="preserve"> and cultural heritage</w:t>
      </w:r>
      <w:r w:rsidRPr="00E61D8C">
        <w:t xml:space="preserve"> ($</w:t>
      </w:r>
      <w:r w:rsidR="007B2A7A" w:rsidRPr="00E61D8C">
        <w:t>200.6</w:t>
      </w:r>
      <w:r w:rsidRPr="00E61D8C">
        <w:t>m).</w:t>
      </w:r>
    </w:p>
    <w:p w:rsidR="00B06463" w:rsidRPr="00B04088" w:rsidRDefault="00B06463" w:rsidP="00B06463">
      <w:r w:rsidRPr="00B04088">
        <w:t xml:space="preserve">The </w:t>
      </w:r>
      <w:r w:rsidR="007B2A7A" w:rsidRPr="00B04088">
        <w:t xml:space="preserve">Victorian </w:t>
      </w:r>
      <w:r w:rsidRPr="00B04088">
        <w:t xml:space="preserve">Government contributed the most capital expenditure for </w:t>
      </w:r>
      <w:r w:rsidRPr="00B04088">
        <w:rPr>
          <w:i/>
        </w:rPr>
        <w:t xml:space="preserve">Performing arts venues </w:t>
      </w:r>
      <w:r w:rsidRPr="00B04088">
        <w:t>($</w:t>
      </w:r>
      <w:r w:rsidR="007B2A7A" w:rsidRPr="00B04088">
        <w:t>90.2</w:t>
      </w:r>
      <w:r w:rsidRPr="00B04088">
        <w:t xml:space="preserve">m or </w:t>
      </w:r>
      <w:r w:rsidR="009C4C5C" w:rsidRPr="00B04088">
        <w:t>36</w:t>
      </w:r>
      <w:r w:rsidR="00B04088" w:rsidRPr="00B04088">
        <w:t>%</w:t>
      </w:r>
      <w:r w:rsidRPr="00B04088">
        <w:t>)</w:t>
      </w:r>
      <w:r w:rsidRPr="00B04088">
        <w:rPr>
          <w:i/>
        </w:rPr>
        <w:t xml:space="preserve"> </w:t>
      </w:r>
      <w:r w:rsidRPr="00B04088">
        <w:t xml:space="preserve">and </w:t>
      </w:r>
      <w:r w:rsidR="007B2A7A" w:rsidRPr="00B04088">
        <w:t xml:space="preserve">the New South Wales Government for </w:t>
      </w:r>
      <w:r w:rsidR="007B2A7A" w:rsidRPr="00B04088">
        <w:rPr>
          <w:i/>
        </w:rPr>
        <w:t>Other museums and cultural heritage</w:t>
      </w:r>
      <w:r w:rsidRPr="00B04088">
        <w:rPr>
          <w:i/>
        </w:rPr>
        <w:t xml:space="preserve"> </w:t>
      </w:r>
      <w:r w:rsidRPr="00B04088">
        <w:rPr>
          <w:iCs/>
        </w:rPr>
        <w:t>(</w:t>
      </w:r>
      <w:r w:rsidRPr="00B04088">
        <w:t>$</w:t>
      </w:r>
      <w:r w:rsidR="007B2A7A" w:rsidRPr="00B04088">
        <w:t>68.3</w:t>
      </w:r>
      <w:r w:rsidRPr="00B04088">
        <w:t xml:space="preserve">m or </w:t>
      </w:r>
      <w:r w:rsidR="007B2A7A" w:rsidRPr="00B04088">
        <w:t>34</w:t>
      </w:r>
      <w:r w:rsidRPr="00B04088">
        <w:t>%).</w:t>
      </w:r>
    </w:p>
    <w:p w:rsidR="00B06463" w:rsidRPr="00F0012F" w:rsidRDefault="00B06463" w:rsidP="00B06463">
      <w:pPr>
        <w:pStyle w:val="Tablefigureheading"/>
        <w:rPr>
          <w:color w:val="00B050"/>
        </w:rPr>
      </w:pPr>
      <w:r w:rsidRPr="00A95C6A">
        <w:t xml:space="preserve">Figure </w:t>
      </w:r>
      <w:r w:rsidRPr="00E61D8C">
        <w:t>6. State and territory governments capital cultural expenditure(a), heritage</w:t>
      </w:r>
      <w:r w:rsidR="00C96703" w:rsidRPr="00E61D8C">
        <w:t xml:space="preserve"> </w:t>
      </w:r>
      <w:r w:rsidRPr="00E61D8C">
        <w:t>and arts—202</w:t>
      </w:r>
      <w:r w:rsidR="007B2A7A" w:rsidRPr="00E61D8C">
        <w:t>1</w:t>
      </w:r>
      <w:r w:rsidRPr="00E61D8C">
        <w:t>–</w:t>
      </w:r>
      <w:bookmarkEnd w:id="11"/>
      <w:r w:rsidRPr="00E61D8C">
        <w:t>2</w:t>
      </w:r>
      <w:r w:rsidR="007B2A7A" w:rsidRPr="00E61D8C">
        <w:t>2</w:t>
      </w:r>
    </w:p>
    <w:p w:rsidR="00652CB8" w:rsidRPr="00652CB8" w:rsidRDefault="00652CB8" w:rsidP="00652CB8">
      <w:pPr>
        <w:rPr>
          <w:lang w:eastAsia="en-US"/>
        </w:rPr>
      </w:pPr>
      <w:r>
        <w:rPr>
          <w:noProof/>
        </w:rPr>
        <w:drawing>
          <wp:inline distT="0" distB="0" distL="0" distR="0" wp14:anchorId="1D6EC389" wp14:editId="00F964D7">
            <wp:extent cx="4448175" cy="2085975"/>
            <wp:effectExtent l="0" t="0" r="0" b="0"/>
            <wp:docPr id="12" name="Chart 12" descr="Figure 6. State and territory governments capital cultural expenditure, heritage and arts, by state and territory - 2021-22&#10;&#10;A column graph compares capital cultural expenditure across heritage and arts by state and territory;&#10;NSW: Heritage $277.1m, Arts $66.8m, Total $343.9m&#10;Victoria: Heritage $67.4m, Arts $102.9m, Total $170.2m&#10;Qld: Heritage $26.9m, Arts $88.9m, Total $115.8m&#10;SA: Heritage $32.2m, Arts $20.3m, Total $52.5m&#10;WA: Heritage $53.5m, Arts $21.7m, Total $75.2m&#10;Tas: Heritage $2.0m, Arts $0.0m, Total $2.0m&#10;NT: Heritage $6.2m, Arts $0.8m, Total 7.0m&#10;ACT: Heritage $3.0m, Arts $4.8m, Total $7.7m">
              <a:extLst xmlns:a="http://schemas.openxmlformats.org/drawingml/2006/main">
                <a:ext uri="{FF2B5EF4-FFF2-40B4-BE49-F238E27FC236}">
                  <a16:creationId xmlns:a16="http://schemas.microsoft.com/office/drawing/2014/main" id="{E41137B1-A078-42E2-9550-D8FA67CAD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06463" w:rsidRPr="00AC6FCD" w:rsidRDefault="00B06463" w:rsidP="003520EF">
      <w:pPr>
        <w:pStyle w:val="Sourcenote"/>
        <w:numPr>
          <w:ilvl w:val="0"/>
          <w:numId w:val="10"/>
        </w:numPr>
        <w:spacing w:after="0"/>
        <w:rPr>
          <w:sz w:val="18"/>
          <w:szCs w:val="18"/>
        </w:rPr>
      </w:pPr>
      <w:r w:rsidRPr="00AC6FCD">
        <w:rPr>
          <w:sz w:val="18"/>
          <w:szCs w:val="18"/>
        </w:rPr>
        <w:t>Care should be taken when comparing expenditure between states and territories due to different administrative arrangements.</w:t>
      </w:r>
    </w:p>
    <w:p w:rsidR="003520EF" w:rsidRDefault="003520EF" w:rsidP="00B06463"/>
    <w:p w:rsidR="00B06463" w:rsidRPr="00B04088" w:rsidRDefault="00B06463" w:rsidP="00B06463">
      <w:r w:rsidRPr="00B04088">
        <w:t xml:space="preserve">The New South Wales Government had the highest capital expenditure on </w:t>
      </w:r>
      <w:r w:rsidRPr="00B04088">
        <w:rPr>
          <w:i/>
        </w:rPr>
        <w:t>Heritage</w:t>
      </w:r>
      <w:r w:rsidRPr="00B04088">
        <w:t xml:space="preserve"> activities ($</w:t>
      </w:r>
      <w:r w:rsidR="00652CB8" w:rsidRPr="00B04088">
        <w:t>277.1</w:t>
      </w:r>
      <w:r w:rsidRPr="00B04088">
        <w:t>m) followed by Victoria ($</w:t>
      </w:r>
      <w:r w:rsidR="00652CB8" w:rsidRPr="00B04088">
        <w:t>67.4</w:t>
      </w:r>
      <w:r w:rsidRPr="00B04088">
        <w:t>m) and Western Australia ($</w:t>
      </w:r>
      <w:r w:rsidR="00652CB8" w:rsidRPr="00B04088">
        <w:t>53.5</w:t>
      </w:r>
      <w:r w:rsidRPr="00B04088">
        <w:t>m).</w:t>
      </w:r>
    </w:p>
    <w:p w:rsidR="00B06463" w:rsidRPr="00B04088" w:rsidRDefault="00B06463" w:rsidP="00B06463">
      <w:r w:rsidRPr="00B04088">
        <w:t xml:space="preserve">The </w:t>
      </w:r>
      <w:r w:rsidR="00652CB8" w:rsidRPr="00B04088">
        <w:t>Victorian</w:t>
      </w:r>
      <w:r w:rsidRPr="00B04088">
        <w:t xml:space="preserve"> Government had the highest estimate for capital expenditure on </w:t>
      </w:r>
      <w:r w:rsidRPr="00B04088">
        <w:rPr>
          <w:i/>
        </w:rPr>
        <w:t>Arts</w:t>
      </w:r>
      <w:r w:rsidRPr="00B04088">
        <w:t xml:space="preserve"> activities ($1</w:t>
      </w:r>
      <w:r w:rsidR="00652CB8" w:rsidRPr="00B04088">
        <w:t>02.9</w:t>
      </w:r>
      <w:r w:rsidRPr="00B04088">
        <w:t xml:space="preserve">m), followed by </w:t>
      </w:r>
      <w:r w:rsidR="00652CB8" w:rsidRPr="00B04088">
        <w:t>Queensland</w:t>
      </w:r>
      <w:r w:rsidRPr="00B04088">
        <w:t xml:space="preserve"> ($</w:t>
      </w:r>
      <w:r w:rsidR="00652CB8" w:rsidRPr="00B04088">
        <w:t>88.9</w:t>
      </w:r>
      <w:r w:rsidRPr="00B04088">
        <w:t>m).</w:t>
      </w:r>
    </w:p>
    <w:sectPr w:rsidR="00B06463" w:rsidRPr="00B04088" w:rsidSect="00842CA0">
      <w:type w:val="continuous"/>
      <w:pgSz w:w="11906" w:h="16838"/>
      <w:pgMar w:top="1418" w:right="1133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E46" w:rsidRDefault="00382E46" w:rsidP="002117E6">
      <w:pPr>
        <w:spacing w:after="0"/>
      </w:pPr>
      <w:r>
        <w:separator/>
      </w:r>
    </w:p>
  </w:endnote>
  <w:endnote w:type="continuationSeparator" w:id="0">
    <w:p w:rsidR="00382E46" w:rsidRDefault="00382E46" w:rsidP="002117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Pr="002454AC" w:rsidRDefault="00B06463" w:rsidP="00842CA0">
    <w:pPr>
      <w:pStyle w:val="Footer"/>
      <w:tabs>
        <w:tab w:val="clear" w:pos="9026"/>
        <w:tab w:val="right" w:pos="9333"/>
      </w:tabs>
      <w:rPr>
        <w:rStyle w:val="Hyperlink"/>
        <w:b w:val="0"/>
        <w:color w:val="auto"/>
        <w:sz w:val="18"/>
        <w:szCs w:val="18"/>
        <w:u w:val="none"/>
      </w:rPr>
    </w:pPr>
    <w:r w:rsidRPr="0024033A">
      <w:rPr>
        <w:sz w:val="18"/>
        <w:szCs w:val="18"/>
      </w:rPr>
      <w:t>Cultu</w:t>
    </w:r>
    <w:r>
      <w:rPr>
        <w:sz w:val="18"/>
        <w:szCs w:val="18"/>
      </w:rPr>
      <w:t>ral Funding by Government—202</w:t>
    </w:r>
    <w:r w:rsidR="007628D6">
      <w:rPr>
        <w:sz w:val="18"/>
        <w:szCs w:val="18"/>
      </w:rPr>
      <w:t>1</w:t>
    </w:r>
    <w:r>
      <w:t>–</w:t>
    </w:r>
    <w:r>
      <w:rPr>
        <w:sz w:val="18"/>
        <w:szCs w:val="18"/>
      </w:rPr>
      <w:t>2</w:t>
    </w:r>
    <w:r w:rsidR="007628D6">
      <w:rPr>
        <w:sz w:val="18"/>
        <w:szCs w:val="18"/>
      </w:rPr>
      <w:t>2</w:t>
    </w:r>
    <w:r w:rsidRPr="0024033A">
      <w:rPr>
        <w:sz w:val="18"/>
        <w:szCs w:val="18"/>
      </w:rPr>
      <w:t>—</w:t>
    </w:r>
    <w:r>
      <w:rPr>
        <w:sz w:val="18"/>
        <w:szCs w:val="18"/>
      </w:rPr>
      <w:t>State and territory government</w:t>
    </w:r>
    <w:r w:rsidR="00FC0C98" w:rsidRPr="0037566A">
      <w:rPr>
        <w:sz w:val="18"/>
        <w:szCs w:val="18"/>
      </w:rPr>
      <w:tab/>
    </w:r>
    <w:sdt>
      <w:sdtPr>
        <w:rPr>
          <w:sz w:val="18"/>
          <w:szCs w:val="18"/>
        </w:rPr>
        <w:id w:val="-924028759"/>
        <w:docPartObj>
          <w:docPartGallery w:val="Page Numbers (Top of Page)"/>
          <w:docPartUnique/>
        </w:docPartObj>
      </w:sdtPr>
      <w:sdtEndPr/>
      <w:sdtContent>
        <w:r w:rsidR="00FC0C98" w:rsidRPr="0037566A">
          <w:rPr>
            <w:sz w:val="18"/>
            <w:szCs w:val="18"/>
          </w:rPr>
          <w:t xml:space="preserve">Page </w:t>
        </w:r>
        <w:r w:rsidR="00FC0C98" w:rsidRPr="0037566A">
          <w:rPr>
            <w:bCs/>
            <w:sz w:val="18"/>
            <w:szCs w:val="18"/>
          </w:rPr>
          <w:fldChar w:fldCharType="begin"/>
        </w:r>
        <w:r w:rsidR="00FC0C98" w:rsidRPr="0037566A">
          <w:rPr>
            <w:bCs/>
            <w:sz w:val="18"/>
            <w:szCs w:val="18"/>
          </w:rPr>
          <w:instrText xml:space="preserve"> PAGE </w:instrText>
        </w:r>
        <w:r w:rsidR="00FC0C98"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="00FC0C98" w:rsidRPr="0037566A">
          <w:rPr>
            <w:bCs/>
            <w:sz w:val="18"/>
            <w:szCs w:val="18"/>
          </w:rPr>
          <w:fldChar w:fldCharType="end"/>
        </w:r>
        <w:r w:rsidR="00FC0C98" w:rsidRPr="0037566A">
          <w:rPr>
            <w:sz w:val="18"/>
            <w:szCs w:val="18"/>
          </w:rPr>
          <w:t xml:space="preserve"> of </w:t>
        </w:r>
        <w:r w:rsidR="00FC0C98" w:rsidRPr="0037566A">
          <w:rPr>
            <w:bCs/>
            <w:sz w:val="18"/>
            <w:szCs w:val="18"/>
          </w:rPr>
          <w:fldChar w:fldCharType="begin"/>
        </w:r>
        <w:r w:rsidR="00FC0C98" w:rsidRPr="0037566A">
          <w:rPr>
            <w:bCs/>
            <w:sz w:val="18"/>
            <w:szCs w:val="18"/>
          </w:rPr>
          <w:instrText xml:space="preserve"> NUMPAGES  </w:instrText>
        </w:r>
        <w:r w:rsidR="00FC0C98" w:rsidRPr="0037566A">
          <w:rPr>
            <w:bCs/>
            <w:sz w:val="18"/>
            <w:szCs w:val="18"/>
          </w:rPr>
          <w:fldChar w:fldCharType="separate"/>
        </w:r>
        <w:r w:rsidR="00F9394E">
          <w:rPr>
            <w:bCs/>
            <w:noProof/>
            <w:sz w:val="18"/>
            <w:szCs w:val="18"/>
          </w:rPr>
          <w:t>2</w:t>
        </w:r>
        <w:r w:rsidR="00FC0C98" w:rsidRPr="0037566A">
          <w:rPr>
            <w:bCs/>
            <w:sz w:val="18"/>
            <w:szCs w:val="18"/>
          </w:rPr>
          <w:fldChar w:fldCharType="end"/>
        </w:r>
      </w:sdtContent>
    </w:sdt>
  </w:p>
  <w:p w:rsidR="00FC0C98" w:rsidRDefault="00FC0C98" w:rsidP="00842CA0">
    <w:pPr>
      <w:spacing w:after="0"/>
      <w:ind w:left="-1418"/>
    </w:pPr>
    <w:r>
      <w:rPr>
        <w:noProof/>
        <w:lang w:eastAsia="en-AU"/>
      </w:rPr>
      <w:drawing>
        <wp:inline distT="0" distB="0" distL="0" distR="0" wp14:anchorId="22C413FE" wp14:editId="573FC905">
          <wp:extent cx="7560000" cy="358181"/>
          <wp:effectExtent l="0" t="0" r="3175" b="3810"/>
          <wp:docPr id="7" name="Picture 7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7560000" cy="358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218" w:rsidRPr="00CD5C1E" w:rsidRDefault="00CD5C1E" w:rsidP="00CD5C1E">
    <w:pPr>
      <w:pStyle w:val="Footer"/>
      <w:rPr>
        <w:i/>
        <w:iCs/>
        <w:sz w:val="18"/>
        <w:szCs w:val="18"/>
      </w:rPr>
    </w:pPr>
    <w:r w:rsidRPr="00CD5C1E">
      <w:rPr>
        <w:i/>
        <w:iCs/>
        <w:sz w:val="18"/>
        <w:szCs w:val="18"/>
      </w:rPr>
      <w:t xml:space="preserve">Source: Cultural Funding by Government </w:t>
    </w:r>
    <w:r>
      <w:rPr>
        <w:i/>
        <w:iCs/>
        <w:noProof/>
        <w:sz w:val="18"/>
        <w:szCs w:val="18"/>
        <w:lang w:eastAsia="en-AU"/>
      </w:rPr>
      <w:t>202</w:t>
    </w:r>
    <w:r w:rsidR="007628D6">
      <w:rPr>
        <w:i/>
        <w:iCs/>
        <w:noProof/>
        <w:sz w:val="18"/>
        <w:szCs w:val="18"/>
        <w:lang w:eastAsia="en-AU"/>
      </w:rPr>
      <w:t>1</w:t>
    </w:r>
    <w:r>
      <w:t>–</w:t>
    </w:r>
    <w:r w:rsidR="007628D6">
      <w:rPr>
        <w:i/>
        <w:iCs/>
        <w:noProof/>
        <w:sz w:val="18"/>
        <w:szCs w:val="18"/>
        <w:lang w:eastAsia="en-AU"/>
      </w:rPr>
      <w:t>22</w:t>
    </w:r>
    <w:r>
      <w:rPr>
        <w:noProof/>
        <w:sz w:val="18"/>
        <w:szCs w:val="18"/>
        <w:lang w:eastAsia="en-AU"/>
      </w:rPr>
      <w:t xml:space="preserve"> </w:t>
    </w:r>
    <w:r w:rsidRPr="00CD5C1E">
      <w:rPr>
        <w:i/>
        <w:iCs/>
        <w:sz w:val="18"/>
        <w:szCs w:val="18"/>
      </w:rPr>
      <w:t>survey</w:t>
    </w:r>
  </w:p>
  <w:p w:rsidR="00FC0C98" w:rsidRPr="00477982" w:rsidRDefault="00DD4ACA" w:rsidP="00477982">
    <w:pPr>
      <w:pStyle w:val="Footer"/>
      <w:ind w:left="-1418"/>
      <w:rPr>
        <w:rStyle w:val="Hyperlink"/>
        <w:color w:val="auto"/>
        <w:u w:val="none"/>
      </w:rPr>
    </w:pPr>
    <w:r>
      <w:rPr>
        <w:noProof/>
        <w:lang w:eastAsia="en-AU"/>
      </w:rPr>
      <w:drawing>
        <wp:inline distT="0" distB="0" distL="0" distR="0" wp14:anchorId="05FC6D49" wp14:editId="5F8C6415">
          <wp:extent cx="9511794" cy="334010"/>
          <wp:effectExtent l="0" t="0" r="0" b="8890"/>
          <wp:docPr id="5" name="Picture 5" descr="Purple Border 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5" t="-12324" r="1078" b="19102"/>
                  <a:stretch/>
                </pic:blipFill>
                <pic:spPr bwMode="auto">
                  <a:xfrm>
                    <a:off x="0" y="0"/>
                    <a:ext cx="10076050" cy="3538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E46" w:rsidRDefault="00382E46" w:rsidP="002117E6">
      <w:pPr>
        <w:spacing w:after="0"/>
      </w:pPr>
      <w:r>
        <w:separator/>
      </w:r>
    </w:p>
  </w:footnote>
  <w:footnote w:type="continuationSeparator" w:id="0">
    <w:p w:rsidR="00382E46" w:rsidRDefault="00382E46" w:rsidP="002117E6">
      <w:pPr>
        <w:spacing w:after="0"/>
      </w:pPr>
      <w:r>
        <w:continuationSeparator/>
      </w:r>
    </w:p>
  </w:footnote>
  <w:footnote w:id="1">
    <w:p w:rsidR="00B06463" w:rsidRPr="00E61D8C" w:rsidRDefault="00B06463" w:rsidP="00B06463">
      <w:pPr>
        <w:pStyle w:val="FootnoteText"/>
        <w:rPr>
          <w:sz w:val="17"/>
          <w:szCs w:val="17"/>
        </w:rPr>
      </w:pPr>
      <w:r w:rsidRPr="00E61D8C">
        <w:rPr>
          <w:rStyle w:val="FootnoteReference"/>
          <w:sz w:val="17"/>
          <w:szCs w:val="17"/>
        </w:rPr>
        <w:footnoteRef/>
      </w:r>
      <w:r w:rsidRPr="00E61D8C">
        <w:rPr>
          <w:sz w:val="17"/>
          <w:szCs w:val="17"/>
        </w:rPr>
        <w:t xml:space="preserve"> Targeted $</w:t>
      </w:r>
      <w:r w:rsidR="002618A0" w:rsidRPr="00E61D8C">
        <w:rPr>
          <w:sz w:val="17"/>
          <w:szCs w:val="17"/>
        </w:rPr>
        <w:t>436.3</w:t>
      </w:r>
      <w:r w:rsidRPr="00E61D8C">
        <w:rPr>
          <w:sz w:val="17"/>
          <w:szCs w:val="17"/>
        </w:rPr>
        <w:t>m in COVID support funding reported: New South Wales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</w:t>
      </w:r>
      <w:r w:rsidR="002618A0" w:rsidRPr="00E61D8C">
        <w:rPr>
          <w:sz w:val="17"/>
          <w:szCs w:val="17"/>
        </w:rPr>
        <w:t>267.4</w:t>
      </w:r>
      <w:r w:rsidRPr="00E61D8C">
        <w:rPr>
          <w:sz w:val="17"/>
          <w:szCs w:val="17"/>
        </w:rPr>
        <w:t>m; Victoria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</w:t>
      </w:r>
      <w:r w:rsidR="002618A0" w:rsidRPr="00E61D8C">
        <w:rPr>
          <w:sz w:val="17"/>
          <w:szCs w:val="17"/>
        </w:rPr>
        <w:t>105.4</w:t>
      </w:r>
      <w:r w:rsidRPr="00E61D8C">
        <w:rPr>
          <w:sz w:val="17"/>
          <w:szCs w:val="17"/>
        </w:rPr>
        <w:t>m; Queensland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</w:t>
      </w:r>
      <w:r w:rsidR="002618A0" w:rsidRPr="00E61D8C">
        <w:rPr>
          <w:sz w:val="17"/>
          <w:szCs w:val="17"/>
        </w:rPr>
        <w:t>28.4</w:t>
      </w:r>
      <w:r w:rsidRPr="00E61D8C">
        <w:rPr>
          <w:sz w:val="17"/>
          <w:szCs w:val="17"/>
        </w:rPr>
        <w:t>m; South Australia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$1</w:t>
      </w:r>
      <w:r w:rsidR="002618A0" w:rsidRPr="00E61D8C">
        <w:rPr>
          <w:sz w:val="17"/>
          <w:szCs w:val="17"/>
        </w:rPr>
        <w:t>1.3</w:t>
      </w:r>
      <w:r w:rsidRPr="00E61D8C">
        <w:rPr>
          <w:sz w:val="17"/>
          <w:szCs w:val="17"/>
        </w:rPr>
        <w:t>m; Western Australia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$1</w:t>
      </w:r>
      <w:r w:rsidR="002618A0" w:rsidRPr="00E61D8C">
        <w:rPr>
          <w:sz w:val="17"/>
          <w:szCs w:val="17"/>
        </w:rPr>
        <w:t>6.</w:t>
      </w:r>
      <w:r w:rsidR="00523EDD">
        <w:rPr>
          <w:sz w:val="17"/>
          <w:szCs w:val="17"/>
        </w:rPr>
        <w:t>8</w:t>
      </w:r>
      <w:r w:rsidRPr="00E61D8C">
        <w:rPr>
          <w:sz w:val="17"/>
          <w:szCs w:val="17"/>
        </w:rPr>
        <w:t>m; Tasmania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</w:t>
      </w:r>
      <w:r w:rsidR="002618A0" w:rsidRPr="00E61D8C">
        <w:rPr>
          <w:sz w:val="17"/>
          <w:szCs w:val="17"/>
        </w:rPr>
        <w:t>3.3</w:t>
      </w:r>
      <w:r w:rsidRPr="00E61D8C">
        <w:rPr>
          <w:sz w:val="17"/>
          <w:szCs w:val="17"/>
        </w:rPr>
        <w:t>m; Northern Territory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$0.</w:t>
      </w:r>
      <w:r w:rsidR="002618A0" w:rsidRPr="00E61D8C">
        <w:rPr>
          <w:sz w:val="17"/>
          <w:szCs w:val="17"/>
        </w:rPr>
        <w:t>2</w:t>
      </w:r>
      <w:r w:rsidRPr="00E61D8C">
        <w:rPr>
          <w:sz w:val="17"/>
          <w:szCs w:val="17"/>
        </w:rPr>
        <w:t>m; and Australian Capital Territory</w:t>
      </w:r>
      <w:r w:rsidR="001903A5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$</w:t>
      </w:r>
      <w:r w:rsidR="002618A0" w:rsidRPr="00E61D8C">
        <w:rPr>
          <w:sz w:val="17"/>
          <w:szCs w:val="17"/>
        </w:rPr>
        <w:t>3</w:t>
      </w:r>
      <w:r w:rsidRPr="00E61D8C">
        <w:rPr>
          <w:sz w:val="17"/>
          <w:szCs w:val="17"/>
        </w:rPr>
        <w:t>.5m.</w:t>
      </w:r>
      <w:r w:rsidR="0099456B" w:rsidRPr="00E61D8C">
        <w:rPr>
          <w:sz w:val="17"/>
          <w:szCs w:val="17"/>
        </w:rPr>
        <w:t xml:space="preserve"> </w:t>
      </w:r>
    </w:p>
  </w:footnote>
  <w:footnote w:id="2">
    <w:p w:rsidR="00D97EBF" w:rsidRPr="00E61D8C" w:rsidRDefault="00D97EBF" w:rsidP="00D97EBF">
      <w:pPr>
        <w:pStyle w:val="FootnoteText"/>
        <w:rPr>
          <w:sz w:val="17"/>
          <w:szCs w:val="17"/>
        </w:rPr>
      </w:pPr>
      <w:r w:rsidRPr="00E61D8C">
        <w:rPr>
          <w:rStyle w:val="FootnoteReference"/>
          <w:sz w:val="17"/>
          <w:szCs w:val="17"/>
        </w:rPr>
        <w:footnoteRef/>
      </w:r>
      <w:r w:rsidRPr="00E61D8C">
        <w:rPr>
          <w:sz w:val="17"/>
          <w:szCs w:val="17"/>
        </w:rPr>
        <w:t xml:space="preserve"> </w:t>
      </w:r>
      <w:r w:rsidR="00E61D8C" w:rsidRPr="00E61D8C">
        <w:rPr>
          <w:sz w:val="17"/>
          <w:szCs w:val="17"/>
        </w:rPr>
        <w:t>I</w:t>
      </w:r>
      <w:r w:rsidRPr="00E61D8C">
        <w:rPr>
          <w:sz w:val="17"/>
          <w:szCs w:val="17"/>
        </w:rPr>
        <w:t>ncludes $38.5m</w:t>
      </w:r>
      <w:r w:rsidR="008D4A7A" w:rsidRPr="00E61D8C">
        <w:rPr>
          <w:sz w:val="17"/>
          <w:szCs w:val="17"/>
        </w:rPr>
        <w:t xml:space="preserve"> </w:t>
      </w:r>
      <w:r w:rsidRPr="00E61D8C">
        <w:rPr>
          <w:sz w:val="17"/>
          <w:szCs w:val="17"/>
        </w:rPr>
        <w:t>targeted cultural and creative sector COVID support funding, reported in Total figures only. Data has been revised.</w:t>
      </w:r>
    </w:p>
  </w:footnote>
  <w:footnote w:id="3">
    <w:p w:rsidR="00D97EBF" w:rsidRPr="00E61D8C" w:rsidRDefault="00D97EBF" w:rsidP="00D97EBF">
      <w:pPr>
        <w:pStyle w:val="FootnoteText"/>
        <w:rPr>
          <w:sz w:val="17"/>
          <w:szCs w:val="17"/>
        </w:rPr>
      </w:pPr>
      <w:r w:rsidRPr="00E61D8C">
        <w:rPr>
          <w:rStyle w:val="FootnoteReference"/>
          <w:sz w:val="17"/>
          <w:szCs w:val="17"/>
        </w:rPr>
        <w:footnoteRef/>
      </w:r>
      <w:r w:rsidRPr="00E61D8C">
        <w:rPr>
          <w:sz w:val="17"/>
          <w:szCs w:val="17"/>
        </w:rPr>
        <w:t xml:space="preserve"> </w:t>
      </w:r>
      <w:r w:rsidR="00E61D8C" w:rsidRPr="00E61D8C">
        <w:rPr>
          <w:sz w:val="17"/>
          <w:szCs w:val="17"/>
        </w:rPr>
        <w:t>I</w:t>
      </w:r>
      <w:r w:rsidRPr="00E61D8C">
        <w:rPr>
          <w:sz w:val="17"/>
          <w:szCs w:val="17"/>
        </w:rPr>
        <w:t>ncludes $281.8m targeted cultural and creative sector COVID support funding, reported across categories and totals.</w:t>
      </w:r>
    </w:p>
  </w:footnote>
  <w:footnote w:id="4">
    <w:p w:rsidR="00B06463" w:rsidRPr="002A63D8" w:rsidRDefault="00B06463" w:rsidP="00B06463">
      <w:pPr>
        <w:pStyle w:val="FootnoteText"/>
        <w:rPr>
          <w:sz w:val="18"/>
          <w:szCs w:val="18"/>
        </w:rPr>
      </w:pPr>
      <w:r w:rsidRPr="00E61D8C">
        <w:rPr>
          <w:rStyle w:val="FootnoteReference"/>
          <w:sz w:val="17"/>
          <w:szCs w:val="17"/>
        </w:rPr>
        <w:footnoteRef/>
      </w:r>
      <w:r w:rsidRPr="00E61D8C">
        <w:rPr>
          <w:sz w:val="17"/>
          <w:szCs w:val="17"/>
        </w:rPr>
        <w:t xml:space="preserve"> </w:t>
      </w:r>
      <w:r w:rsidR="00E61D8C" w:rsidRPr="00E61D8C">
        <w:rPr>
          <w:sz w:val="17"/>
          <w:szCs w:val="17"/>
        </w:rPr>
        <w:t>I</w:t>
      </w:r>
      <w:r w:rsidRPr="00E61D8C">
        <w:rPr>
          <w:sz w:val="17"/>
          <w:szCs w:val="17"/>
        </w:rPr>
        <w:t>ncludes $</w:t>
      </w:r>
      <w:r w:rsidR="002618A0" w:rsidRPr="00E61D8C">
        <w:rPr>
          <w:sz w:val="17"/>
          <w:szCs w:val="17"/>
        </w:rPr>
        <w:t>4</w:t>
      </w:r>
      <w:r w:rsidR="00B04088">
        <w:rPr>
          <w:sz w:val="17"/>
          <w:szCs w:val="17"/>
        </w:rPr>
        <w:t>36.3</w:t>
      </w:r>
      <w:r w:rsidRPr="00E61D8C">
        <w:rPr>
          <w:sz w:val="17"/>
          <w:szCs w:val="17"/>
        </w:rPr>
        <w:t>m targeted cultural and creative sector COVID support funding, reported across categories and totals.</w:t>
      </w:r>
      <w:r w:rsidR="002618A0" w:rsidRPr="00E61D8C">
        <w:rPr>
          <w:sz w:val="17"/>
          <w:szCs w:val="17"/>
        </w:rPr>
        <w:t xml:space="preserve"> $22.1m is included in the totals only.</w:t>
      </w:r>
    </w:p>
  </w:footnote>
  <w:footnote w:id="5">
    <w:p w:rsidR="00B06463" w:rsidRDefault="00B06463" w:rsidP="00B0646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F7E84">
        <w:rPr>
          <w:sz w:val="18"/>
          <w:szCs w:val="18"/>
        </w:rPr>
        <w:t>Targeted</w:t>
      </w:r>
      <w:r>
        <w:t xml:space="preserve"> </w:t>
      </w:r>
      <w:r w:rsidRPr="009C28E6">
        <w:rPr>
          <w:sz w:val="18"/>
          <w:szCs w:val="18"/>
        </w:rPr>
        <w:t xml:space="preserve">COVID support </w:t>
      </w:r>
      <w:r w:rsidRPr="0085042D">
        <w:rPr>
          <w:sz w:val="18"/>
          <w:szCs w:val="18"/>
        </w:rPr>
        <w:t xml:space="preserve">funding </w:t>
      </w:r>
      <w:r w:rsidRPr="001C0EBF">
        <w:rPr>
          <w:sz w:val="18"/>
          <w:szCs w:val="18"/>
        </w:rPr>
        <w:t>reported across categories and totals</w:t>
      </w:r>
      <w:r w:rsidRPr="0085042D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C98" w:rsidRDefault="00FC0C98" w:rsidP="00477982">
    <w:pPr>
      <w:pStyle w:val="Header"/>
      <w:ind w:left="-1418"/>
    </w:pPr>
    <w:r>
      <w:rPr>
        <w:noProof/>
        <w:lang w:eastAsia="en-AU"/>
      </w:rPr>
      <w:drawing>
        <wp:inline distT="0" distB="0" distL="0" distR="0" wp14:anchorId="33197DE3" wp14:editId="73FF4341">
          <wp:extent cx="7560000" cy="544479"/>
          <wp:effectExtent l="0" t="0" r="3175" b="8255"/>
          <wp:docPr id="6" name="Picture 6" descr="Purple Border" title="Bor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54" t="19214" r="1857"/>
                  <a:stretch/>
                </pic:blipFill>
                <pic:spPr bwMode="auto">
                  <a:xfrm>
                    <a:off x="0" y="0"/>
                    <a:ext cx="7560000" cy="544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C0C98" w:rsidRDefault="00CD5C1E" w:rsidP="00A0554C">
    <w:pPr>
      <w:pStyle w:val="Header"/>
      <w:tabs>
        <w:tab w:val="clear" w:pos="9026"/>
        <w:tab w:val="right" w:pos="9333"/>
      </w:tabs>
    </w:pPr>
    <w:r>
      <w:t xml:space="preserve">Cultural and Creative </w:t>
    </w:r>
    <w:r w:rsidR="0070126E" w:rsidRPr="00CD5C1E">
      <w:t>Statistics Working Group</w:t>
    </w:r>
    <w:r w:rsidR="00FC0C98" w:rsidRPr="00A96536">
      <w:tab/>
    </w:r>
    <w:r w:rsidR="00FC0C98" w:rsidRPr="00A96536">
      <w:tab/>
    </w:r>
    <w:r w:rsidR="00EF4B01">
      <w:t>August</w:t>
    </w:r>
    <w:r w:rsidR="00B06463">
      <w:t xml:space="preserve"> </w:t>
    </w:r>
    <w:r w:rsidR="00FC0C98">
      <w:t>202</w:t>
    </w:r>
    <w:r w:rsidR="007628D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D9E"/>
    <w:multiLevelType w:val="hybridMultilevel"/>
    <w:tmpl w:val="7900756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723"/>
    <w:multiLevelType w:val="hybridMultilevel"/>
    <w:tmpl w:val="0F6034AE"/>
    <w:lvl w:ilvl="0" w:tplc="661258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937613"/>
    <w:multiLevelType w:val="hybridMultilevel"/>
    <w:tmpl w:val="2B48B512"/>
    <w:lvl w:ilvl="0" w:tplc="69AC7252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7C6A73"/>
    <w:multiLevelType w:val="hybridMultilevel"/>
    <w:tmpl w:val="528A0CE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15F"/>
    <w:multiLevelType w:val="hybridMultilevel"/>
    <w:tmpl w:val="04A4442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22F2D20"/>
    <w:multiLevelType w:val="hybridMultilevel"/>
    <w:tmpl w:val="1AC69F2C"/>
    <w:lvl w:ilvl="0" w:tplc="8DEAB1F2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cs="Calibri" w:hint="default"/>
        <w:bCs w:val="0"/>
        <w:iCs w:val="0"/>
        <w:caps w:val="0"/>
        <w:strike w:val="0"/>
        <w:dstrike w:val="0"/>
        <w:vanish w:val="0"/>
        <w:color w:val="0F293A"/>
        <w:sz w:val="22"/>
        <w:szCs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C331D"/>
    <w:multiLevelType w:val="hybridMultilevel"/>
    <w:tmpl w:val="168C81D6"/>
    <w:lvl w:ilvl="0" w:tplc="22A221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39D"/>
    <w:multiLevelType w:val="hybridMultilevel"/>
    <w:tmpl w:val="5B38CF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B3F70"/>
    <w:multiLevelType w:val="hybridMultilevel"/>
    <w:tmpl w:val="2EB41F5A"/>
    <w:lvl w:ilvl="0" w:tplc="43C08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C7FA2"/>
    <w:multiLevelType w:val="hybridMultilevel"/>
    <w:tmpl w:val="8E8AD0A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504F0"/>
    <w:multiLevelType w:val="hybridMultilevel"/>
    <w:tmpl w:val="AC4ED6F8"/>
    <w:lvl w:ilvl="0" w:tplc="91E8E848">
      <w:start w:val="1"/>
      <w:numFmt w:val="bullet"/>
      <w:pStyle w:val="Checkboxemptybulletpoint"/>
      <w:lvlText w:val="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webHidden w:val="0"/>
        <w:color w:val="0F293A"/>
        <w:sz w:val="22"/>
        <w:u w:val="none"/>
        <w:effect w:val="none"/>
        <w:vertAlign w:val="baseline"/>
        <w:specVanish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3E1F26"/>
    <w:multiLevelType w:val="hybridMultilevel"/>
    <w:tmpl w:val="1A685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6"/>
  </w:num>
  <w:num w:numId="12">
    <w:abstractNumId w:val="8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13E"/>
    <w:rsid w:val="00024E6D"/>
    <w:rsid w:val="00024EAC"/>
    <w:rsid w:val="000516A6"/>
    <w:rsid w:val="00066DCE"/>
    <w:rsid w:val="00093C10"/>
    <w:rsid w:val="000B27A8"/>
    <w:rsid w:val="000E5975"/>
    <w:rsid w:val="0010452B"/>
    <w:rsid w:val="00111A64"/>
    <w:rsid w:val="00115114"/>
    <w:rsid w:val="001412C6"/>
    <w:rsid w:val="001413E0"/>
    <w:rsid w:val="001471EA"/>
    <w:rsid w:val="001472FC"/>
    <w:rsid w:val="001715EF"/>
    <w:rsid w:val="001736CC"/>
    <w:rsid w:val="00185E9F"/>
    <w:rsid w:val="001903A5"/>
    <w:rsid w:val="0019701B"/>
    <w:rsid w:val="00197A53"/>
    <w:rsid w:val="001C7827"/>
    <w:rsid w:val="001D45AD"/>
    <w:rsid w:val="001D64AC"/>
    <w:rsid w:val="001D7905"/>
    <w:rsid w:val="00210C69"/>
    <w:rsid w:val="002117E6"/>
    <w:rsid w:val="00221EAF"/>
    <w:rsid w:val="0023201F"/>
    <w:rsid w:val="00233C13"/>
    <w:rsid w:val="00234C00"/>
    <w:rsid w:val="002352F9"/>
    <w:rsid w:val="0024033A"/>
    <w:rsid w:val="00242B78"/>
    <w:rsid w:val="002454AC"/>
    <w:rsid w:val="00250147"/>
    <w:rsid w:val="002618A0"/>
    <w:rsid w:val="00265D2E"/>
    <w:rsid w:val="00290FEC"/>
    <w:rsid w:val="00293DD6"/>
    <w:rsid w:val="002966CA"/>
    <w:rsid w:val="002A3B4B"/>
    <w:rsid w:val="002A4338"/>
    <w:rsid w:val="002A4B2D"/>
    <w:rsid w:val="002A5985"/>
    <w:rsid w:val="002C5369"/>
    <w:rsid w:val="002E1F12"/>
    <w:rsid w:val="002E2477"/>
    <w:rsid w:val="002E46A4"/>
    <w:rsid w:val="002F0402"/>
    <w:rsid w:val="002F3895"/>
    <w:rsid w:val="002F6FFC"/>
    <w:rsid w:val="00302513"/>
    <w:rsid w:val="00303786"/>
    <w:rsid w:val="00325C91"/>
    <w:rsid w:val="00327F06"/>
    <w:rsid w:val="00335334"/>
    <w:rsid w:val="00336DDD"/>
    <w:rsid w:val="00344694"/>
    <w:rsid w:val="0034581A"/>
    <w:rsid w:val="003512D3"/>
    <w:rsid w:val="003520EF"/>
    <w:rsid w:val="003633B4"/>
    <w:rsid w:val="00363704"/>
    <w:rsid w:val="00364D5D"/>
    <w:rsid w:val="00381364"/>
    <w:rsid w:val="00382743"/>
    <w:rsid w:val="00382E46"/>
    <w:rsid w:val="0039367A"/>
    <w:rsid w:val="003A4341"/>
    <w:rsid w:val="003B5B1D"/>
    <w:rsid w:val="003C5AF8"/>
    <w:rsid w:val="003C73DB"/>
    <w:rsid w:val="003D142F"/>
    <w:rsid w:val="003E78EF"/>
    <w:rsid w:val="003F495D"/>
    <w:rsid w:val="003F5583"/>
    <w:rsid w:val="00400798"/>
    <w:rsid w:val="00400E77"/>
    <w:rsid w:val="0041185C"/>
    <w:rsid w:val="00420E56"/>
    <w:rsid w:val="00423090"/>
    <w:rsid w:val="00426F0B"/>
    <w:rsid w:val="00433E7A"/>
    <w:rsid w:val="00436F4C"/>
    <w:rsid w:val="0044078C"/>
    <w:rsid w:val="00445E64"/>
    <w:rsid w:val="00450D6E"/>
    <w:rsid w:val="00456F44"/>
    <w:rsid w:val="00467552"/>
    <w:rsid w:val="004755A2"/>
    <w:rsid w:val="00477982"/>
    <w:rsid w:val="004819E5"/>
    <w:rsid w:val="0048626B"/>
    <w:rsid w:val="0048644E"/>
    <w:rsid w:val="004B1D6E"/>
    <w:rsid w:val="004D0B6D"/>
    <w:rsid w:val="004E59C7"/>
    <w:rsid w:val="004F7E84"/>
    <w:rsid w:val="00505B19"/>
    <w:rsid w:val="00506643"/>
    <w:rsid w:val="00514C96"/>
    <w:rsid w:val="00523EDD"/>
    <w:rsid w:val="00526687"/>
    <w:rsid w:val="0053472E"/>
    <w:rsid w:val="005377F7"/>
    <w:rsid w:val="00542695"/>
    <w:rsid w:val="00543A5F"/>
    <w:rsid w:val="00544465"/>
    <w:rsid w:val="005579A8"/>
    <w:rsid w:val="00561190"/>
    <w:rsid w:val="005658F1"/>
    <w:rsid w:val="00565B47"/>
    <w:rsid w:val="005663C5"/>
    <w:rsid w:val="00572F10"/>
    <w:rsid w:val="005741CF"/>
    <w:rsid w:val="00575A5A"/>
    <w:rsid w:val="005834B9"/>
    <w:rsid w:val="005932D0"/>
    <w:rsid w:val="00597F9B"/>
    <w:rsid w:val="005B3551"/>
    <w:rsid w:val="005C5D70"/>
    <w:rsid w:val="005C7C65"/>
    <w:rsid w:val="005E0EB8"/>
    <w:rsid w:val="005F23E0"/>
    <w:rsid w:val="00605481"/>
    <w:rsid w:val="0061446D"/>
    <w:rsid w:val="00625397"/>
    <w:rsid w:val="006271CB"/>
    <w:rsid w:val="0064138E"/>
    <w:rsid w:val="00652CB8"/>
    <w:rsid w:val="00674627"/>
    <w:rsid w:val="0068158D"/>
    <w:rsid w:val="00693994"/>
    <w:rsid w:val="006970A6"/>
    <w:rsid w:val="006A08AD"/>
    <w:rsid w:val="006A2F0E"/>
    <w:rsid w:val="006C5A9D"/>
    <w:rsid w:val="006D0316"/>
    <w:rsid w:val="006F06FD"/>
    <w:rsid w:val="006F50F3"/>
    <w:rsid w:val="0070126E"/>
    <w:rsid w:val="00705B86"/>
    <w:rsid w:val="00705FA6"/>
    <w:rsid w:val="00710F27"/>
    <w:rsid w:val="007260A2"/>
    <w:rsid w:val="007316EF"/>
    <w:rsid w:val="00741BB6"/>
    <w:rsid w:val="0074751D"/>
    <w:rsid w:val="00747A41"/>
    <w:rsid w:val="00753BB6"/>
    <w:rsid w:val="007628D6"/>
    <w:rsid w:val="00784525"/>
    <w:rsid w:val="0078474D"/>
    <w:rsid w:val="00784F67"/>
    <w:rsid w:val="007A4B0F"/>
    <w:rsid w:val="007A5DD1"/>
    <w:rsid w:val="007B2A7A"/>
    <w:rsid w:val="007C601D"/>
    <w:rsid w:val="007D5B0D"/>
    <w:rsid w:val="007E2D0D"/>
    <w:rsid w:val="007F7885"/>
    <w:rsid w:val="008025B8"/>
    <w:rsid w:val="00804D0A"/>
    <w:rsid w:val="00813AD2"/>
    <w:rsid w:val="008169A6"/>
    <w:rsid w:val="0082186E"/>
    <w:rsid w:val="008228E2"/>
    <w:rsid w:val="00823A44"/>
    <w:rsid w:val="00834DE8"/>
    <w:rsid w:val="008365C8"/>
    <w:rsid w:val="00842CA0"/>
    <w:rsid w:val="00860C86"/>
    <w:rsid w:val="00860CEE"/>
    <w:rsid w:val="00862BAB"/>
    <w:rsid w:val="008646E6"/>
    <w:rsid w:val="00866475"/>
    <w:rsid w:val="00867254"/>
    <w:rsid w:val="00871BBB"/>
    <w:rsid w:val="00893360"/>
    <w:rsid w:val="008A4B1F"/>
    <w:rsid w:val="008B2A19"/>
    <w:rsid w:val="008B767F"/>
    <w:rsid w:val="008C0B20"/>
    <w:rsid w:val="008C2939"/>
    <w:rsid w:val="008D3C1B"/>
    <w:rsid w:val="008D4A7A"/>
    <w:rsid w:val="008D4E53"/>
    <w:rsid w:val="008D60E1"/>
    <w:rsid w:val="008D706C"/>
    <w:rsid w:val="008F7FA4"/>
    <w:rsid w:val="00912280"/>
    <w:rsid w:val="00927FF3"/>
    <w:rsid w:val="009313D2"/>
    <w:rsid w:val="009315F6"/>
    <w:rsid w:val="00937283"/>
    <w:rsid w:val="0094124E"/>
    <w:rsid w:val="00956386"/>
    <w:rsid w:val="00957422"/>
    <w:rsid w:val="00957863"/>
    <w:rsid w:val="009654E0"/>
    <w:rsid w:val="00966C24"/>
    <w:rsid w:val="009753CD"/>
    <w:rsid w:val="00977676"/>
    <w:rsid w:val="0099456B"/>
    <w:rsid w:val="009B3FAB"/>
    <w:rsid w:val="009B74C6"/>
    <w:rsid w:val="009B7EF0"/>
    <w:rsid w:val="009C01D1"/>
    <w:rsid w:val="009C47F7"/>
    <w:rsid w:val="009C4C5C"/>
    <w:rsid w:val="009C627D"/>
    <w:rsid w:val="009D0D57"/>
    <w:rsid w:val="009D756C"/>
    <w:rsid w:val="009E12E4"/>
    <w:rsid w:val="00A0554C"/>
    <w:rsid w:val="00A06663"/>
    <w:rsid w:val="00A13557"/>
    <w:rsid w:val="00A150F0"/>
    <w:rsid w:val="00A1771C"/>
    <w:rsid w:val="00A22246"/>
    <w:rsid w:val="00A241FE"/>
    <w:rsid w:val="00A35CD0"/>
    <w:rsid w:val="00A44D6C"/>
    <w:rsid w:val="00A555E5"/>
    <w:rsid w:val="00A57B08"/>
    <w:rsid w:val="00A606B1"/>
    <w:rsid w:val="00A6123A"/>
    <w:rsid w:val="00A62E73"/>
    <w:rsid w:val="00A66771"/>
    <w:rsid w:val="00A769B1"/>
    <w:rsid w:val="00A830DE"/>
    <w:rsid w:val="00A91A72"/>
    <w:rsid w:val="00AA38E6"/>
    <w:rsid w:val="00AC0B64"/>
    <w:rsid w:val="00AC1A69"/>
    <w:rsid w:val="00AE4F02"/>
    <w:rsid w:val="00AF5FC0"/>
    <w:rsid w:val="00B04088"/>
    <w:rsid w:val="00B049A4"/>
    <w:rsid w:val="00B04E5C"/>
    <w:rsid w:val="00B06463"/>
    <w:rsid w:val="00B1045C"/>
    <w:rsid w:val="00B16766"/>
    <w:rsid w:val="00B32DA1"/>
    <w:rsid w:val="00B43B95"/>
    <w:rsid w:val="00B43C56"/>
    <w:rsid w:val="00B54081"/>
    <w:rsid w:val="00B55747"/>
    <w:rsid w:val="00B704AE"/>
    <w:rsid w:val="00B723E4"/>
    <w:rsid w:val="00B87715"/>
    <w:rsid w:val="00B93737"/>
    <w:rsid w:val="00B9434E"/>
    <w:rsid w:val="00B945EA"/>
    <w:rsid w:val="00B96893"/>
    <w:rsid w:val="00BA0A5A"/>
    <w:rsid w:val="00BC0D30"/>
    <w:rsid w:val="00BC329E"/>
    <w:rsid w:val="00BC4BB1"/>
    <w:rsid w:val="00BC7D72"/>
    <w:rsid w:val="00BE0053"/>
    <w:rsid w:val="00BE1F34"/>
    <w:rsid w:val="00BE7E66"/>
    <w:rsid w:val="00C16794"/>
    <w:rsid w:val="00C240E2"/>
    <w:rsid w:val="00C35381"/>
    <w:rsid w:val="00C3695F"/>
    <w:rsid w:val="00C451EE"/>
    <w:rsid w:val="00C4655B"/>
    <w:rsid w:val="00C53A15"/>
    <w:rsid w:val="00C55F55"/>
    <w:rsid w:val="00C96703"/>
    <w:rsid w:val="00CA2B7B"/>
    <w:rsid w:val="00CB178B"/>
    <w:rsid w:val="00CB3033"/>
    <w:rsid w:val="00CC09C1"/>
    <w:rsid w:val="00CC4247"/>
    <w:rsid w:val="00CC75CC"/>
    <w:rsid w:val="00CD0CB6"/>
    <w:rsid w:val="00CD5C1E"/>
    <w:rsid w:val="00CE07F2"/>
    <w:rsid w:val="00CE5C90"/>
    <w:rsid w:val="00D03AE2"/>
    <w:rsid w:val="00D042AD"/>
    <w:rsid w:val="00D14C03"/>
    <w:rsid w:val="00D32AE0"/>
    <w:rsid w:val="00D44042"/>
    <w:rsid w:val="00D45E2D"/>
    <w:rsid w:val="00D47936"/>
    <w:rsid w:val="00D521E7"/>
    <w:rsid w:val="00D746E5"/>
    <w:rsid w:val="00D86CAA"/>
    <w:rsid w:val="00D92957"/>
    <w:rsid w:val="00D97EBF"/>
    <w:rsid w:val="00DB4FA3"/>
    <w:rsid w:val="00DB7840"/>
    <w:rsid w:val="00DC17B6"/>
    <w:rsid w:val="00DC2DFA"/>
    <w:rsid w:val="00DC4BD0"/>
    <w:rsid w:val="00DC6A98"/>
    <w:rsid w:val="00DD4ACA"/>
    <w:rsid w:val="00DD5D52"/>
    <w:rsid w:val="00DE72C2"/>
    <w:rsid w:val="00E0324C"/>
    <w:rsid w:val="00E03DF5"/>
    <w:rsid w:val="00E06D3D"/>
    <w:rsid w:val="00E23218"/>
    <w:rsid w:val="00E42F9F"/>
    <w:rsid w:val="00E43238"/>
    <w:rsid w:val="00E51D5C"/>
    <w:rsid w:val="00E61D8C"/>
    <w:rsid w:val="00E71039"/>
    <w:rsid w:val="00E7634B"/>
    <w:rsid w:val="00E76886"/>
    <w:rsid w:val="00E819BF"/>
    <w:rsid w:val="00E85276"/>
    <w:rsid w:val="00E92EB5"/>
    <w:rsid w:val="00E97404"/>
    <w:rsid w:val="00EA2F26"/>
    <w:rsid w:val="00EA5BA4"/>
    <w:rsid w:val="00EA6D34"/>
    <w:rsid w:val="00EB40A5"/>
    <w:rsid w:val="00EB5A36"/>
    <w:rsid w:val="00EC0B9E"/>
    <w:rsid w:val="00ED619D"/>
    <w:rsid w:val="00EE5043"/>
    <w:rsid w:val="00EE7759"/>
    <w:rsid w:val="00EF213E"/>
    <w:rsid w:val="00EF4B01"/>
    <w:rsid w:val="00EF61B4"/>
    <w:rsid w:val="00F0012F"/>
    <w:rsid w:val="00F02CC1"/>
    <w:rsid w:val="00F15C92"/>
    <w:rsid w:val="00F239E3"/>
    <w:rsid w:val="00F242E6"/>
    <w:rsid w:val="00F3567E"/>
    <w:rsid w:val="00F408EE"/>
    <w:rsid w:val="00F4428E"/>
    <w:rsid w:val="00F56262"/>
    <w:rsid w:val="00F67604"/>
    <w:rsid w:val="00F701E3"/>
    <w:rsid w:val="00F7051B"/>
    <w:rsid w:val="00F71ED2"/>
    <w:rsid w:val="00F86DEA"/>
    <w:rsid w:val="00F9394E"/>
    <w:rsid w:val="00F9793C"/>
    <w:rsid w:val="00FB3F66"/>
    <w:rsid w:val="00FB4CF2"/>
    <w:rsid w:val="00FC0C98"/>
    <w:rsid w:val="00FC16F3"/>
    <w:rsid w:val="00FC2CDB"/>
    <w:rsid w:val="00FD07CA"/>
    <w:rsid w:val="00FD6266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295A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552"/>
    <w:pPr>
      <w:spacing w:after="2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98"/>
    <w:pPr>
      <w:keepNext/>
      <w:spacing w:before="360" w:after="240"/>
      <w:outlineLvl w:val="0"/>
    </w:pPr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78"/>
    <w:pPr>
      <w:keepNext/>
      <w:outlineLvl w:val="1"/>
    </w:pPr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78"/>
    <w:pPr>
      <w:keepNext/>
      <w:spacing w:after="120"/>
      <w:outlineLvl w:val="2"/>
    </w:pPr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78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2B78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color w:val="554B87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2B78"/>
    <w:pPr>
      <w:keepNext/>
      <w:keepLines/>
      <w:spacing w:after="60"/>
      <w:outlineLvl w:val="5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2B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i/>
      <w:iCs/>
      <w:color w:val="554B87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42B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42B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A98"/>
    <w:rPr>
      <w:rFonts w:asciiTheme="majorHAnsi" w:eastAsiaTheme="majorEastAsia" w:hAnsiTheme="majorHAnsi" w:cstheme="majorBidi"/>
      <w:b/>
      <w:sz w:val="4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242B78"/>
    <w:rPr>
      <w:rFonts w:asciiTheme="majorHAnsi" w:eastAsiaTheme="majorEastAsia" w:hAnsiTheme="majorHAnsi" w:cstheme="majorBidi"/>
      <w:b/>
      <w:color w:val="554B87"/>
      <w:sz w:val="3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2B78"/>
    <w:rPr>
      <w:rFonts w:asciiTheme="majorHAnsi" w:eastAsiaTheme="majorEastAsia" w:hAnsiTheme="majorHAnsi" w:cstheme="majorBidi"/>
      <w:b/>
      <w:color w:val="554B87"/>
      <w:sz w:val="30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56262"/>
    <w:rPr>
      <w:b/>
      <w:color w:val="554B87"/>
      <w:u w:val="single"/>
    </w:rPr>
  </w:style>
  <w:style w:type="paragraph" w:customStyle="1" w:styleId="Bulletlevel1">
    <w:name w:val="Bullet level 1"/>
    <w:basedOn w:val="Normal"/>
    <w:qFormat/>
    <w:rsid w:val="002117E6"/>
    <w:pPr>
      <w:numPr>
        <w:numId w:val="1"/>
      </w:numPr>
      <w:ind w:left="567" w:hanging="567"/>
      <w:contextualSpacing/>
    </w:pPr>
    <w:rPr>
      <w:rFonts w:eastAsiaTheme="minorHAnsi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67552"/>
    <w:pPr>
      <w:ind w:left="567"/>
    </w:pPr>
    <w:rPr>
      <w:rFonts w:eastAsiaTheme="minorHAnsi"/>
      <w:b/>
      <w:i/>
      <w:iCs/>
      <w:color w:val="554B87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467552"/>
    <w:rPr>
      <w:rFonts w:eastAsiaTheme="minorHAnsi"/>
      <w:b/>
      <w:i/>
      <w:iCs/>
      <w:color w:val="554B87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117E6"/>
  </w:style>
  <w:style w:type="paragraph" w:styleId="Footer">
    <w:name w:val="footer"/>
    <w:basedOn w:val="Normal"/>
    <w:link w:val="FooterChar"/>
    <w:uiPriority w:val="99"/>
    <w:unhideWhenUsed/>
    <w:rsid w:val="002117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117E6"/>
  </w:style>
  <w:style w:type="character" w:customStyle="1" w:styleId="Heading4Char">
    <w:name w:val="Heading 4 Char"/>
    <w:basedOn w:val="DefaultParagraphFont"/>
    <w:link w:val="Heading4"/>
    <w:uiPriority w:val="9"/>
    <w:rsid w:val="00242B78"/>
    <w:rPr>
      <w:rFonts w:asciiTheme="majorHAnsi" w:eastAsiaTheme="majorEastAsia" w:hAnsiTheme="majorHAnsi" w:cstheme="majorBidi"/>
      <w:b/>
      <w:bCs/>
      <w:color w:val="554B87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2B78"/>
    <w:rPr>
      <w:rFonts w:asciiTheme="majorHAnsi" w:eastAsiaTheme="majorEastAsia" w:hAnsiTheme="majorHAnsi" w:cstheme="majorBidi"/>
      <w:b/>
      <w:color w:val="554B87"/>
    </w:rPr>
  </w:style>
  <w:style w:type="table" w:styleId="TableGrid">
    <w:name w:val="Table Grid"/>
    <w:basedOn w:val="TableNormal"/>
    <w:uiPriority w:val="39"/>
    <w:rsid w:val="002117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gureheading">
    <w:name w:val="Table/figure heading"/>
    <w:basedOn w:val="Normal"/>
    <w:next w:val="Normal"/>
    <w:qFormat/>
    <w:rsid w:val="008B767F"/>
    <w:pPr>
      <w:keepNext/>
      <w:spacing w:after="0"/>
    </w:pPr>
    <w:rPr>
      <w:rFonts w:asciiTheme="majorHAnsi" w:eastAsiaTheme="minorHAnsi" w:hAnsiTheme="majorHAnsi"/>
      <w:b/>
      <w:color w:val="554B87"/>
      <w:lang w:eastAsia="en-US"/>
    </w:rPr>
  </w:style>
  <w:style w:type="paragraph" w:customStyle="1" w:styleId="Tabletextcentred">
    <w:name w:val="Table text centred"/>
    <w:basedOn w:val="Normal"/>
    <w:next w:val="NoSpacing"/>
    <w:rsid w:val="002117E6"/>
    <w:pPr>
      <w:spacing w:after="0"/>
      <w:jc w:val="center"/>
    </w:pPr>
    <w:rPr>
      <w:rFonts w:eastAsia="Times New Roman" w:cs="Times New Roman"/>
      <w:szCs w:val="20"/>
      <w:lang w:eastAsia="en-US"/>
    </w:rPr>
  </w:style>
  <w:style w:type="paragraph" w:customStyle="1" w:styleId="Tablerowcolumnheadingcentred">
    <w:name w:val="Table row/column heading centred"/>
    <w:basedOn w:val="Normal"/>
    <w:next w:val="Normal"/>
    <w:rsid w:val="002117E6"/>
    <w:pPr>
      <w:spacing w:after="0"/>
      <w:jc w:val="center"/>
    </w:pPr>
    <w:rPr>
      <w:rFonts w:eastAsia="Times New Roman" w:cs="Times New Roman"/>
      <w:b/>
      <w:bCs/>
      <w:szCs w:val="20"/>
      <w:lang w:eastAsia="en-US"/>
    </w:rPr>
  </w:style>
  <w:style w:type="paragraph" w:customStyle="1" w:styleId="Tabletext">
    <w:name w:val="Table text"/>
    <w:basedOn w:val="Tabletextcentred"/>
    <w:qFormat/>
    <w:rsid w:val="002117E6"/>
    <w:pPr>
      <w:jc w:val="left"/>
    </w:pPr>
  </w:style>
  <w:style w:type="paragraph" w:styleId="NoSpacing">
    <w:name w:val="No Spacing"/>
    <w:uiPriority w:val="1"/>
    <w:qFormat/>
    <w:rsid w:val="002117E6"/>
    <w:pPr>
      <w:spacing w:after="0" w:line="240" w:lineRule="auto"/>
    </w:pPr>
  </w:style>
  <w:style w:type="paragraph" w:customStyle="1" w:styleId="Tablerowcolumnheading">
    <w:name w:val="Table row/column heading"/>
    <w:basedOn w:val="Normal"/>
    <w:next w:val="Normal"/>
    <w:rsid w:val="002117E6"/>
    <w:pPr>
      <w:spacing w:after="0"/>
    </w:pPr>
    <w:rPr>
      <w:rFonts w:eastAsia="Times New Roman" w:cs="Times New Roman"/>
      <w:b/>
      <w:bCs/>
      <w:szCs w:val="20"/>
      <w:lang w:eastAsia="en-US"/>
    </w:rPr>
  </w:style>
  <w:style w:type="paragraph" w:customStyle="1" w:styleId="Checkboxemptybulletpoint">
    <w:name w:val="Check box empty bullet point"/>
    <w:basedOn w:val="Bulletlevel1"/>
    <w:qFormat/>
    <w:rsid w:val="002117E6"/>
    <w:pPr>
      <w:numPr>
        <w:numId w:val="2"/>
      </w:numPr>
      <w:spacing w:after="0"/>
      <w:ind w:left="567" w:hanging="567"/>
    </w:pPr>
  </w:style>
  <w:style w:type="character" w:customStyle="1" w:styleId="Heading6Char">
    <w:name w:val="Heading 6 Char"/>
    <w:basedOn w:val="DefaultParagraphFont"/>
    <w:link w:val="Heading6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7Char">
    <w:name w:val="Heading 7 Char"/>
    <w:basedOn w:val="DefaultParagraphFont"/>
    <w:link w:val="Heading7"/>
    <w:uiPriority w:val="9"/>
    <w:rsid w:val="00242B78"/>
    <w:rPr>
      <w:rFonts w:asciiTheme="majorHAnsi" w:eastAsiaTheme="majorEastAsia" w:hAnsiTheme="majorHAnsi" w:cstheme="majorBidi"/>
      <w:b/>
      <w:i/>
      <w:iCs/>
      <w:color w:val="554B87"/>
    </w:rPr>
  </w:style>
  <w:style w:type="character" w:customStyle="1" w:styleId="Heading8Char">
    <w:name w:val="Heading 8 Char"/>
    <w:basedOn w:val="DefaultParagraphFont"/>
    <w:link w:val="Heading8"/>
    <w:uiPriority w:val="9"/>
    <w:rsid w:val="00242B78"/>
    <w:rPr>
      <w:rFonts w:asciiTheme="majorHAnsi" w:eastAsiaTheme="majorEastAsia" w:hAnsiTheme="majorHAnsi" w:cstheme="majorBidi"/>
      <w:b/>
      <w:color w:val="554B8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242B78"/>
    <w:rPr>
      <w:rFonts w:asciiTheme="majorHAnsi" w:eastAsiaTheme="majorEastAsia" w:hAnsiTheme="majorHAnsi" w:cstheme="majorBidi"/>
      <w:b/>
      <w:i/>
      <w:iCs/>
      <w:color w:val="554B87"/>
      <w:szCs w:val="21"/>
    </w:rPr>
  </w:style>
  <w:style w:type="character" w:styleId="PlaceholderText">
    <w:name w:val="Placeholder Text"/>
    <w:basedOn w:val="DefaultParagraphFont"/>
    <w:uiPriority w:val="99"/>
    <w:semiHidden/>
    <w:rsid w:val="0064138E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B7EF0"/>
    <w:rPr>
      <w:color w:val="15558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124E"/>
    <w:rPr>
      <w:color w:val="808080"/>
      <w:shd w:val="clear" w:color="auto" w:fill="E6E6E6"/>
    </w:rPr>
  </w:style>
  <w:style w:type="paragraph" w:customStyle="1" w:styleId="Heading2-notshowing">
    <w:name w:val="Heading 2 - not showing"/>
    <w:basedOn w:val="Heading2"/>
    <w:qFormat/>
    <w:rsid w:val="00D03AE2"/>
    <w:pPr>
      <w:spacing w:after="120"/>
    </w:pPr>
    <w:rPr>
      <w:sz w:val="32"/>
    </w:rPr>
  </w:style>
  <w:style w:type="paragraph" w:customStyle="1" w:styleId="Heading3-notshowing">
    <w:name w:val="Heading 3 - not showing"/>
    <w:basedOn w:val="Heading3"/>
    <w:qFormat/>
    <w:rsid w:val="00D03AE2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4755A2"/>
    <w:pPr>
      <w:tabs>
        <w:tab w:val="right" w:leader="dot" w:pos="9072"/>
      </w:tabs>
      <w:spacing w:before="120" w:after="0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  <w:ind w:left="1134"/>
    </w:pPr>
  </w:style>
  <w:style w:type="paragraph" w:styleId="TOC4">
    <w:name w:val="toc 4"/>
    <w:basedOn w:val="Normal"/>
    <w:next w:val="Normal"/>
    <w:autoRedefine/>
    <w:uiPriority w:val="39"/>
    <w:unhideWhenUsed/>
    <w:rsid w:val="00705B86"/>
    <w:pPr>
      <w:tabs>
        <w:tab w:val="right" w:leader="dot" w:pos="9072"/>
      </w:tabs>
      <w:spacing w:after="0"/>
    </w:pPr>
  </w:style>
  <w:style w:type="paragraph" w:customStyle="1" w:styleId="Sourcenote">
    <w:name w:val="Source / note"/>
    <w:basedOn w:val="Normal"/>
    <w:next w:val="Normal"/>
    <w:qFormat/>
    <w:rsid w:val="00C1679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16794"/>
    <w:pPr>
      <w:numPr>
        <w:numId w:val="3"/>
      </w:numPr>
      <w:ind w:left="567" w:hanging="56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5B1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B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B1D"/>
    <w:rPr>
      <w:vertAlign w:val="superscript"/>
    </w:rPr>
  </w:style>
  <w:style w:type="character" w:customStyle="1" w:styleId="superscriptfootnotereference">
    <w:name w:val="superscript footnote reference"/>
    <w:basedOn w:val="FootnoteReference"/>
    <w:uiPriority w:val="1"/>
    <w:qFormat/>
    <w:rsid w:val="003B5B1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28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283"/>
    <w:rPr>
      <w:rFonts w:ascii="Tahoma" w:hAnsi="Tahoma" w:cs="Tahoma"/>
      <w:sz w:val="16"/>
      <w:szCs w:val="16"/>
    </w:rPr>
  </w:style>
  <w:style w:type="paragraph" w:customStyle="1" w:styleId="bullets-arrows">
    <w:name w:val="bullets - arrows"/>
    <w:basedOn w:val="ListParagraph"/>
    <w:qFormat/>
    <w:rsid w:val="00B06463"/>
    <w:pPr>
      <w:numPr>
        <w:numId w:val="0"/>
      </w:numPr>
      <w:spacing w:before="240"/>
      <w:ind w:left="567" w:hanging="567"/>
    </w:pPr>
  </w:style>
  <w:style w:type="character" w:styleId="CommentReference">
    <w:name w:val="annotation reference"/>
    <w:basedOn w:val="DefaultParagraphFont"/>
    <w:uiPriority w:val="99"/>
    <w:semiHidden/>
    <w:unhideWhenUsed/>
    <w:rsid w:val="00445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5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5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8701A.460DF4D0" TargetMode="External"/><Relationship Id="rId14" Type="http://schemas.openxmlformats.org/officeDocument/2006/relationships/chart" Target="charts/chart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State%20&amp;%20Territory%20fact%20sheet%20calculations-2021-22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corp\absdfs\workgroup\NCE&amp;T\SURVEYS\Culture\Cultural%20Funding%20by%20Governments%20Survey\2021-22%20Survey\2021-2022\2.%20Validation\10%20-%20Other\State%20&amp;%20Territory%20fact%20sheet%20calculations-2021-2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State%20&amp;%20Territory%20fact%20sheet%20calculations-2021-22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State%20&amp;%20Territory%20fact%20sheet%20calculations-2021-22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State%20&amp;%20Territory%20fact%20sheet%20calculations-2021-22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oleObject" Target="file:///\\corp\absdfs\workgroup\NCE&amp;T\SURVEYS\Culture\Cultural%20Funding%20by%20Governments%20Survey\2021-22%20Survey\2021-2022\1.%20Working\10%20-%20Other\State%20&amp;%20Territory%20fact%20sheet%20calculations-2021-2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4332239720034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1 - Total'!$B$18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'Graph 1 - Total'!$A$19:$A$26</c:f>
              <c:strCache>
                <c:ptCount val="8"/>
                <c:pt idx="0">
                  <c:v>NSW</c:v>
                </c:pt>
                <c:pt idx="1">
                  <c:v>Vic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1 - Total'!$B$19:$B$26</c:f>
              <c:numCache>
                <c:formatCode>0.0</c:formatCode>
                <c:ptCount val="8"/>
                <c:pt idx="0">
                  <c:v>799.4</c:v>
                </c:pt>
                <c:pt idx="1">
                  <c:v>552.20000000000005</c:v>
                </c:pt>
                <c:pt idx="2">
                  <c:v>450.2</c:v>
                </c:pt>
                <c:pt idx="3">
                  <c:v>239.3</c:v>
                </c:pt>
                <c:pt idx="4">
                  <c:v>375.6</c:v>
                </c:pt>
                <c:pt idx="5">
                  <c:v>99.1</c:v>
                </c:pt>
                <c:pt idx="6">
                  <c:v>76</c:v>
                </c:pt>
                <c:pt idx="7">
                  <c:v>89.4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AD-4304-8F6E-B39FFD3BDEC2}"/>
            </c:ext>
          </c:extLst>
        </c:ser>
        <c:ser>
          <c:idx val="1"/>
          <c:order val="1"/>
          <c:tx>
            <c:strRef>
              <c:f>'Graph 1 - Total'!$C$18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1 - Total'!$A$19:$A$26</c:f>
              <c:strCache>
                <c:ptCount val="8"/>
                <c:pt idx="0">
                  <c:v>NSW</c:v>
                </c:pt>
                <c:pt idx="1">
                  <c:v>Vic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1 - Total'!$C$19:$C$26</c:f>
              <c:numCache>
                <c:formatCode>0.0</c:formatCode>
                <c:ptCount val="8"/>
                <c:pt idx="0">
                  <c:v>906.4</c:v>
                </c:pt>
                <c:pt idx="1">
                  <c:v>771.9</c:v>
                </c:pt>
                <c:pt idx="2">
                  <c:v>506.7</c:v>
                </c:pt>
                <c:pt idx="3">
                  <c:v>233.3</c:v>
                </c:pt>
                <c:pt idx="4">
                  <c:v>294.89999999999998</c:v>
                </c:pt>
                <c:pt idx="5">
                  <c:v>90.4</c:v>
                </c:pt>
                <c:pt idx="6">
                  <c:v>77.2</c:v>
                </c:pt>
                <c:pt idx="7">
                  <c:v>74.400000000000006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AD-4304-8F6E-B39FFD3BDEC2}"/>
            </c:ext>
          </c:extLst>
        </c:ser>
        <c:ser>
          <c:idx val="2"/>
          <c:order val="2"/>
          <c:tx>
            <c:strRef>
              <c:f>'Graph 1 - Total'!$D$18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1 - Total'!$A$19:$A$26</c:f>
              <c:strCache>
                <c:ptCount val="8"/>
                <c:pt idx="0">
                  <c:v>NSW</c:v>
                </c:pt>
                <c:pt idx="1">
                  <c:v>Vic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1 - Total'!$D$19:$D$26</c:f>
              <c:numCache>
                <c:formatCode>0.0</c:formatCode>
                <c:ptCount val="8"/>
                <c:pt idx="0">
                  <c:v>1159.5999999999999</c:v>
                </c:pt>
                <c:pt idx="1">
                  <c:v>745</c:v>
                </c:pt>
                <c:pt idx="2">
                  <c:v>518.1</c:v>
                </c:pt>
                <c:pt idx="3">
                  <c:v>296</c:v>
                </c:pt>
                <c:pt idx="4">
                  <c:v>350.1</c:v>
                </c:pt>
                <c:pt idx="5">
                  <c:v>94.9</c:v>
                </c:pt>
                <c:pt idx="6">
                  <c:v>79.900000000000006</c:v>
                </c:pt>
                <c:pt idx="7">
                  <c:v>82.1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AD-4304-8F6E-B39FFD3BDE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74528"/>
        <c:axId val="233176064"/>
      </c:barChart>
      <c:catAx>
        <c:axId val="2331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6064"/>
        <c:crosses val="autoZero"/>
        <c:auto val="1"/>
        <c:lblAlgn val="ctr"/>
        <c:lblOffset val="100"/>
        <c:noMultiLvlLbl val="0"/>
      </c:catAx>
      <c:valAx>
        <c:axId val="2331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77195305169"/>
          <c:y val="0.21381962671332749"/>
          <c:w val="0.12888451443569557"/>
          <c:h val="0.17079870224555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43322397200349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2 - Heritage'!$B$27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64646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F91-4513-9483-7B7CC453FBF8}"/>
              </c:ext>
            </c:extLst>
          </c:dPt>
          <c:dPt>
            <c:idx val="1"/>
            <c:invertIfNegative val="0"/>
            <c:bubble3D val="0"/>
            <c:spPr>
              <a:solidFill>
                <a:srgbClr val="64646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F91-4513-9483-7B7CC453FBF8}"/>
              </c:ext>
            </c:extLst>
          </c:dPt>
          <c:dPt>
            <c:idx val="2"/>
            <c:invertIfNegative val="0"/>
            <c:bubble3D val="0"/>
            <c:spPr>
              <a:solidFill>
                <a:srgbClr val="64646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F91-4513-9483-7B7CC453FBF8}"/>
              </c:ext>
            </c:extLst>
          </c:dPt>
          <c:dPt>
            <c:idx val="3"/>
            <c:invertIfNegative val="0"/>
            <c:bubble3D val="0"/>
            <c:spPr>
              <a:solidFill>
                <a:srgbClr val="64646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3F91-4513-9483-7B7CC453FBF8}"/>
              </c:ext>
            </c:extLst>
          </c:dPt>
          <c:cat>
            <c:strRef>
              <c:f>'Graph 2 - Heritage'!$A$28:$A$31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'Graph 2 - Heritage'!$B$28:$B$31</c:f>
              <c:numCache>
                <c:formatCode>#,##0.0</c:formatCode>
                <c:ptCount val="4"/>
                <c:pt idx="0">
                  <c:v>296.8</c:v>
                </c:pt>
                <c:pt idx="1">
                  <c:v>607.70000000000005</c:v>
                </c:pt>
                <c:pt idx="2">
                  <c:v>484.1</c:v>
                </c:pt>
                <c:pt idx="3">
                  <c:v>69.400000000000006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F91-4513-9483-7B7CC453FBF8}"/>
            </c:ext>
          </c:extLst>
        </c:ser>
        <c:ser>
          <c:idx val="1"/>
          <c:order val="1"/>
          <c:tx>
            <c:strRef>
              <c:f>'Graph 2 - Heritage'!$C$27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2 - Heritage'!$A$28:$A$31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'Graph 2 - Heritage'!$C$28:$C$31</c:f>
              <c:numCache>
                <c:formatCode>#,##0.0</c:formatCode>
                <c:ptCount val="4"/>
                <c:pt idx="0">
                  <c:v>414</c:v>
                </c:pt>
                <c:pt idx="1">
                  <c:v>505.5</c:v>
                </c:pt>
                <c:pt idx="2">
                  <c:v>451.6</c:v>
                </c:pt>
                <c:pt idx="3">
                  <c:v>59.2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3F91-4513-9483-7B7CC453FBF8}"/>
            </c:ext>
          </c:extLst>
        </c:ser>
        <c:ser>
          <c:idx val="2"/>
          <c:order val="2"/>
          <c:tx>
            <c:strRef>
              <c:f>'Graph 2 - Heritage'!$D$27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2 - Heritage'!$A$28:$A$31</c:f>
              <c:strCache>
                <c:ptCount val="4"/>
                <c:pt idx="0">
                  <c:v>Art museums</c:v>
                </c:pt>
                <c:pt idx="1">
                  <c:v>Other museums &amp; cultural heritage</c:v>
                </c:pt>
                <c:pt idx="2">
                  <c:v>Libraries</c:v>
                </c:pt>
                <c:pt idx="3">
                  <c:v>Archives</c:v>
                </c:pt>
              </c:strCache>
            </c:strRef>
          </c:cat>
          <c:val>
            <c:numRef>
              <c:f>'Graph 2 - Heritage'!$D$28:$D$31</c:f>
              <c:numCache>
                <c:formatCode>#,##0.0</c:formatCode>
                <c:ptCount val="4"/>
                <c:pt idx="0">
                  <c:v>444.5</c:v>
                </c:pt>
                <c:pt idx="1">
                  <c:v>629.1</c:v>
                </c:pt>
                <c:pt idx="2">
                  <c:v>462.6</c:v>
                </c:pt>
                <c:pt idx="3">
                  <c:v>59.6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F91-4513-9483-7B7CC453F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33174528"/>
        <c:axId val="233176064"/>
      </c:barChart>
      <c:catAx>
        <c:axId val="233174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6064"/>
        <c:crosses val="autoZero"/>
        <c:auto val="1"/>
        <c:lblAlgn val="ctr"/>
        <c:lblOffset val="100"/>
        <c:noMultiLvlLbl val="0"/>
      </c:catAx>
      <c:valAx>
        <c:axId val="2331760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331745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2819477195305169"/>
          <c:y val="0.21381962671332749"/>
          <c:w val="0.12888451443569557"/>
          <c:h val="0.170798702245552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1091498979294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3 - Arts'!$B$17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'Graph 3 - Arts'!$A$18:$A$24</c:f>
              <c:strCache>
                <c:ptCount val="7"/>
                <c:pt idx="0">
                  <c:v>Music </c:v>
                </c:pt>
                <c:pt idx="1">
                  <c:v>Music theatre &amp; opera</c:v>
                </c:pt>
                <c:pt idx="2">
                  <c:v>Performing arts venues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'Graph 3 - Arts'!$B$18:$B$24</c:f>
              <c:numCache>
                <c:formatCode>General</c:formatCode>
                <c:ptCount val="7"/>
                <c:pt idx="0">
                  <c:v>77.400000000000006</c:v>
                </c:pt>
                <c:pt idx="1">
                  <c:v>20.399999999999999</c:v>
                </c:pt>
                <c:pt idx="2">
                  <c:v>411.9</c:v>
                </c:pt>
                <c:pt idx="3">
                  <c:v>138.1</c:v>
                </c:pt>
                <c:pt idx="4">
                  <c:v>136.19999999999999</c:v>
                </c:pt>
                <c:pt idx="5">
                  <c:v>56</c:v>
                </c:pt>
                <c:pt idx="6">
                  <c:v>116.7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CC-4990-B47C-E97A6C23EA35}"/>
            </c:ext>
          </c:extLst>
        </c:ser>
        <c:ser>
          <c:idx val="1"/>
          <c:order val="1"/>
          <c:tx>
            <c:strRef>
              <c:f>'Graph 3 - Arts'!$C$17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3 - Arts'!$A$18:$A$24</c:f>
              <c:strCache>
                <c:ptCount val="7"/>
                <c:pt idx="0">
                  <c:v>Music </c:v>
                </c:pt>
                <c:pt idx="1">
                  <c:v>Music theatre &amp; opera</c:v>
                </c:pt>
                <c:pt idx="2">
                  <c:v>Performing arts venues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'Graph 3 - Arts'!$C$18:$C$24</c:f>
              <c:numCache>
                <c:formatCode>#,##0.0</c:formatCode>
                <c:ptCount val="7"/>
                <c:pt idx="0">
                  <c:v>108.7</c:v>
                </c:pt>
                <c:pt idx="1">
                  <c:v>22.6</c:v>
                </c:pt>
                <c:pt idx="2">
                  <c:v>510.9</c:v>
                </c:pt>
                <c:pt idx="3">
                  <c:v>161.6</c:v>
                </c:pt>
                <c:pt idx="4">
                  <c:v>176.2</c:v>
                </c:pt>
                <c:pt idx="5">
                  <c:v>99.5</c:v>
                </c:pt>
                <c:pt idx="6">
                  <c:v>89.3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CC-4990-B47C-E97A6C23EA35}"/>
            </c:ext>
          </c:extLst>
        </c:ser>
        <c:ser>
          <c:idx val="2"/>
          <c:order val="2"/>
          <c:tx>
            <c:strRef>
              <c:f>'Graph 3 - Arts'!$D$17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3 - Arts'!$A$18:$A$24</c:f>
              <c:strCache>
                <c:ptCount val="7"/>
                <c:pt idx="0">
                  <c:v>Music </c:v>
                </c:pt>
                <c:pt idx="1">
                  <c:v>Music theatre &amp; opera</c:v>
                </c:pt>
                <c:pt idx="2">
                  <c:v>Performing arts venues</c:v>
                </c:pt>
                <c:pt idx="3">
                  <c:v>Film &amp; video production &amp; distribution</c:v>
                </c:pt>
                <c:pt idx="4">
                  <c:v>Arts education</c:v>
                </c:pt>
                <c:pt idx="5">
                  <c:v>Multi-arts festivals</c:v>
                </c:pt>
                <c:pt idx="6">
                  <c:v>Arts administration</c:v>
                </c:pt>
              </c:strCache>
            </c:strRef>
          </c:cat>
          <c:val>
            <c:numRef>
              <c:f>'Graph 3 - Arts'!$D$18:$D$24</c:f>
              <c:numCache>
                <c:formatCode>#,##0.0</c:formatCode>
                <c:ptCount val="7"/>
                <c:pt idx="0">
                  <c:v>197.8</c:v>
                </c:pt>
                <c:pt idx="1">
                  <c:v>88.7</c:v>
                </c:pt>
                <c:pt idx="2">
                  <c:v>454.9</c:v>
                </c:pt>
                <c:pt idx="3">
                  <c:v>175.4</c:v>
                </c:pt>
                <c:pt idx="4">
                  <c:v>184.5</c:v>
                </c:pt>
                <c:pt idx="5">
                  <c:v>110.4</c:v>
                </c:pt>
                <c:pt idx="6">
                  <c:v>99.5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3CC-4990-B47C-E97A6C23EA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"/>
        <c:axId val="226482816"/>
        <c:axId val="226484608"/>
      </c:barChart>
      <c:catAx>
        <c:axId val="2264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4608"/>
        <c:crosses val="autoZero"/>
        <c:auto val="1"/>
        <c:lblAlgn val="ctr"/>
        <c:lblOffset val="100"/>
        <c:noMultiLvlLbl val="0"/>
      </c:catAx>
      <c:valAx>
        <c:axId val="2264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1915397301565945E-2"/>
              <c:y val="1.271981627296586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8178004388795663"/>
          <c:y val="0.10928532501456413"/>
          <c:w val="0.15110665388534239"/>
          <c:h val="0.2218184466201867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109149897929425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'Graph 4 &amp; 5 - Recurrent'!$H$9</c:f>
              <c:strCache>
                <c:ptCount val="1"/>
                <c:pt idx="0">
                  <c:v>2021–22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4 &amp; 5 - Recurrent'!$G$10:$G$18</c:f>
              <c:strCache>
                <c:ptCount val="9"/>
                <c:pt idx="0">
                  <c:v>Multi-arts festivals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Performing arts venues</c:v>
                </c:pt>
                <c:pt idx="4">
                  <c:v>Music theatre &amp; opera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'Graph 4 &amp; 5 - Recurrent'!$H$10:$H$18</c:f>
              <c:numCache>
                <c:formatCode>#,##0.0</c:formatCode>
                <c:ptCount val="9"/>
                <c:pt idx="0">
                  <c:v>110.3</c:v>
                </c:pt>
                <c:pt idx="1">
                  <c:v>183.9</c:v>
                </c:pt>
                <c:pt idx="2">
                  <c:v>169.2</c:v>
                </c:pt>
                <c:pt idx="3">
                  <c:v>205.9</c:v>
                </c:pt>
                <c:pt idx="4">
                  <c:v>88.7</c:v>
                </c:pt>
                <c:pt idx="5">
                  <c:v>197.2</c:v>
                </c:pt>
                <c:pt idx="6">
                  <c:v>399.6</c:v>
                </c:pt>
                <c:pt idx="7">
                  <c:v>428.5</c:v>
                </c:pt>
                <c:pt idx="8">
                  <c:v>247.7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0D-4120-BCAC-A60B813AEBCA}"/>
            </c:ext>
          </c:extLst>
        </c:ser>
        <c:ser>
          <c:idx val="1"/>
          <c:order val="1"/>
          <c:tx>
            <c:strRef>
              <c:f>'Graph 4 &amp; 5 - Recurrent'!$I$9</c:f>
              <c:strCache>
                <c:ptCount val="1"/>
                <c:pt idx="0">
                  <c:v>2020–21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4 &amp; 5 - Recurrent'!$G$10:$G$18</c:f>
              <c:strCache>
                <c:ptCount val="9"/>
                <c:pt idx="0">
                  <c:v>Multi-arts festivals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Performing arts venues</c:v>
                </c:pt>
                <c:pt idx="4">
                  <c:v>Music theatre &amp; opera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'Graph 4 &amp; 5 - Recurrent'!$I$10:$I$18</c:f>
              <c:numCache>
                <c:formatCode>#,##0.0</c:formatCode>
                <c:ptCount val="9"/>
                <c:pt idx="0">
                  <c:v>99.4</c:v>
                </c:pt>
                <c:pt idx="1">
                  <c:v>175.5</c:v>
                </c:pt>
                <c:pt idx="2">
                  <c:v>119.7</c:v>
                </c:pt>
                <c:pt idx="3">
                  <c:v>277.5</c:v>
                </c:pt>
                <c:pt idx="4">
                  <c:v>22.6</c:v>
                </c:pt>
                <c:pt idx="5">
                  <c:v>106.5</c:v>
                </c:pt>
                <c:pt idx="6">
                  <c:v>409.3</c:v>
                </c:pt>
                <c:pt idx="7">
                  <c:v>399.9</c:v>
                </c:pt>
                <c:pt idx="8">
                  <c:v>254.3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0D-4120-BCAC-A60B813AEBCA}"/>
            </c:ext>
          </c:extLst>
        </c:ser>
        <c:ser>
          <c:idx val="2"/>
          <c:order val="2"/>
          <c:tx>
            <c:strRef>
              <c:f>'Graph 4 &amp; 5 - Recurrent'!$J$9</c:f>
              <c:strCache>
                <c:ptCount val="1"/>
                <c:pt idx="0">
                  <c:v>2019–20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'Graph 4 &amp; 5 - Recurrent'!$G$10:$G$18</c:f>
              <c:strCache>
                <c:ptCount val="9"/>
                <c:pt idx="0">
                  <c:v>Multi-arts festivals</c:v>
                </c:pt>
                <c:pt idx="1">
                  <c:v>Arts education</c:v>
                </c:pt>
                <c:pt idx="2">
                  <c:v>Film &amp; video production &amp; distribution</c:v>
                </c:pt>
                <c:pt idx="3">
                  <c:v>Performing arts venues</c:v>
                </c:pt>
                <c:pt idx="4">
                  <c:v>Music theatre &amp; opera</c:v>
                </c:pt>
                <c:pt idx="5">
                  <c:v>Music </c:v>
                </c:pt>
                <c:pt idx="6">
                  <c:v>Libraries</c:v>
                </c:pt>
                <c:pt idx="7">
                  <c:v>Other museums &amp; cultural heritage</c:v>
                </c:pt>
                <c:pt idx="8">
                  <c:v>Art museums</c:v>
                </c:pt>
              </c:strCache>
            </c:strRef>
          </c:cat>
          <c:val>
            <c:numRef>
              <c:f>'Graph 4 &amp; 5 - Recurrent'!$J$10:$J$18</c:f>
              <c:numCache>
                <c:formatCode>#,##0.0</c:formatCode>
                <c:ptCount val="9"/>
                <c:pt idx="0">
                  <c:v>56</c:v>
                </c:pt>
                <c:pt idx="1">
                  <c:v>136.1</c:v>
                </c:pt>
                <c:pt idx="2">
                  <c:v>109.7</c:v>
                </c:pt>
                <c:pt idx="3">
                  <c:v>156.1</c:v>
                </c:pt>
                <c:pt idx="4">
                  <c:v>20.399999999999999</c:v>
                </c:pt>
                <c:pt idx="5">
                  <c:v>70.3</c:v>
                </c:pt>
                <c:pt idx="6">
                  <c:v>440.6</c:v>
                </c:pt>
                <c:pt idx="7">
                  <c:v>373.2</c:v>
                </c:pt>
                <c:pt idx="8">
                  <c:v>214.9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0D-4120-BCAC-A60B813AE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6482816"/>
        <c:axId val="226484608"/>
      </c:barChart>
      <c:catAx>
        <c:axId val="226482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4608"/>
        <c:crosses val="autoZero"/>
        <c:auto val="1"/>
        <c:lblAlgn val="ctr"/>
        <c:lblOffset val="100"/>
        <c:noMultiLvlLbl val="0"/>
      </c:catAx>
      <c:valAx>
        <c:axId val="226484608"/>
        <c:scaling>
          <c:orientation val="minMax"/>
          <c:max val="45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t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0.62567195767195771"/>
              <c:y val="0.913088686792379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t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79778713861145434"/>
          <c:y val="0.48812892853337975"/>
          <c:w val="0.13659308654471122"/>
          <c:h val="0.2312519975593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1091498979294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4 &amp; 5 - Recurrent'!$B$43</c:f>
              <c:strCache>
                <c:ptCount val="1"/>
                <c:pt idx="0">
                  <c:v>Heritage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'Graph 4 &amp; 5 - Recurrent'!$A$44:$A$51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4 &amp; 5 - Recurrent'!$B$44:$B$51</c:f>
              <c:numCache>
                <c:formatCode>#,##0.0</c:formatCode>
                <c:ptCount val="8"/>
                <c:pt idx="0">
                  <c:v>304.7</c:v>
                </c:pt>
                <c:pt idx="1">
                  <c:v>262.8</c:v>
                </c:pt>
                <c:pt idx="2">
                  <c:v>211.4</c:v>
                </c:pt>
                <c:pt idx="3">
                  <c:v>83.6</c:v>
                </c:pt>
                <c:pt idx="4">
                  <c:v>124.1</c:v>
                </c:pt>
                <c:pt idx="5">
                  <c:v>65</c:v>
                </c:pt>
                <c:pt idx="6">
                  <c:v>36.200000000000003</c:v>
                </c:pt>
                <c:pt idx="7">
                  <c:v>39.6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8A-4842-8478-AD0F5E5D1AE0}"/>
            </c:ext>
          </c:extLst>
        </c:ser>
        <c:ser>
          <c:idx val="1"/>
          <c:order val="1"/>
          <c:tx>
            <c:strRef>
              <c:f>'Graph 4 &amp; 5 - Recurrent'!$C$43</c:f>
              <c:strCache>
                <c:ptCount val="1"/>
                <c:pt idx="0">
                  <c:v>Arts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4 &amp; 5 - Recurrent'!$A$44:$A$51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4 &amp; 5 - Recurrent'!$C$44:$C$51</c:f>
              <c:numCache>
                <c:formatCode>#,##0.0</c:formatCode>
                <c:ptCount val="8"/>
                <c:pt idx="0">
                  <c:v>505.1</c:v>
                </c:pt>
                <c:pt idx="1">
                  <c:v>312</c:v>
                </c:pt>
                <c:pt idx="2">
                  <c:v>190.9</c:v>
                </c:pt>
                <c:pt idx="3">
                  <c:v>159.80000000000001</c:v>
                </c:pt>
                <c:pt idx="4">
                  <c:v>134.5</c:v>
                </c:pt>
                <c:pt idx="5">
                  <c:v>27.9</c:v>
                </c:pt>
                <c:pt idx="6">
                  <c:v>36.700000000000003</c:v>
                </c:pt>
                <c:pt idx="7">
                  <c:v>34.700000000000003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78A-4842-8478-AD0F5E5D1AE0}"/>
            </c:ext>
          </c:extLst>
        </c:ser>
        <c:ser>
          <c:idx val="2"/>
          <c:order val="2"/>
          <c:tx>
            <c:strRef>
              <c:f>'Graph 4 &amp; 5 - Recurrent'!$D$43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4 &amp; 5 - Recurrent'!$A$44:$A$51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4 &amp; 5 - Recurrent'!$D$44:$D$51</c:f>
              <c:numCache>
                <c:formatCode>#,##0.0</c:formatCode>
                <c:ptCount val="8"/>
                <c:pt idx="0">
                  <c:v>815.7</c:v>
                </c:pt>
                <c:pt idx="1">
                  <c:v>574.79999999999995</c:v>
                </c:pt>
                <c:pt idx="2">
                  <c:v>402.3</c:v>
                </c:pt>
                <c:pt idx="3">
                  <c:v>243.5</c:v>
                </c:pt>
                <c:pt idx="4" formatCode="0.0">
                  <c:v>274.8</c:v>
                </c:pt>
                <c:pt idx="5">
                  <c:v>92.9</c:v>
                </c:pt>
                <c:pt idx="6">
                  <c:v>72.900000000000006</c:v>
                </c:pt>
                <c:pt idx="7">
                  <c:v>74.3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8A-4842-8478-AD0F5E5D1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6482816"/>
        <c:axId val="226484608"/>
      </c:barChart>
      <c:catAx>
        <c:axId val="2264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4608"/>
        <c:crosses val="autoZero"/>
        <c:auto val="1"/>
        <c:lblAlgn val="ctr"/>
        <c:lblOffset val="100"/>
        <c:noMultiLvlLbl val="0"/>
      </c:catAx>
      <c:valAx>
        <c:axId val="226484608"/>
        <c:scaling>
          <c:orientation val="minMax"/>
          <c:max val="7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6.6941798941798955E-2"/>
              <c:y val="3.239987990431086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4738857642794652"/>
          <c:y val="0.24212646850877959"/>
          <c:w val="0.13674154102830169"/>
          <c:h val="0.215358389479665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1804133760936596E-2"/>
          <c:y val="0.10801062711197798"/>
          <c:w val="0.92060062315153779"/>
          <c:h val="0.7109149897929425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'Graph 6 - Capital'!$B$47</c:f>
              <c:strCache>
                <c:ptCount val="1"/>
                <c:pt idx="0">
                  <c:v>Heritage</c:v>
                </c:pt>
              </c:strCache>
            </c:strRef>
          </c:tx>
          <c:spPr>
            <a:solidFill>
              <a:srgbClr val="646464"/>
            </a:solidFill>
            <a:ln>
              <a:noFill/>
            </a:ln>
            <a:effectLst/>
          </c:spPr>
          <c:invertIfNegative val="0"/>
          <c:cat>
            <c:strRef>
              <c:f>'Graph 6 - Capital'!$A$48:$A$55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6 - Capital'!$B$48:$B$55</c:f>
              <c:numCache>
                <c:formatCode>#,##0.0</c:formatCode>
                <c:ptCount val="8"/>
                <c:pt idx="0">
                  <c:v>277.10000000000002</c:v>
                </c:pt>
                <c:pt idx="1">
                  <c:v>67.400000000000006</c:v>
                </c:pt>
                <c:pt idx="2">
                  <c:v>26.9</c:v>
                </c:pt>
                <c:pt idx="3">
                  <c:v>32.200000000000003</c:v>
                </c:pt>
                <c:pt idx="4">
                  <c:v>53.5</c:v>
                </c:pt>
                <c:pt idx="5">
                  <c:v>2</c:v>
                </c:pt>
                <c:pt idx="6">
                  <c:v>6.2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C6-44A5-86D4-70BB8B85A718}"/>
            </c:ext>
          </c:extLst>
        </c:ser>
        <c:ser>
          <c:idx val="1"/>
          <c:order val="1"/>
          <c:tx>
            <c:strRef>
              <c:f>'Graph 6 - Capital'!$C$47</c:f>
              <c:strCache>
                <c:ptCount val="1"/>
                <c:pt idx="0">
                  <c:v>Arts</c:v>
                </c:pt>
              </c:strCache>
            </c:strRef>
          </c:tx>
          <c:spPr>
            <a:solidFill>
              <a:srgbClr val="0F293A"/>
            </a:solidFill>
            <a:ln>
              <a:noFill/>
            </a:ln>
            <a:effectLst/>
          </c:spPr>
          <c:invertIfNegative val="0"/>
          <c:cat>
            <c:strRef>
              <c:f>'Graph 6 - Capital'!$A$48:$A$55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6 - Capital'!$C$48:$C$55</c:f>
              <c:numCache>
                <c:formatCode>#,##0.0</c:formatCode>
                <c:ptCount val="8"/>
                <c:pt idx="0">
                  <c:v>66.8</c:v>
                </c:pt>
                <c:pt idx="1">
                  <c:v>102.9</c:v>
                </c:pt>
                <c:pt idx="2">
                  <c:v>88.9</c:v>
                </c:pt>
                <c:pt idx="3">
                  <c:v>20.3</c:v>
                </c:pt>
                <c:pt idx="4">
                  <c:v>21.7</c:v>
                </c:pt>
                <c:pt idx="5">
                  <c:v>0</c:v>
                </c:pt>
                <c:pt idx="6">
                  <c:v>0.8</c:v>
                </c:pt>
                <c:pt idx="7">
                  <c:v>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C6-44A5-86D4-70BB8B85A718}"/>
            </c:ext>
          </c:extLst>
        </c:ser>
        <c:ser>
          <c:idx val="2"/>
          <c:order val="2"/>
          <c:tx>
            <c:strRef>
              <c:f>'Graph 6 - Capital'!$D$47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rgbClr val="513AC4"/>
            </a:solidFill>
            <a:ln>
              <a:noFill/>
            </a:ln>
            <a:effectLst/>
          </c:spPr>
          <c:invertIfNegative val="0"/>
          <c:cat>
            <c:strRef>
              <c:f>'Graph 6 - Capital'!$A$48:$A$55</c:f>
              <c:strCache>
                <c:ptCount val="8"/>
                <c:pt idx="0">
                  <c:v>NSW</c:v>
                </c:pt>
                <c:pt idx="1">
                  <c:v>Vic.</c:v>
                </c:pt>
                <c:pt idx="2">
                  <c:v>Qld</c:v>
                </c:pt>
                <c:pt idx="3">
                  <c:v>SA</c:v>
                </c:pt>
                <c:pt idx="4">
                  <c:v>WA</c:v>
                </c:pt>
                <c:pt idx="5">
                  <c:v>Tas.</c:v>
                </c:pt>
                <c:pt idx="6">
                  <c:v>NT</c:v>
                </c:pt>
                <c:pt idx="7">
                  <c:v>ACT</c:v>
                </c:pt>
              </c:strCache>
            </c:strRef>
          </c:cat>
          <c:val>
            <c:numRef>
              <c:f>'Graph 6 - Capital'!$D$48:$D$55</c:f>
              <c:numCache>
                <c:formatCode>#,##0.0</c:formatCode>
                <c:ptCount val="8"/>
                <c:pt idx="0">
                  <c:v>343.9</c:v>
                </c:pt>
                <c:pt idx="1">
                  <c:v>170.2</c:v>
                </c:pt>
                <c:pt idx="2">
                  <c:v>115.8</c:v>
                </c:pt>
                <c:pt idx="3">
                  <c:v>52.5</c:v>
                </c:pt>
                <c:pt idx="4" formatCode="0.0">
                  <c:v>75.2</c:v>
                </c:pt>
                <c:pt idx="5">
                  <c:v>2</c:v>
                </c:pt>
                <c:pt idx="6">
                  <c:v>7</c:v>
                </c:pt>
                <c:pt idx="7">
                  <c:v>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C6-44A5-86D4-70BB8B85A7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26482816"/>
        <c:axId val="226484608"/>
      </c:barChart>
      <c:catAx>
        <c:axId val="2264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646464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4608"/>
        <c:crosses val="autoZero"/>
        <c:auto val="1"/>
        <c:lblAlgn val="ctr"/>
        <c:lblOffset val="100"/>
        <c:noMultiLvlLbl val="0"/>
      </c:catAx>
      <c:valAx>
        <c:axId val="226484608"/>
        <c:scaling>
          <c:orientation val="minMax"/>
          <c:max val="35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wrap="square" anchor="ctr" anchorCtr="0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$m</a:t>
                </a:r>
              </a:p>
            </c:rich>
          </c:tx>
          <c:layout>
            <c:manualLayout>
              <c:xMode val="edge"/>
              <c:yMode val="edge"/>
              <c:x val="1.6148148148148144E-2"/>
              <c:y val="1.865411153502719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0"/>
            <a:lstStyle/>
            <a:p>
              <a:pPr>
                <a:defRPr sz="800" b="0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rgbClr val="646464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6482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84738857642794652"/>
          <c:y val="0.24212646850877959"/>
          <c:w val="0.13020126231544396"/>
          <c:h val="0.264064526180802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DoCA">
      <a:dk1>
        <a:srgbClr val="000000"/>
      </a:dk1>
      <a:lt1>
        <a:srgbClr val="FFFFFF"/>
      </a:lt1>
      <a:dk2>
        <a:srgbClr val="155589"/>
      </a:dk2>
      <a:lt2>
        <a:srgbClr val="E4E4E4"/>
      </a:lt2>
      <a:accent1>
        <a:srgbClr val="77D1F5"/>
      </a:accent1>
      <a:accent2>
        <a:srgbClr val="4EB2B5"/>
      </a:accent2>
      <a:accent3>
        <a:srgbClr val="959ACD"/>
      </a:accent3>
      <a:accent4>
        <a:srgbClr val="1177AD"/>
      </a:accent4>
      <a:accent5>
        <a:srgbClr val="BADB98"/>
      </a:accent5>
      <a:accent6>
        <a:srgbClr val="626E81"/>
      </a:accent6>
      <a:hlink>
        <a:srgbClr val="155589"/>
      </a:hlink>
      <a:folHlink>
        <a:srgbClr val="155589"/>
      </a:folHlink>
    </a:clrScheme>
    <a:fontScheme name="DoC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33E8-6695-494C-B60F-F29BA305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Funding by Government — 2021–22 — State and Territory Government</vt:lpstr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Funding by Government — 2021–22 — State and Territory Government</dc:title>
  <dc:subject/>
  <dc:creator/>
  <cp:keywords/>
  <dc:description/>
  <cp:lastModifiedBy/>
  <cp:revision>1</cp:revision>
  <dcterms:created xsi:type="dcterms:W3CDTF">2023-08-14T06:42:00Z</dcterms:created>
  <dcterms:modified xsi:type="dcterms:W3CDTF">2023-08-14T06:42:00Z</dcterms:modified>
</cp:coreProperties>
</file>