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145429" w:rsidRDefault="00145429" w:rsidP="00145429">
      <w:pPr>
        <w:pStyle w:val="Heading1"/>
      </w:pPr>
      <w:r>
        <w:t>Cultural Funding by Government—</w:t>
      </w:r>
      <w:r w:rsidRPr="00A66FB6">
        <w:t>2021–22</w:t>
      </w:r>
    </w:p>
    <w:p w:rsidR="00145429" w:rsidRDefault="00145429" w:rsidP="00145429">
      <w:pPr>
        <w:pStyle w:val="Heading2"/>
      </w:pPr>
      <w:r>
        <w:rPr>
          <w:szCs w:val="36"/>
        </w:rPr>
        <w:t xml:space="preserve">Australian </w:t>
      </w:r>
      <w:r w:rsidRPr="00527D9C">
        <w:rPr>
          <w:szCs w:val="36"/>
        </w:rPr>
        <w:t>Government</w:t>
      </w:r>
      <w:r>
        <w:rPr>
          <w:szCs w:val="36"/>
        </w:rPr>
        <w:t xml:space="preserve"> </w:t>
      </w:r>
    </w:p>
    <w:p w:rsidR="00145429" w:rsidRPr="00A63A66" w:rsidRDefault="00145429" w:rsidP="00145429">
      <w:r w:rsidRPr="00A63A66">
        <w:t xml:space="preserve">In 2021–22 the estimate of expenditure on cultural activities, funded by the Australian Government, was </w:t>
      </w:r>
      <w:r w:rsidRPr="00A63A66">
        <w:rPr>
          <w:b/>
        </w:rPr>
        <w:t>$3,165.2m</w:t>
      </w:r>
      <w:r w:rsidRPr="00A63A66">
        <w:t xml:space="preserve"> representing a rise of 7% or </w:t>
      </w:r>
      <w:r w:rsidRPr="00A63A66">
        <w:rPr>
          <w:b/>
        </w:rPr>
        <w:t>$198.2m</w:t>
      </w:r>
      <w:r w:rsidRPr="00A63A66">
        <w:t xml:space="preserve"> from 2020–21. This amount includes </w:t>
      </w:r>
      <w:r w:rsidRPr="00A63A66">
        <w:rPr>
          <w:b/>
        </w:rPr>
        <w:t>$210.1m</w:t>
      </w:r>
      <w:r w:rsidRPr="00A63A66">
        <w:t xml:space="preserve"> targeted COVID support funding for cultural and creative organisations and infrastructure, businesses, individuals, support programs and initiatives. </w:t>
      </w:r>
      <w:r w:rsidR="00F25FCB">
        <w:t xml:space="preserve">The COVID funding includes </w:t>
      </w:r>
      <w:r w:rsidR="00F25FCB" w:rsidRPr="00E61D8C">
        <w:rPr>
          <w:b/>
          <w:bCs/>
        </w:rPr>
        <w:t>$</w:t>
      </w:r>
      <w:r w:rsidR="00F25FCB">
        <w:rPr>
          <w:b/>
          <w:bCs/>
        </w:rPr>
        <w:t>4.4</w:t>
      </w:r>
      <w:r w:rsidR="00F25FCB" w:rsidRPr="00E61D8C">
        <w:rPr>
          <w:b/>
          <w:bCs/>
        </w:rPr>
        <w:t>m</w:t>
      </w:r>
      <w:r w:rsidR="00F25FCB" w:rsidRPr="00E61D8C">
        <w:t xml:space="preserve"> </w:t>
      </w:r>
      <w:r w:rsidR="00F25FCB">
        <w:t xml:space="preserve">that </w:t>
      </w:r>
      <w:r w:rsidR="00F25FCB" w:rsidRPr="00E61D8C">
        <w:t xml:space="preserve">could not be </w:t>
      </w:r>
      <w:r w:rsidR="00F25FCB">
        <w:t xml:space="preserve">reported by individual </w:t>
      </w:r>
      <w:r w:rsidR="00F25FCB" w:rsidRPr="00E61D8C">
        <w:t>category and is included in the totals</w:t>
      </w:r>
      <w:r w:rsidR="00F25FCB">
        <w:t xml:space="preserve"> only.</w:t>
      </w:r>
    </w:p>
    <w:p w:rsidR="00145429" w:rsidRPr="00A63A66" w:rsidRDefault="00145429" w:rsidP="00145429">
      <w:pPr>
        <w:pStyle w:val="Tablefigureheading"/>
      </w:pPr>
      <w:r w:rsidRPr="00A63A66">
        <w:t>Table 1. Australian Government cultural expenditure, 2019–20 to 2021–22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Australian Government cultural expenditure, 2019–20 to 2021–22"/>
        <w:tblDescription w:val="Table 1. Australian Government cultural expenditure, 2019–20 to 2021–22"/>
      </w:tblPr>
      <w:tblGrid>
        <w:gridCol w:w="1204"/>
        <w:gridCol w:w="1985"/>
        <w:gridCol w:w="1985"/>
      </w:tblGrid>
      <w:tr w:rsidR="00145429" w:rsidRPr="00A66FB6" w:rsidTr="006133D6">
        <w:trPr>
          <w:cantSplit/>
          <w:trHeight w:val="308"/>
          <w:tblHeader/>
        </w:trPr>
        <w:tc>
          <w:tcPr>
            <w:tcW w:w="120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145429" w:rsidRPr="00A66FB6" w:rsidRDefault="00145429" w:rsidP="006133D6">
            <w:pPr>
              <w:pStyle w:val="Tablerowcolumnheadingcentred"/>
            </w:pPr>
            <w:r w:rsidRPr="00A66FB6">
              <w:t>2019–20</w:t>
            </w:r>
            <w:r w:rsidRPr="00A66FB6">
              <w:rPr>
                <w:rStyle w:val="FootnoteReference"/>
              </w:rPr>
              <w:footnoteReference w:id="1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145429" w:rsidRPr="00A66FB6" w:rsidRDefault="00145429" w:rsidP="006133D6">
            <w:pPr>
              <w:pStyle w:val="Tablerowcolumnheadingcentred"/>
            </w:pPr>
            <w:r w:rsidRPr="00A66FB6">
              <w:t>2020–21</w:t>
            </w:r>
            <w:r w:rsidRPr="00A66FB6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145429" w:rsidRPr="00A66FB6" w:rsidRDefault="00145429" w:rsidP="006133D6">
            <w:pPr>
              <w:pStyle w:val="Tablerowcolumnheadingcentred"/>
            </w:pPr>
            <w:r w:rsidRPr="00A66FB6">
              <w:t>2021–22</w:t>
            </w:r>
            <w:r w:rsidRPr="00A66FB6">
              <w:rPr>
                <w:rStyle w:val="FootnoteReference"/>
              </w:rPr>
              <w:footnoteReference w:id="3"/>
            </w:r>
          </w:p>
        </w:tc>
      </w:tr>
      <w:tr w:rsidR="00145429" w:rsidRPr="00A63A66" w:rsidTr="006133D6"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45429" w:rsidRPr="00A63A66" w:rsidRDefault="00145429" w:rsidP="006133D6">
            <w:pPr>
              <w:pStyle w:val="Tabletextcentred"/>
            </w:pPr>
            <w:r w:rsidRPr="00A63A66">
              <w:t xml:space="preserve">$2,743.8m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45429" w:rsidRPr="00A63A66" w:rsidRDefault="00145429" w:rsidP="006133D6">
            <w:pPr>
              <w:pStyle w:val="Tabletextcentred"/>
            </w:pPr>
            <w:r w:rsidRPr="00A63A66">
              <w:t>$2,967.0m ↑8%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45429" w:rsidRPr="00A63A66" w:rsidRDefault="00145429" w:rsidP="006133D6">
            <w:pPr>
              <w:pStyle w:val="Tabletextcentred"/>
            </w:pPr>
            <w:r w:rsidRPr="00A63A66">
              <w:t>$3,165.2m ↑7%</w:t>
            </w:r>
          </w:p>
        </w:tc>
      </w:tr>
    </w:tbl>
    <w:p w:rsidR="00145429" w:rsidRPr="00A63A66" w:rsidRDefault="00145429" w:rsidP="00145429">
      <w:pPr>
        <w:pStyle w:val="bullet-arrow"/>
        <w:ind w:left="0" w:firstLine="0"/>
      </w:pPr>
    </w:p>
    <w:p w:rsidR="00145429" w:rsidRPr="00A63A66" w:rsidRDefault="00145429" w:rsidP="00145429">
      <w:pPr>
        <w:pStyle w:val="bullet-arrow"/>
        <w:ind w:left="0" w:firstLine="0"/>
        <w:rPr>
          <w:b/>
          <w:bCs/>
        </w:rPr>
      </w:pPr>
      <w:r w:rsidRPr="00A63A66">
        <w:t xml:space="preserve">The estimate of per person cultural funding was </w:t>
      </w:r>
      <w:r w:rsidRPr="00A63A66">
        <w:rPr>
          <w:b/>
          <w:bCs/>
        </w:rPr>
        <w:t>$122.81.</w:t>
      </w:r>
    </w:p>
    <w:p w:rsidR="00145429" w:rsidRDefault="00145429" w:rsidP="00145429">
      <w:pPr>
        <w:pStyle w:val="Heading3"/>
      </w:pPr>
      <w:bookmarkStart w:id="0" w:name="_Toc524532894"/>
      <w:bookmarkStart w:id="1" w:name="_Toc521427133"/>
      <w:bookmarkStart w:id="2" w:name="_Toc521318947"/>
      <w:r>
        <w:t>Heritage</w:t>
      </w:r>
      <w:bookmarkEnd w:id="0"/>
      <w:bookmarkEnd w:id="1"/>
      <w:bookmarkEnd w:id="2"/>
    </w:p>
    <w:p w:rsidR="00145429" w:rsidRPr="00A63A66" w:rsidRDefault="00145429" w:rsidP="00145429">
      <w:r w:rsidRPr="00A63A66">
        <w:t xml:space="preserve">Funds for Total </w:t>
      </w:r>
      <w:r w:rsidRPr="00A63A66">
        <w:rPr>
          <w:i/>
        </w:rPr>
        <w:t>Heritage</w:t>
      </w:r>
      <w:r w:rsidRPr="00A63A66">
        <w:t xml:space="preserve"> activities (recurrent and capital) increased 11% (or $91.0m) to $927.0m, including $3.0m targeted COVID support funding.</w:t>
      </w:r>
    </w:p>
    <w:p w:rsidR="00145429" w:rsidRPr="00A63A66" w:rsidRDefault="00145429" w:rsidP="00145429">
      <w:r w:rsidRPr="00A63A66">
        <w:t xml:space="preserve">Expenditure on the categories of </w:t>
      </w:r>
      <w:r w:rsidRPr="00A63A66">
        <w:rPr>
          <w:i/>
        </w:rPr>
        <w:t>Other museums and cultural heritage</w:t>
      </w:r>
      <w:r w:rsidRPr="00A63A66">
        <w:t xml:space="preserve"> and </w:t>
      </w:r>
      <w:r w:rsidRPr="00A63A66">
        <w:rPr>
          <w:i/>
        </w:rPr>
        <w:t>Art museums</w:t>
      </w:r>
      <w:r w:rsidRPr="00A63A66">
        <w:t xml:space="preserve"> increased $46.0m and $29.9m respectively.</w:t>
      </w:r>
    </w:p>
    <w:p w:rsidR="00145429" w:rsidRPr="00A63A66" w:rsidRDefault="00145429" w:rsidP="00145429">
      <w:r w:rsidRPr="00A63A66">
        <w:t xml:space="preserve">The categories with the highest levels of </w:t>
      </w:r>
      <w:r w:rsidRPr="00A63A66">
        <w:rPr>
          <w:i/>
        </w:rPr>
        <w:t>Heritage</w:t>
      </w:r>
      <w:r w:rsidRPr="00A63A66">
        <w:t xml:space="preserve"> expenditure were </w:t>
      </w:r>
      <w:r w:rsidRPr="00A63A66">
        <w:rPr>
          <w:i/>
        </w:rPr>
        <w:t>Other museums and cultural heritage</w:t>
      </w:r>
      <w:r w:rsidRPr="00A63A66">
        <w:t xml:space="preserve"> with $528.9m, followed by </w:t>
      </w:r>
      <w:r w:rsidRPr="00A63A66">
        <w:rPr>
          <w:i/>
        </w:rPr>
        <w:t>Archives</w:t>
      </w:r>
      <w:r w:rsidRPr="00A63A66">
        <w:t xml:space="preserve"> with $150.5m. </w:t>
      </w:r>
    </w:p>
    <w:p w:rsidR="00145429" w:rsidRPr="00A63A66" w:rsidRDefault="00145429" w:rsidP="00145429">
      <w:pPr>
        <w:pStyle w:val="Tablefigureheading"/>
      </w:pPr>
      <w:bookmarkStart w:id="3" w:name="_Toc524533023"/>
      <w:r w:rsidRPr="00A63A66">
        <w:t>Figure 1. Australian Government heritage expenditure</w:t>
      </w:r>
      <w:bookmarkEnd w:id="3"/>
      <w:r w:rsidRPr="00A63A66">
        <w:t xml:space="preserve"> (recurrent and capital)</w:t>
      </w:r>
    </w:p>
    <w:p w:rsidR="00145429" w:rsidRPr="00B0482B" w:rsidRDefault="00145429" w:rsidP="00145429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6F457" wp14:editId="7CD4BFB8">
            <wp:simplePos x="914400" y="6619875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2114550"/>
            <wp:effectExtent l="0" t="0" r="0" b="0"/>
            <wp:wrapSquare wrapText="bothSides"/>
            <wp:docPr id="4" name="Chart 4" descr="Figure 1. Australian Government heritage expenditure (recurrent and capital).&#10;A column graph compares expenditure across the heritage categories of Art museums, Other museums &amp; cultural heritage, Libraries and Archives between the financial years of 2019-20, 2020-21, and 2021-22 for the Australian Government.&#10;2019-20: Art museums $93.9m, Other museums &amp; cultural heritage $452.8m, Libraries $95.8m, Archives $143.9m.&#10;2020-21: Art museums $111.8m, Other museums &amp; cultural heritage $482.9m, Libraries $100.7m, Archives $140.7m.&#10;2021-22: Art museums $141.7m, Other museums &amp; cultural heritage $528.9m, Libraries $105.9m, Archives $150.5m.">
              <a:extLst xmlns:a="http://schemas.openxmlformats.org/drawingml/2006/main">
                <a:ext uri="{FF2B5EF4-FFF2-40B4-BE49-F238E27FC236}">
                  <a16:creationId xmlns:a16="http://schemas.microsoft.com/office/drawing/2014/main" id="{C4E4EF85-BECC-40C1-8195-9690F6506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666CBC">
        <w:rPr>
          <w:lang w:eastAsia="en-US"/>
        </w:rPr>
        <w:br w:type="textWrapping" w:clear="all"/>
      </w:r>
    </w:p>
    <w:p w:rsidR="00145429" w:rsidRDefault="00145429" w:rsidP="00145429">
      <w:pPr>
        <w:pStyle w:val="Heading3"/>
      </w:pPr>
      <w:bookmarkStart w:id="4" w:name="_Toc524532895"/>
      <w:bookmarkStart w:id="5" w:name="_Toc521427134"/>
      <w:bookmarkStart w:id="6" w:name="_Toc521318948"/>
      <w:r>
        <w:t>Arts</w:t>
      </w:r>
      <w:bookmarkEnd w:id="4"/>
      <w:bookmarkEnd w:id="5"/>
      <w:bookmarkEnd w:id="6"/>
    </w:p>
    <w:p w:rsidR="00145429" w:rsidRPr="00A63A66" w:rsidRDefault="00145429" w:rsidP="00145429">
      <w:pPr>
        <w:pStyle w:val="bullet-arrow"/>
        <w:ind w:left="0" w:firstLine="0"/>
      </w:pPr>
      <w:r w:rsidRPr="00A63A66">
        <w:t xml:space="preserve">The Australian Government allocated more than double the funding to </w:t>
      </w:r>
      <w:r w:rsidRPr="00A63A66">
        <w:rPr>
          <w:i/>
        </w:rPr>
        <w:t>Arts</w:t>
      </w:r>
      <w:r w:rsidRPr="00A63A66">
        <w:t xml:space="preserve"> activities, compared to </w:t>
      </w:r>
      <w:r w:rsidRPr="00A63A66">
        <w:rPr>
          <w:i/>
          <w:iCs/>
        </w:rPr>
        <w:t>Heritage</w:t>
      </w:r>
      <w:r w:rsidRPr="00A63A66">
        <w:t xml:space="preserve"> activities (71% and 29% respectively).</w:t>
      </w:r>
    </w:p>
    <w:p w:rsidR="00145429" w:rsidRPr="00A63A66" w:rsidRDefault="00145429" w:rsidP="00145429">
      <w:r w:rsidRPr="00A63A66">
        <w:t xml:space="preserve">Funds for Total </w:t>
      </w:r>
      <w:r w:rsidRPr="00A63A66">
        <w:rPr>
          <w:i/>
        </w:rPr>
        <w:t>Arts</w:t>
      </w:r>
      <w:r w:rsidRPr="00A63A66">
        <w:t xml:space="preserve"> activities (recurrent and capital) increased 5% (or $102.7m) to $2,233.7m, including $202.7m COVID support funding.</w:t>
      </w:r>
    </w:p>
    <w:p w:rsidR="00145429" w:rsidRPr="00A63A66" w:rsidRDefault="00145429" w:rsidP="00145429">
      <w:pPr>
        <w:rPr>
          <w:b/>
          <w:bCs/>
        </w:rPr>
      </w:pPr>
      <w:r w:rsidRPr="00A63A66">
        <w:t xml:space="preserve">The main contributors to this increase were </w:t>
      </w:r>
      <w:r w:rsidRPr="00A63A66">
        <w:rPr>
          <w:i/>
          <w:iCs/>
        </w:rPr>
        <w:t>Music</w:t>
      </w:r>
      <w:r w:rsidRPr="00A63A66">
        <w:t xml:space="preserve"> (↑$26.0m), </w:t>
      </w:r>
      <w:r w:rsidRPr="00A63A66">
        <w:rPr>
          <w:i/>
          <w:iCs/>
        </w:rPr>
        <w:t xml:space="preserve">Film and video production and distribution </w:t>
      </w:r>
      <w:r w:rsidRPr="00A63A66">
        <w:t xml:space="preserve">(↑$25.4m), </w:t>
      </w:r>
      <w:r w:rsidRPr="00A63A66">
        <w:rPr>
          <w:i/>
        </w:rPr>
        <w:t>Radio and television services</w:t>
      </w:r>
      <w:r w:rsidRPr="00A63A66">
        <w:t xml:space="preserve"> (↑$22.0m) and</w:t>
      </w:r>
      <w:r w:rsidRPr="00A63A66">
        <w:rPr>
          <w:i/>
        </w:rPr>
        <w:t xml:space="preserve"> Performing arts venues</w:t>
      </w:r>
      <w:r w:rsidRPr="00A63A66">
        <w:t xml:space="preserve"> (↑$14.1m).</w:t>
      </w:r>
    </w:p>
    <w:p w:rsidR="00145429" w:rsidRPr="00A63A66" w:rsidRDefault="00145429" w:rsidP="00145429">
      <w:r w:rsidRPr="00A63A66">
        <w:t>Funding for</w:t>
      </w:r>
      <w:r w:rsidRPr="00A63A66">
        <w:rPr>
          <w:i/>
        </w:rPr>
        <w:t xml:space="preserve"> Radio and television services</w:t>
      </w:r>
      <w:r w:rsidRPr="00A63A66">
        <w:t xml:space="preserve"> ($1,440.1m) accounted for two-thirds (or 6</w:t>
      </w:r>
      <w:r w:rsidR="00F0075E">
        <w:t>4</w:t>
      </w:r>
      <w:r w:rsidRPr="00A63A66">
        <w:t xml:space="preserve">%) of all expenditure by the Australian Government on </w:t>
      </w:r>
      <w:r w:rsidRPr="00A63A66">
        <w:rPr>
          <w:i/>
        </w:rPr>
        <w:t>Arts</w:t>
      </w:r>
      <w:r w:rsidRPr="00A63A66">
        <w:t xml:space="preserve"> activities.</w:t>
      </w:r>
    </w:p>
    <w:p w:rsidR="00145429" w:rsidRPr="00A63A66" w:rsidRDefault="00145429" w:rsidP="00145429">
      <w:r w:rsidRPr="00A63A66">
        <w:t xml:space="preserve">Other main categories of </w:t>
      </w:r>
      <w:r w:rsidRPr="00A63A66">
        <w:rPr>
          <w:i/>
        </w:rPr>
        <w:t>Arts</w:t>
      </w:r>
      <w:r w:rsidRPr="00A63A66">
        <w:t xml:space="preserve"> funding were:</w:t>
      </w:r>
    </w:p>
    <w:p w:rsidR="00145429" w:rsidRPr="00A63A66" w:rsidRDefault="00145429" w:rsidP="00145429">
      <w:pPr>
        <w:pStyle w:val="Bulletlevel1"/>
      </w:pPr>
      <w:r w:rsidRPr="00A63A66">
        <w:rPr>
          <w:i/>
        </w:rPr>
        <w:t>Film and video production and distribution</w:t>
      </w:r>
      <w:r w:rsidRPr="00A63A66">
        <w:t>—$185.2m</w:t>
      </w:r>
    </w:p>
    <w:p w:rsidR="00145429" w:rsidRPr="00A63A66" w:rsidRDefault="00145429" w:rsidP="00145429">
      <w:pPr>
        <w:pStyle w:val="Bulletlevel1"/>
      </w:pPr>
      <w:r w:rsidRPr="00A63A66">
        <w:rPr>
          <w:i/>
        </w:rPr>
        <w:t>Music</w:t>
      </w:r>
      <w:r w:rsidRPr="00A63A66">
        <w:t>—$158.4m</w:t>
      </w:r>
    </w:p>
    <w:p w:rsidR="00145429" w:rsidRPr="00A63A66" w:rsidRDefault="00145429" w:rsidP="00145429">
      <w:pPr>
        <w:pStyle w:val="Bulletlevel1"/>
      </w:pPr>
      <w:r w:rsidRPr="00A63A66">
        <w:rPr>
          <w:i/>
        </w:rPr>
        <w:t>Visual arts and crafts</w:t>
      </w:r>
      <w:r w:rsidRPr="00A63A66">
        <w:t>—$54.5m</w:t>
      </w:r>
    </w:p>
    <w:p w:rsidR="00145429" w:rsidRPr="00A63A66" w:rsidRDefault="00145429" w:rsidP="00145429">
      <w:pPr>
        <w:pStyle w:val="Bulletlevel1"/>
      </w:pPr>
      <w:r w:rsidRPr="00A63A66">
        <w:rPr>
          <w:i/>
        </w:rPr>
        <w:t>Arts education</w:t>
      </w:r>
      <w:r w:rsidRPr="00A63A66">
        <w:t>—$52.7m</w:t>
      </w:r>
    </w:p>
    <w:p w:rsidR="00145429" w:rsidRPr="00A63A66" w:rsidRDefault="00145429" w:rsidP="00145429">
      <w:pPr>
        <w:pStyle w:val="Bulletlevel1"/>
      </w:pPr>
      <w:r w:rsidRPr="00A63A66">
        <w:rPr>
          <w:i/>
          <w:iCs/>
        </w:rPr>
        <w:t>Arts administration</w:t>
      </w:r>
      <w:r w:rsidRPr="00A63A66">
        <w:t>—$51.7m</w:t>
      </w:r>
    </w:p>
    <w:p w:rsidR="00145429" w:rsidRPr="00A63A66" w:rsidRDefault="00145429" w:rsidP="00145429">
      <w:pPr>
        <w:pStyle w:val="Bulletlevel1"/>
      </w:pPr>
      <w:r w:rsidRPr="00A63A66">
        <w:rPr>
          <w:i/>
        </w:rPr>
        <w:t>Theatre</w:t>
      </w:r>
      <w:r w:rsidRPr="00A63A66">
        <w:t>—$47.2m.</w:t>
      </w:r>
    </w:p>
    <w:p w:rsidR="00145429" w:rsidRPr="00585355" w:rsidRDefault="00145429" w:rsidP="00145429">
      <w:pPr>
        <w:pStyle w:val="Tablefigureheading"/>
        <w:rPr>
          <w:color w:val="00B050"/>
        </w:rPr>
      </w:pPr>
      <w:bookmarkStart w:id="7" w:name="_Toc524533024"/>
      <w:r w:rsidRPr="00A63A66">
        <w:t>Figure 2. Australian Government arts expenditure</w:t>
      </w:r>
      <w:bookmarkEnd w:id="7"/>
      <w:r w:rsidRPr="00A63A66">
        <w:t xml:space="preserve"> (recurrent and capital), by selected categories</w:t>
      </w:r>
    </w:p>
    <w:p w:rsidR="00145429" w:rsidRPr="00192E8B" w:rsidRDefault="00145429" w:rsidP="00145429">
      <w:pPr>
        <w:rPr>
          <w:lang w:eastAsia="en-US"/>
        </w:rPr>
      </w:pPr>
      <w:r>
        <w:rPr>
          <w:noProof/>
        </w:rPr>
        <w:drawing>
          <wp:inline distT="0" distB="0" distL="0" distR="0" wp14:anchorId="7DAD7079" wp14:editId="6B0C2CEA">
            <wp:extent cx="5048250" cy="2554605"/>
            <wp:effectExtent l="0" t="0" r="0" b="0"/>
            <wp:docPr id="1" name="Chart 1" descr="Figure 2. Australian Government arts expenditure (recurrent and capital), by selected categories.&#10;A column graph compares expenditure across the arts categories of Music, Theatre, Visual arts &amp; crafts, Radio &amp; television services, Film &amp; video production &amp; distribution, Arts education and Arts administration between the financial years of 2019-20, 2020-21, and 2021-22 for the Australian Government.&#10;2019-20: Music $78.6m, Theatre $25.4m, Visual arts &amp; crafts $42.9m, Radio &amp; television services $1,384.3m, Film &amp; video production &amp; distribution $119.5m, Arts education $50.7m, Arts administration $68.1m.&#10;2020-21: Music $132.4m, Theatre $51.2m, Visual arts and crafts $60.0m, Radio and television services $1,418.1m, Film and video production and distribution $159.8m, Arts education $54.5m, Arts administration $68.4m.&#10;2021-22: Music $158.4m, Theatre $47.2m, Visual arts and crafts $54.5m, Radio and television services $1,440.1m, Film and video production and distribution $185.2m, Arts education $52.7m, Arts administration $51.7m.&#10;">
              <a:extLst xmlns:a="http://schemas.openxmlformats.org/drawingml/2006/main">
                <a:ext uri="{FF2B5EF4-FFF2-40B4-BE49-F238E27FC236}">
                  <a16:creationId xmlns:a16="http://schemas.microsoft.com/office/drawing/2014/main" id="{2783364E-3C24-4F6C-9411-DCD03BFAA2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5429" w:rsidRPr="00192E8B" w:rsidRDefault="00145429" w:rsidP="00145429">
      <w:pPr>
        <w:rPr>
          <w:lang w:eastAsia="en-US"/>
        </w:rPr>
      </w:pPr>
    </w:p>
    <w:p w:rsidR="00145429" w:rsidRPr="00EB294E" w:rsidRDefault="00145429" w:rsidP="00145429">
      <w:pPr>
        <w:pStyle w:val="Heading3"/>
        <w:rPr>
          <w:color w:val="auto"/>
        </w:rPr>
      </w:pPr>
      <w:bookmarkStart w:id="8" w:name="_Toc524532902"/>
      <w:bookmarkStart w:id="9" w:name="_Toc521427141"/>
      <w:r>
        <w:t>Recurrent expenditure</w:t>
      </w:r>
      <w:bookmarkEnd w:id="8"/>
      <w:bookmarkEnd w:id="9"/>
    </w:p>
    <w:p w:rsidR="00145429" w:rsidRPr="00A63A66" w:rsidRDefault="00145429" w:rsidP="00145429">
      <w:pPr>
        <w:pStyle w:val="bullet-arrow"/>
        <w:spacing w:before="240"/>
        <w:ind w:left="0" w:firstLine="0"/>
      </w:pPr>
      <w:r w:rsidRPr="00A63A66">
        <w:t xml:space="preserve">Total recurrent expenditure increased by 1% (or $23.3m) to $2,732.8m and accounted for 86% of total funded cultural expenditure. </w:t>
      </w:r>
    </w:p>
    <w:p w:rsidR="00145429" w:rsidRPr="00A63A66" w:rsidRDefault="00145429" w:rsidP="00145429">
      <w:r w:rsidRPr="00A63A66">
        <w:t xml:space="preserve">The highest recurrent expenditure was for </w:t>
      </w:r>
      <w:r w:rsidRPr="00A63A66">
        <w:rPr>
          <w:i/>
        </w:rPr>
        <w:t>Radio and television services</w:t>
      </w:r>
      <w:r w:rsidRPr="00A63A66">
        <w:t xml:space="preserve"> ($1,371.9m), followed by</w:t>
      </w:r>
      <w:r w:rsidRPr="00A63A66">
        <w:rPr>
          <w:i/>
        </w:rPr>
        <w:t xml:space="preserve"> Other museums and cultural heritage</w:t>
      </w:r>
      <w:r w:rsidRPr="00A63A66">
        <w:t xml:space="preserve"> ($316.6m).</w:t>
      </w:r>
    </w:p>
    <w:p w:rsidR="00145429" w:rsidRDefault="00145429" w:rsidP="00145429"/>
    <w:p w:rsidR="00145429" w:rsidRPr="001C2051" w:rsidRDefault="00145429" w:rsidP="00145429"/>
    <w:p w:rsidR="00145429" w:rsidRPr="00A40044" w:rsidRDefault="00145429" w:rsidP="00145429">
      <w:r w:rsidRPr="00A40044">
        <w:t>Other main categories of recurrent expenditure were: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ind w:left="567" w:hanging="567"/>
      </w:pPr>
      <w:r w:rsidRPr="00A40044">
        <w:rPr>
          <w:i/>
        </w:rPr>
        <w:t>Film and video production and distribution</w:t>
      </w:r>
      <w:r w:rsidRPr="00A40044">
        <w:t>—$185.2m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Music</w:t>
      </w:r>
      <w:r w:rsidRPr="00A40044">
        <w:t>—$158.3m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Archives</w:t>
      </w:r>
      <w:r w:rsidRPr="00A40044">
        <w:t>—$134.3m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Libraries</w:t>
      </w:r>
      <w:r w:rsidRPr="00A40044">
        <w:t>—$81.1m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Art museums</w:t>
      </w:r>
      <w:r w:rsidRPr="00A40044">
        <w:t>—$66.4m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Visual arts and crafts</w:t>
      </w:r>
      <w:r w:rsidRPr="00A40044">
        <w:t>—$54.4m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Arts administration</w:t>
      </w:r>
      <w:r w:rsidRPr="00A40044">
        <w:t>—$51.7m.</w:t>
      </w:r>
    </w:p>
    <w:p w:rsidR="00145429" w:rsidRPr="00A40044" w:rsidRDefault="00145429" w:rsidP="00145429">
      <w:pPr>
        <w:pStyle w:val="Tablefigureheading"/>
      </w:pPr>
      <w:r w:rsidRPr="00A40044">
        <w:t>Figure 3. Australian Government recurrent cultural expenditure, by selected categories</w:t>
      </w:r>
    </w:p>
    <w:p w:rsidR="00145429" w:rsidRPr="00FA4722" w:rsidRDefault="00145429" w:rsidP="00145429">
      <w:pPr>
        <w:rPr>
          <w:lang w:eastAsia="en-US"/>
        </w:rPr>
      </w:pPr>
      <w:r>
        <w:rPr>
          <w:noProof/>
        </w:rPr>
        <w:drawing>
          <wp:inline distT="0" distB="0" distL="0" distR="0" wp14:anchorId="5EA15153" wp14:editId="5342C89D">
            <wp:extent cx="5295900" cy="2095500"/>
            <wp:effectExtent l="0" t="0" r="0" b="0"/>
            <wp:docPr id="13" name="Chart 13" descr="Figure 3. Australian Government recurrent cultural expenditure, by selected categories.&#10;A column graph compares expenditure across the heritage categories of Art museums, Other museums &amp; cultural heritage, Libraries, Archives, Music, Visual arts &amp; crafts, Radio &amp; television services, Film &amp; video production &amp; distribution and Arts administration between the financial years of 2019-20, 2020-21, and 2021-22 for the Australian Government.&#10;2019-20: Art museums $62.4m, Other museums &amp; cultural heritage $328.3m, Libraries $81.1m, Archives $134.7m, Music $77.9m, Visual arts &amp; crafts $41.6m, Radio &amp; television services $1,315.8m, Film &amp; video production &amp; distribution $119.4m, Arts administration $67.8m.&#10;2020-21: Art museums $82.8m, Other museums &amp; cultural heritage $359.7m, Libraries $89.0m, Archives $130.9m, Music $132.2m, Visual arts &amp; crafts $57.9m, Radio &amp; television services $1,342.5m, Film &amp; video production &amp; distribution $159.8m, Arts administration $64.4m.&#10;2021-22: Art museums $66.4m, Other museums &amp; cultural heritage $316.6m, Libraries $81.1m, Archives $134.3m, Music $158.3m, Visual arts &amp; crafts $54.4m, Radio &amp; television services $1,371.9m, Film &amp; video production &amp; distribution $185.2m, Arts administration $51.7m.">
              <a:extLst xmlns:a="http://schemas.openxmlformats.org/drawingml/2006/main">
                <a:ext uri="{FF2B5EF4-FFF2-40B4-BE49-F238E27FC236}">
                  <a16:creationId xmlns:a16="http://schemas.microsoft.com/office/drawing/2014/main" id="{6D47BE4A-D2FA-41B5-8CC3-3258C17655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5429" w:rsidRDefault="00145429" w:rsidP="00145429">
      <w:pPr>
        <w:pStyle w:val="Heading3"/>
      </w:pPr>
      <w:r>
        <w:t>Capital expenditure</w:t>
      </w:r>
    </w:p>
    <w:p w:rsidR="00145429" w:rsidRPr="00A40044" w:rsidRDefault="00145429" w:rsidP="00145429">
      <w:r w:rsidRPr="00A40044">
        <w:t xml:space="preserve">Total capital expenditure increased by 68% (or $174.9m) to $432.4m in 2021–22 and accounted for 14% of Australian Government cultural spending. </w:t>
      </w:r>
    </w:p>
    <w:p w:rsidR="00145429" w:rsidRPr="00A40044" w:rsidRDefault="00145429" w:rsidP="00145429">
      <w:pPr>
        <w:pStyle w:val="bullet-arrow"/>
        <w:ind w:left="0" w:firstLine="0"/>
      </w:pPr>
      <w:r w:rsidRPr="00A40044">
        <w:t xml:space="preserve">The highest capital expenditure was for </w:t>
      </w:r>
      <w:r w:rsidRPr="00A40044">
        <w:rPr>
          <w:i/>
        </w:rPr>
        <w:t xml:space="preserve">Other museums and cultural heritage </w:t>
      </w:r>
      <w:r w:rsidRPr="00A40044">
        <w:t xml:space="preserve">($212.3m), followed by </w:t>
      </w:r>
      <w:r w:rsidRPr="00A40044">
        <w:rPr>
          <w:i/>
        </w:rPr>
        <w:t>Art museums</w:t>
      </w:r>
      <w:r w:rsidRPr="00A40044">
        <w:t xml:space="preserve"> ($75.3m). </w:t>
      </w:r>
    </w:p>
    <w:p w:rsidR="00145429" w:rsidRPr="00A66FB6" w:rsidRDefault="00145429" w:rsidP="00145429">
      <w:pPr>
        <w:pStyle w:val="bullet-arrow"/>
        <w:ind w:left="0" w:firstLine="0"/>
      </w:pPr>
    </w:p>
    <w:p w:rsidR="00145429" w:rsidRPr="00A40044" w:rsidRDefault="00145429" w:rsidP="00145429">
      <w:pPr>
        <w:pStyle w:val="bullet-arrow"/>
        <w:ind w:left="0" w:firstLine="0"/>
      </w:pPr>
      <w:r w:rsidRPr="00A40044">
        <w:t>Other main categories of capital investment were: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ind w:left="567" w:hanging="567"/>
      </w:pPr>
      <w:r w:rsidRPr="00A40044">
        <w:rPr>
          <w:i/>
        </w:rPr>
        <w:t xml:space="preserve">Radio and television services </w:t>
      </w:r>
      <w:r w:rsidRPr="00A40044">
        <w:t>—$68.2m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Libraries</w:t>
      </w:r>
      <w:r w:rsidRPr="00A40044">
        <w:t>—$24.8m</w:t>
      </w:r>
    </w:p>
    <w:p w:rsidR="00145429" w:rsidRPr="00A40044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A40044">
        <w:rPr>
          <w:i/>
        </w:rPr>
        <w:t>Archives</w:t>
      </w:r>
      <w:r w:rsidRPr="00A40044">
        <w:t>—$16.2m.</w:t>
      </w:r>
    </w:p>
    <w:p w:rsidR="00145429" w:rsidRDefault="00145429" w:rsidP="00145429">
      <w:pPr>
        <w:pStyle w:val="Tablefigureheading"/>
        <w:rPr>
          <w:noProof/>
        </w:rPr>
      </w:pPr>
      <w:r>
        <w:t>Figure 4. Australian Government capital cultural expenditure, by selected categories</w:t>
      </w:r>
      <w:r w:rsidRPr="00FA4722">
        <w:rPr>
          <w:noProof/>
        </w:rPr>
        <w:t xml:space="preserve"> </w:t>
      </w:r>
    </w:p>
    <w:p w:rsidR="00726D8E" w:rsidRPr="00726D8E" w:rsidRDefault="00726D8E" w:rsidP="00726D8E">
      <w:pPr>
        <w:rPr>
          <w:lang w:eastAsia="en-US"/>
        </w:rPr>
      </w:pPr>
      <w:r>
        <w:rPr>
          <w:noProof/>
        </w:rPr>
        <w:drawing>
          <wp:inline distT="0" distB="0" distL="0" distR="0" wp14:anchorId="0F4B7B93" wp14:editId="383CAFF5">
            <wp:extent cx="4905375" cy="2362200"/>
            <wp:effectExtent l="0" t="0" r="0" b="0"/>
            <wp:docPr id="2" name="Chart 2" descr="Figure 4. Australian Government capital cultural expenditure, by selected categories.&#10;A column graph compares expenditure across the heritage categories of Art museums, Other museums &amp; cultural heritage, Libraries, Archives, Performing arts venues, Radio &amp; television services and Multi-arts festivals between the financial years of 2019-20, 2020-21, and 2021-22 for the Australian Government.&#10;2019-20: Art museums $31.5m, Other museums &amp; cultural heritage $124.5m, Libraries $14.6m, Archives $9.1m,  Performing arts venues $6.7m, Radio &amp; television services $68.6m, Multi-arts festivals $0.3m.&#10;2020-21: Art museums $29.0m, Other museums &amp; cultural heritage $123.2m, Libraries $11.6m, Archives $9.8m,  Performing arts venues $0.0m, Radio and television services $75.6m, Multi-arts festivals $0.0m.&#10;2021-22: Art museums $75.3m, Other museums &amp; cultural heritage $212.3m, Libraries $24.8m, Archives $16.2m,  Performing arts venues $14.1m, Radio and television services $68.2m, Multi-arts festivals $15.5m.">
              <a:extLst xmlns:a="http://schemas.openxmlformats.org/drawingml/2006/main">
                <a:ext uri="{FF2B5EF4-FFF2-40B4-BE49-F238E27FC236}">
                  <a16:creationId xmlns:a16="http://schemas.microsoft.com/office/drawing/2014/main" id="{1B2DB4D6-B474-44E8-9AB6-FE76472BB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726D8E" w:rsidRPr="00726D8E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FE" w:rsidRDefault="005168FE" w:rsidP="002117E6">
      <w:pPr>
        <w:spacing w:after="0"/>
      </w:pPr>
      <w:r>
        <w:separator/>
      </w:r>
    </w:p>
  </w:endnote>
  <w:endnote w:type="continuationSeparator" w:id="0">
    <w:p w:rsidR="005168FE" w:rsidRDefault="005168F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226CF2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226CF2">
      <w:rPr>
        <w:sz w:val="18"/>
        <w:szCs w:val="18"/>
      </w:rPr>
      <w:t>2</w:t>
    </w:r>
    <w:r w:rsidRPr="00CC4247">
      <w:rPr>
        <w:sz w:val="18"/>
        <w:szCs w:val="18"/>
      </w:rPr>
      <w:t>—</w:t>
    </w:r>
    <w:r w:rsidR="000B435A">
      <w:rPr>
        <w:sz w:val="18"/>
        <w:szCs w:val="18"/>
      </w:rPr>
      <w:t>Australian</w:t>
    </w:r>
    <w:r w:rsidR="0027679D">
      <w:rPr>
        <w:sz w:val="18"/>
        <w:szCs w:val="18"/>
      </w:rPr>
      <w:t xml:space="preserve"> </w:t>
    </w:r>
    <w:r w:rsidRPr="00CC4247">
      <w:rPr>
        <w:sz w:val="18"/>
        <w:szCs w:val="18"/>
      </w:rPr>
      <w:t>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226CF2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226CF2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FE" w:rsidRDefault="005168FE" w:rsidP="002117E6">
      <w:pPr>
        <w:spacing w:after="0"/>
      </w:pPr>
      <w:r>
        <w:separator/>
      </w:r>
    </w:p>
  </w:footnote>
  <w:footnote w:type="continuationSeparator" w:id="0">
    <w:p w:rsidR="005168FE" w:rsidRDefault="005168FE" w:rsidP="002117E6">
      <w:pPr>
        <w:spacing w:after="0"/>
      </w:pPr>
      <w:r>
        <w:continuationSeparator/>
      </w:r>
    </w:p>
  </w:footnote>
  <w:footnote w:id="1">
    <w:p w:rsidR="00145429" w:rsidRPr="00D66936" w:rsidRDefault="00145429" w:rsidP="00145429">
      <w:pPr>
        <w:pStyle w:val="FootnoteText"/>
        <w:ind w:right="261"/>
        <w:rPr>
          <w:sz w:val="17"/>
          <w:szCs w:val="17"/>
        </w:rPr>
      </w:pPr>
      <w:r w:rsidRPr="00A63A66">
        <w:rPr>
          <w:rStyle w:val="FootnoteReference"/>
        </w:rPr>
        <w:footnoteRef/>
      </w:r>
      <w:r w:rsidRPr="00A63A66">
        <w:t xml:space="preserve"> </w:t>
      </w:r>
      <w:r w:rsidRPr="00D66936">
        <w:rPr>
          <w:sz w:val="17"/>
          <w:szCs w:val="17"/>
        </w:rPr>
        <w:t xml:space="preserve">Includes </w:t>
      </w:r>
      <w:r w:rsidRPr="00D66936">
        <w:rPr>
          <w:bCs/>
          <w:sz w:val="17"/>
          <w:szCs w:val="17"/>
        </w:rPr>
        <w:t>$</w:t>
      </w:r>
      <w:r w:rsidRPr="00D66936">
        <w:rPr>
          <w:sz w:val="17"/>
          <w:szCs w:val="17"/>
        </w:rPr>
        <w:t>38.4m targeted cultural and creative sector COVID support funding, reported in Total figures only.</w:t>
      </w:r>
    </w:p>
  </w:footnote>
  <w:footnote w:id="2">
    <w:p w:rsidR="00145429" w:rsidRPr="00D66936" w:rsidRDefault="00145429" w:rsidP="00145429">
      <w:pPr>
        <w:pStyle w:val="FootnoteText"/>
        <w:ind w:right="261"/>
        <w:rPr>
          <w:sz w:val="17"/>
          <w:szCs w:val="17"/>
        </w:rPr>
      </w:pPr>
      <w:r w:rsidRPr="00D66936">
        <w:rPr>
          <w:rStyle w:val="FootnoteReference"/>
          <w:sz w:val="17"/>
          <w:szCs w:val="17"/>
        </w:rPr>
        <w:footnoteRef/>
      </w:r>
      <w:r w:rsidRPr="00D66936">
        <w:rPr>
          <w:sz w:val="17"/>
          <w:szCs w:val="17"/>
        </w:rPr>
        <w:t xml:space="preserve"> Includes </w:t>
      </w:r>
      <w:r w:rsidRPr="00D66936">
        <w:rPr>
          <w:bCs/>
          <w:sz w:val="17"/>
          <w:szCs w:val="17"/>
        </w:rPr>
        <w:t>$</w:t>
      </w:r>
      <w:r w:rsidRPr="00D66936">
        <w:rPr>
          <w:sz w:val="17"/>
          <w:szCs w:val="17"/>
        </w:rPr>
        <w:t>232.6m targeted cultural and creative sector COVID support funding, reported across categories and totals.</w:t>
      </w:r>
    </w:p>
  </w:footnote>
  <w:footnote w:id="3">
    <w:p w:rsidR="00145429" w:rsidRPr="0056100A" w:rsidRDefault="00145429" w:rsidP="00145429">
      <w:pPr>
        <w:pStyle w:val="FootnoteText"/>
        <w:ind w:right="-23"/>
      </w:pPr>
      <w:r w:rsidRPr="00D66936">
        <w:rPr>
          <w:rStyle w:val="FootnoteReference"/>
          <w:sz w:val="17"/>
          <w:szCs w:val="17"/>
        </w:rPr>
        <w:footnoteRef/>
      </w:r>
      <w:r w:rsidRPr="00D66936">
        <w:rPr>
          <w:sz w:val="17"/>
          <w:szCs w:val="17"/>
        </w:rPr>
        <w:t xml:space="preserve"> Includes $2</w:t>
      </w:r>
      <w:r w:rsidR="00373A29">
        <w:rPr>
          <w:sz w:val="17"/>
          <w:szCs w:val="17"/>
        </w:rPr>
        <w:t>10.1</w:t>
      </w:r>
      <w:r w:rsidRPr="00D66936">
        <w:rPr>
          <w:sz w:val="17"/>
          <w:szCs w:val="17"/>
        </w:rPr>
        <w:t>m targeted cultural and creative sector COVID support funding, reported across categories and totals. $4.4m is included in the totals only</w:t>
      </w:r>
      <w:r w:rsidR="00373A29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479" w:rsidRDefault="00842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33905" wp14:editId="751920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479" w:rsidRPr="00842479" w:rsidRDefault="0084247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4247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339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iWKEi1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842479" w:rsidRPr="00842479" w:rsidRDefault="00842479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4247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D78BC6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211AFE">
      <w:t>August</w:t>
    </w:r>
    <w:r w:rsidR="000B435A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3F70"/>
    <w:multiLevelType w:val="hybridMultilevel"/>
    <w:tmpl w:val="2EB41F5A"/>
    <w:lvl w:ilvl="0" w:tplc="43C0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1A2"/>
    <w:multiLevelType w:val="hybridMultilevel"/>
    <w:tmpl w:val="A016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A49"/>
    <w:rsid w:val="00024E6D"/>
    <w:rsid w:val="00024EAC"/>
    <w:rsid w:val="000633EF"/>
    <w:rsid w:val="000651E7"/>
    <w:rsid w:val="00066DCE"/>
    <w:rsid w:val="00077A45"/>
    <w:rsid w:val="000901A4"/>
    <w:rsid w:val="000B27A8"/>
    <w:rsid w:val="000B435A"/>
    <w:rsid w:val="000B7F04"/>
    <w:rsid w:val="000D1CCB"/>
    <w:rsid w:val="0010452B"/>
    <w:rsid w:val="00111A64"/>
    <w:rsid w:val="00124A6F"/>
    <w:rsid w:val="00134864"/>
    <w:rsid w:val="00145429"/>
    <w:rsid w:val="001471EA"/>
    <w:rsid w:val="001472FC"/>
    <w:rsid w:val="00156DBE"/>
    <w:rsid w:val="001715EF"/>
    <w:rsid w:val="001736CC"/>
    <w:rsid w:val="001800D2"/>
    <w:rsid w:val="00185E9F"/>
    <w:rsid w:val="00192F6D"/>
    <w:rsid w:val="0019701B"/>
    <w:rsid w:val="001C77F1"/>
    <w:rsid w:val="001C7827"/>
    <w:rsid w:val="001D64AC"/>
    <w:rsid w:val="001D7905"/>
    <w:rsid w:val="001E22B3"/>
    <w:rsid w:val="002117E6"/>
    <w:rsid w:val="00211AFE"/>
    <w:rsid w:val="002240CF"/>
    <w:rsid w:val="00226CF2"/>
    <w:rsid w:val="0023201F"/>
    <w:rsid w:val="00233C13"/>
    <w:rsid w:val="00234C00"/>
    <w:rsid w:val="002352F9"/>
    <w:rsid w:val="0024033A"/>
    <w:rsid w:val="00242B78"/>
    <w:rsid w:val="002454AC"/>
    <w:rsid w:val="00252875"/>
    <w:rsid w:val="00265D2E"/>
    <w:rsid w:val="00267B33"/>
    <w:rsid w:val="0027679D"/>
    <w:rsid w:val="00290FEC"/>
    <w:rsid w:val="00293DD6"/>
    <w:rsid w:val="002966CA"/>
    <w:rsid w:val="002A3B4B"/>
    <w:rsid w:val="002A4338"/>
    <w:rsid w:val="002A63D8"/>
    <w:rsid w:val="002B48ED"/>
    <w:rsid w:val="002C2134"/>
    <w:rsid w:val="002C485B"/>
    <w:rsid w:val="002C5369"/>
    <w:rsid w:val="002E2477"/>
    <w:rsid w:val="002E2585"/>
    <w:rsid w:val="002E46A4"/>
    <w:rsid w:val="002F0402"/>
    <w:rsid w:val="002F3895"/>
    <w:rsid w:val="002F47FB"/>
    <w:rsid w:val="00302513"/>
    <w:rsid w:val="00303786"/>
    <w:rsid w:val="00310234"/>
    <w:rsid w:val="00327F06"/>
    <w:rsid w:val="00335334"/>
    <w:rsid w:val="00336DDD"/>
    <w:rsid w:val="0034581A"/>
    <w:rsid w:val="00363704"/>
    <w:rsid w:val="003703DD"/>
    <w:rsid w:val="00371043"/>
    <w:rsid w:val="0037364C"/>
    <w:rsid w:val="00373A29"/>
    <w:rsid w:val="00377488"/>
    <w:rsid w:val="00381364"/>
    <w:rsid w:val="00382743"/>
    <w:rsid w:val="0039367A"/>
    <w:rsid w:val="00394F53"/>
    <w:rsid w:val="003B5B1D"/>
    <w:rsid w:val="003C73DB"/>
    <w:rsid w:val="003D142F"/>
    <w:rsid w:val="003E78EF"/>
    <w:rsid w:val="003F495D"/>
    <w:rsid w:val="00400E77"/>
    <w:rsid w:val="00410602"/>
    <w:rsid w:val="0041185C"/>
    <w:rsid w:val="00420E56"/>
    <w:rsid w:val="00423090"/>
    <w:rsid w:val="00426F0B"/>
    <w:rsid w:val="00433E7A"/>
    <w:rsid w:val="00436F4C"/>
    <w:rsid w:val="00445197"/>
    <w:rsid w:val="00450D6E"/>
    <w:rsid w:val="00456F44"/>
    <w:rsid w:val="00466051"/>
    <w:rsid w:val="00467552"/>
    <w:rsid w:val="004715AF"/>
    <w:rsid w:val="004755A2"/>
    <w:rsid w:val="00477982"/>
    <w:rsid w:val="00480764"/>
    <w:rsid w:val="004819E5"/>
    <w:rsid w:val="0048626B"/>
    <w:rsid w:val="0048644E"/>
    <w:rsid w:val="004D0B6D"/>
    <w:rsid w:val="004E59C7"/>
    <w:rsid w:val="004F1EAB"/>
    <w:rsid w:val="00503CD4"/>
    <w:rsid w:val="00506643"/>
    <w:rsid w:val="00511C7B"/>
    <w:rsid w:val="00512608"/>
    <w:rsid w:val="00514C96"/>
    <w:rsid w:val="005168FE"/>
    <w:rsid w:val="00526687"/>
    <w:rsid w:val="005377F7"/>
    <w:rsid w:val="00542695"/>
    <w:rsid w:val="00544465"/>
    <w:rsid w:val="00550832"/>
    <w:rsid w:val="005534E9"/>
    <w:rsid w:val="005562BD"/>
    <w:rsid w:val="005579A8"/>
    <w:rsid w:val="00561190"/>
    <w:rsid w:val="005658F1"/>
    <w:rsid w:val="00565B47"/>
    <w:rsid w:val="005741CF"/>
    <w:rsid w:val="00575A5A"/>
    <w:rsid w:val="005932D0"/>
    <w:rsid w:val="00597F9B"/>
    <w:rsid w:val="005B3551"/>
    <w:rsid w:val="005C6252"/>
    <w:rsid w:val="005C7C65"/>
    <w:rsid w:val="005C7F3F"/>
    <w:rsid w:val="005F23E0"/>
    <w:rsid w:val="00605481"/>
    <w:rsid w:val="0061446D"/>
    <w:rsid w:val="0061583E"/>
    <w:rsid w:val="00625397"/>
    <w:rsid w:val="00636865"/>
    <w:rsid w:val="0064138E"/>
    <w:rsid w:val="00641912"/>
    <w:rsid w:val="00666CBC"/>
    <w:rsid w:val="0066760D"/>
    <w:rsid w:val="00677BF2"/>
    <w:rsid w:val="00693994"/>
    <w:rsid w:val="006970A6"/>
    <w:rsid w:val="006A08AD"/>
    <w:rsid w:val="006A1AFE"/>
    <w:rsid w:val="006A2F0E"/>
    <w:rsid w:val="006C4BC7"/>
    <w:rsid w:val="006C5A9D"/>
    <w:rsid w:val="006D0316"/>
    <w:rsid w:val="006F06FD"/>
    <w:rsid w:val="006F4C05"/>
    <w:rsid w:val="0070126E"/>
    <w:rsid w:val="00702DE5"/>
    <w:rsid w:val="00705B86"/>
    <w:rsid w:val="00705FA6"/>
    <w:rsid w:val="00725BF3"/>
    <w:rsid w:val="007260A2"/>
    <w:rsid w:val="00726D8E"/>
    <w:rsid w:val="007316EF"/>
    <w:rsid w:val="0074751D"/>
    <w:rsid w:val="00753BB6"/>
    <w:rsid w:val="00756B9B"/>
    <w:rsid w:val="00784F67"/>
    <w:rsid w:val="007907C5"/>
    <w:rsid w:val="007A4B0F"/>
    <w:rsid w:val="007A5DD1"/>
    <w:rsid w:val="007C082B"/>
    <w:rsid w:val="007C1577"/>
    <w:rsid w:val="007C4542"/>
    <w:rsid w:val="007E400E"/>
    <w:rsid w:val="007F1B6E"/>
    <w:rsid w:val="00813AD2"/>
    <w:rsid w:val="008169A6"/>
    <w:rsid w:val="00820CF9"/>
    <w:rsid w:val="0082186E"/>
    <w:rsid w:val="008228E2"/>
    <w:rsid w:val="00834DE8"/>
    <w:rsid w:val="00842479"/>
    <w:rsid w:val="00842CA0"/>
    <w:rsid w:val="00860C86"/>
    <w:rsid w:val="008646E6"/>
    <w:rsid w:val="00866475"/>
    <w:rsid w:val="00867254"/>
    <w:rsid w:val="008914D6"/>
    <w:rsid w:val="00893360"/>
    <w:rsid w:val="00896A41"/>
    <w:rsid w:val="008A4B1F"/>
    <w:rsid w:val="008B2A19"/>
    <w:rsid w:val="008B767F"/>
    <w:rsid w:val="008C0B20"/>
    <w:rsid w:val="008D4E53"/>
    <w:rsid w:val="008D7AAA"/>
    <w:rsid w:val="008E036D"/>
    <w:rsid w:val="008F7FA4"/>
    <w:rsid w:val="00905E68"/>
    <w:rsid w:val="00912280"/>
    <w:rsid w:val="00920F57"/>
    <w:rsid w:val="00927FF3"/>
    <w:rsid w:val="009313D2"/>
    <w:rsid w:val="00937283"/>
    <w:rsid w:val="0094124E"/>
    <w:rsid w:val="00957422"/>
    <w:rsid w:val="009654E0"/>
    <w:rsid w:val="00966C24"/>
    <w:rsid w:val="00991EBB"/>
    <w:rsid w:val="009B74C6"/>
    <w:rsid w:val="009B7EF0"/>
    <w:rsid w:val="009C01D1"/>
    <w:rsid w:val="009C47F7"/>
    <w:rsid w:val="009C627D"/>
    <w:rsid w:val="009D0D57"/>
    <w:rsid w:val="009E12E4"/>
    <w:rsid w:val="009E7932"/>
    <w:rsid w:val="00A0554C"/>
    <w:rsid w:val="00A06663"/>
    <w:rsid w:val="00A06D09"/>
    <w:rsid w:val="00A0756F"/>
    <w:rsid w:val="00A150F0"/>
    <w:rsid w:val="00A22246"/>
    <w:rsid w:val="00A241FE"/>
    <w:rsid w:val="00A35CD0"/>
    <w:rsid w:val="00A37719"/>
    <w:rsid w:val="00A44D6C"/>
    <w:rsid w:val="00A46A1E"/>
    <w:rsid w:val="00A55609"/>
    <w:rsid w:val="00A57B08"/>
    <w:rsid w:val="00A606B1"/>
    <w:rsid w:val="00A66771"/>
    <w:rsid w:val="00A75A43"/>
    <w:rsid w:val="00A830DE"/>
    <w:rsid w:val="00A91A72"/>
    <w:rsid w:val="00A93EA2"/>
    <w:rsid w:val="00AA38E6"/>
    <w:rsid w:val="00AA620D"/>
    <w:rsid w:val="00AC0151"/>
    <w:rsid w:val="00AC027C"/>
    <w:rsid w:val="00AC0B64"/>
    <w:rsid w:val="00AC1A69"/>
    <w:rsid w:val="00AE4F02"/>
    <w:rsid w:val="00AF0EE7"/>
    <w:rsid w:val="00AF5FC0"/>
    <w:rsid w:val="00B049A4"/>
    <w:rsid w:val="00B04E5C"/>
    <w:rsid w:val="00B1045C"/>
    <w:rsid w:val="00B216AB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771"/>
    <w:rsid w:val="00BA0A5A"/>
    <w:rsid w:val="00BC0D30"/>
    <w:rsid w:val="00BC2AAF"/>
    <w:rsid w:val="00BC329E"/>
    <w:rsid w:val="00BC4BB1"/>
    <w:rsid w:val="00BC7D72"/>
    <w:rsid w:val="00BE1ACB"/>
    <w:rsid w:val="00BE1F34"/>
    <w:rsid w:val="00BE7E66"/>
    <w:rsid w:val="00C12049"/>
    <w:rsid w:val="00C16794"/>
    <w:rsid w:val="00C21780"/>
    <w:rsid w:val="00C240E2"/>
    <w:rsid w:val="00C3695F"/>
    <w:rsid w:val="00C371F2"/>
    <w:rsid w:val="00C451EE"/>
    <w:rsid w:val="00C52D16"/>
    <w:rsid w:val="00C55F55"/>
    <w:rsid w:val="00CC4247"/>
    <w:rsid w:val="00CC75CC"/>
    <w:rsid w:val="00CD0CB6"/>
    <w:rsid w:val="00CD5C1E"/>
    <w:rsid w:val="00CE07F2"/>
    <w:rsid w:val="00CE5C90"/>
    <w:rsid w:val="00CE72E8"/>
    <w:rsid w:val="00D03AE2"/>
    <w:rsid w:val="00D078A3"/>
    <w:rsid w:val="00D13C71"/>
    <w:rsid w:val="00D14C03"/>
    <w:rsid w:val="00D44042"/>
    <w:rsid w:val="00D47936"/>
    <w:rsid w:val="00D521E7"/>
    <w:rsid w:val="00D56E77"/>
    <w:rsid w:val="00D66936"/>
    <w:rsid w:val="00D746E5"/>
    <w:rsid w:val="00D75C4E"/>
    <w:rsid w:val="00D776B6"/>
    <w:rsid w:val="00D86CAA"/>
    <w:rsid w:val="00D92957"/>
    <w:rsid w:val="00DA7469"/>
    <w:rsid w:val="00DB4FA3"/>
    <w:rsid w:val="00DB7840"/>
    <w:rsid w:val="00DC17B6"/>
    <w:rsid w:val="00DC2DFA"/>
    <w:rsid w:val="00DC4472"/>
    <w:rsid w:val="00DC6A98"/>
    <w:rsid w:val="00DD492F"/>
    <w:rsid w:val="00DD4ACA"/>
    <w:rsid w:val="00DD5D52"/>
    <w:rsid w:val="00E03DF5"/>
    <w:rsid w:val="00E06D3D"/>
    <w:rsid w:val="00E1035D"/>
    <w:rsid w:val="00E23218"/>
    <w:rsid w:val="00E42F9F"/>
    <w:rsid w:val="00E46A2A"/>
    <w:rsid w:val="00E51D5C"/>
    <w:rsid w:val="00E546B0"/>
    <w:rsid w:val="00E71039"/>
    <w:rsid w:val="00E76886"/>
    <w:rsid w:val="00E80B2E"/>
    <w:rsid w:val="00E819BF"/>
    <w:rsid w:val="00E85276"/>
    <w:rsid w:val="00E92EB5"/>
    <w:rsid w:val="00E97404"/>
    <w:rsid w:val="00EA2F26"/>
    <w:rsid w:val="00EA5BA4"/>
    <w:rsid w:val="00EA6A0D"/>
    <w:rsid w:val="00EA6D34"/>
    <w:rsid w:val="00EB40A5"/>
    <w:rsid w:val="00ED2BAB"/>
    <w:rsid w:val="00EE5043"/>
    <w:rsid w:val="00EE7759"/>
    <w:rsid w:val="00EF213E"/>
    <w:rsid w:val="00EF61B4"/>
    <w:rsid w:val="00F0075E"/>
    <w:rsid w:val="00F02CC1"/>
    <w:rsid w:val="00F239E3"/>
    <w:rsid w:val="00F242E6"/>
    <w:rsid w:val="00F25FCB"/>
    <w:rsid w:val="00F33EF0"/>
    <w:rsid w:val="00F3567E"/>
    <w:rsid w:val="00F408EE"/>
    <w:rsid w:val="00F56262"/>
    <w:rsid w:val="00F67604"/>
    <w:rsid w:val="00F701E3"/>
    <w:rsid w:val="00F7051B"/>
    <w:rsid w:val="00F80DDD"/>
    <w:rsid w:val="00F86DEA"/>
    <w:rsid w:val="00F9394E"/>
    <w:rsid w:val="00F9793C"/>
    <w:rsid w:val="00FC0C98"/>
    <w:rsid w:val="00FC16F3"/>
    <w:rsid w:val="00FC2CDB"/>
    <w:rsid w:val="00FE6B97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-arrow">
    <w:name w:val="bullet - arrow"/>
    <w:basedOn w:val="Bulletlevel1"/>
    <w:qFormat/>
    <w:rsid w:val="00145429"/>
    <w:pPr>
      <w:numPr>
        <w:numId w:val="0"/>
      </w:numPr>
      <w:ind w:left="567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14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NCE&amp;T\SURVEYS\Culture\Cultural%20Funding%20by%20Governments%20Survey\2021-22%20Survey\2021-2022\1.%20Working\9%20-%20Aust\Aust%20Govt-Analysis-2021-22-update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oodna\AppData\Local\Microsoft\Windows\INetCache\Content.Outlook\58GGMCSY\Aust%20Govt-Analysis-2020-21v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rp\absdfs\workgroup\NCE&amp;T\SURVEYS\Culture\Cultural%20Funding%20by%20Governments%20Survey\2021-22%20Survey\2021-2022\1.%20Working\9%20-%20Aust\Aust%20Govt-Analysis-2021-22-updated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corp\absdfs\workgroup\NCE&amp;T\SURVEYS\Culture\Cultural%20Funding%20by%20Governments%20Survey\2021-22%20Survey\2021-2022\1.%20Working\9%20-%20Aust\Aust%20Govt-Analysis-2021-22-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2480387868183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'Heritage graph'!$B$3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'Heritage graph'!$A$4:$A$7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'Heritage graph'!$B$4:$B$7</c:f>
              <c:numCache>
                <c:formatCode>#,##0.0</c:formatCode>
                <c:ptCount val="4"/>
                <c:pt idx="0">
                  <c:v>93.9</c:v>
                </c:pt>
                <c:pt idx="1">
                  <c:v>452.8</c:v>
                </c:pt>
                <c:pt idx="2">
                  <c:v>95.8</c:v>
                </c:pt>
                <c:pt idx="3">
                  <c:v>143.9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FB7-96C3-C145289782F6}"/>
            </c:ext>
          </c:extLst>
        </c:ser>
        <c:ser>
          <c:idx val="1"/>
          <c:order val="1"/>
          <c:tx>
            <c:strRef>
              <c:f>'Heritage graph'!$C$3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'Heritage graph'!$A$4:$A$7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'Heritage graph'!$C$4:$C$7</c:f>
              <c:numCache>
                <c:formatCode>#,##0.0</c:formatCode>
                <c:ptCount val="4"/>
                <c:pt idx="0">
                  <c:v>111.8</c:v>
                </c:pt>
                <c:pt idx="1">
                  <c:v>482.9</c:v>
                </c:pt>
                <c:pt idx="2">
                  <c:v>100.7</c:v>
                </c:pt>
                <c:pt idx="3">
                  <c:v>140.69999999999999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FB7-96C3-C145289782F6}"/>
            </c:ext>
          </c:extLst>
        </c:ser>
        <c:ser>
          <c:idx val="2"/>
          <c:order val="2"/>
          <c:tx>
            <c:strRef>
              <c:f>'Heritage graph'!$D$3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'Heritage graph'!$A$4:$A$7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'Heritage graph'!$D$4:$D$7</c:f>
              <c:numCache>
                <c:formatCode>#,##0.0</c:formatCode>
                <c:ptCount val="4"/>
                <c:pt idx="0">
                  <c:v>141.68200000000002</c:v>
                </c:pt>
                <c:pt idx="1">
                  <c:v>528.9</c:v>
                </c:pt>
                <c:pt idx="2">
                  <c:v>105.93599999999999</c:v>
                </c:pt>
                <c:pt idx="3">
                  <c:v>150.505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FB7-96C3-C14528978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6074624"/>
        <c:axId val="226076160"/>
      </c:barChart>
      <c:catAx>
        <c:axId val="22607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076160"/>
        <c:crosses val="autoZero"/>
        <c:auto val="1"/>
        <c:lblAlgn val="ctr"/>
        <c:lblOffset val="100"/>
        <c:noMultiLvlLbl val="0"/>
      </c:catAx>
      <c:valAx>
        <c:axId val="22607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07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667791251354954"/>
          <c:y val="0.15886796759100763"/>
          <c:w val="0.15110665388534239"/>
          <c:h val="0.156909813356663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9.8060484976691342E-2"/>
          <c:w val="0.91214220508224853"/>
          <c:h val="0.69771731891722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Working!$B$40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Working!$A$41:$A$47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Arts administration</c:v>
                </c:pt>
              </c:strCache>
            </c:strRef>
          </c:cat>
          <c:val>
            <c:numRef>
              <c:f>Working!$B$41:$B$47</c:f>
              <c:numCache>
                <c:formatCode>#,##0.0</c:formatCode>
                <c:ptCount val="7"/>
                <c:pt idx="0">
                  <c:v>78.599999999999994</c:v>
                </c:pt>
                <c:pt idx="1">
                  <c:v>25.4</c:v>
                </c:pt>
                <c:pt idx="2">
                  <c:v>42.9</c:v>
                </c:pt>
                <c:pt idx="3">
                  <c:v>1384.3</c:v>
                </c:pt>
                <c:pt idx="4">
                  <c:v>119.5</c:v>
                </c:pt>
                <c:pt idx="5">
                  <c:v>50.7</c:v>
                </c:pt>
                <c:pt idx="6">
                  <c:v>68.099999999999994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4-4C7A-BF26-4B33FF785767}"/>
            </c:ext>
          </c:extLst>
        </c:ser>
        <c:ser>
          <c:idx val="1"/>
          <c:order val="1"/>
          <c:tx>
            <c:strRef>
              <c:f>Working!$C$40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Working!$A$41:$A$47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Arts administration</c:v>
                </c:pt>
              </c:strCache>
            </c:strRef>
          </c:cat>
          <c:val>
            <c:numRef>
              <c:f>Working!$C$41:$C$47</c:f>
              <c:numCache>
                <c:formatCode>#,##0.0</c:formatCode>
                <c:ptCount val="7"/>
                <c:pt idx="0">
                  <c:v>132.35610500000001</c:v>
                </c:pt>
                <c:pt idx="1">
                  <c:v>51.158591000000001</c:v>
                </c:pt>
                <c:pt idx="2">
                  <c:v>59.965682719999997</c:v>
                </c:pt>
                <c:pt idx="3">
                  <c:v>1418.1</c:v>
                </c:pt>
                <c:pt idx="4">
                  <c:v>159.83860990000002</c:v>
                </c:pt>
                <c:pt idx="5">
                  <c:v>54.537858999999997</c:v>
                </c:pt>
                <c:pt idx="6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D4-4C7A-BF26-4B33FF785767}"/>
            </c:ext>
          </c:extLst>
        </c:ser>
        <c:ser>
          <c:idx val="2"/>
          <c:order val="2"/>
          <c:tx>
            <c:strRef>
              <c:f>Working!$D$40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Working!$A$41:$A$47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Arts administration</c:v>
                </c:pt>
              </c:strCache>
            </c:strRef>
          </c:cat>
          <c:val>
            <c:numRef>
              <c:f>Working!$D$41:$D$47</c:f>
              <c:numCache>
                <c:formatCode>#,##0.0</c:formatCode>
                <c:ptCount val="7"/>
                <c:pt idx="0">
                  <c:v>158.4</c:v>
                </c:pt>
                <c:pt idx="1">
                  <c:v>47.2</c:v>
                </c:pt>
                <c:pt idx="2">
                  <c:v>54.5</c:v>
                </c:pt>
                <c:pt idx="3">
                  <c:v>1440.1</c:v>
                </c:pt>
                <c:pt idx="4">
                  <c:v>185.2</c:v>
                </c:pt>
                <c:pt idx="5">
                  <c:v>52.7</c:v>
                </c:pt>
                <c:pt idx="6">
                  <c:v>51.7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D4-4C7A-BF26-4B33FF785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6724480"/>
        <c:axId val="226734464"/>
      </c:barChart>
      <c:catAx>
        <c:axId val="2267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734464"/>
        <c:crosses val="autoZero"/>
        <c:auto val="1"/>
        <c:lblAlgn val="ctr"/>
        <c:lblOffset val="100"/>
        <c:noMultiLvlLbl val="0"/>
      </c:catAx>
      <c:valAx>
        <c:axId val="2267344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72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3982562333732205"/>
          <c:y val="0.14437518226888305"/>
          <c:w val="0.15110665388534239"/>
          <c:h val="0.12961570102244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066508588995936"/>
          <c:y val="4.1314553990610327E-2"/>
          <c:w val="0.62977519875772447"/>
          <c:h val="0.808012125244907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Working!$B$53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Working!$A$54:$A$62</c:f>
              <c:strCache>
                <c:ptCount val="9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Visual arts &amp; crafts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Working!$B$54:$B$62</c:f>
              <c:numCache>
                <c:formatCode>#,##0.0</c:formatCode>
                <c:ptCount val="9"/>
                <c:pt idx="0">
                  <c:v>51.673999999999999</c:v>
                </c:pt>
                <c:pt idx="1">
                  <c:v>185.184</c:v>
                </c:pt>
                <c:pt idx="2">
                  <c:v>1371.873</c:v>
                </c:pt>
                <c:pt idx="3">
                  <c:v>54.420999999999999</c:v>
                </c:pt>
                <c:pt idx="4">
                  <c:v>158.28300000000002</c:v>
                </c:pt>
                <c:pt idx="5">
                  <c:v>134.25800000000001</c:v>
                </c:pt>
                <c:pt idx="6">
                  <c:v>81.099999999999994</c:v>
                </c:pt>
                <c:pt idx="7">
                  <c:v>316.60000000000002</c:v>
                </c:pt>
                <c:pt idx="8">
                  <c:v>66.400000000000006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F-4584-9983-03B97466FEE0}"/>
            </c:ext>
          </c:extLst>
        </c:ser>
        <c:ser>
          <c:idx val="1"/>
          <c:order val="1"/>
          <c:tx>
            <c:strRef>
              <c:f>Working!$C$53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Working!$A$54:$A$62</c:f>
              <c:strCache>
                <c:ptCount val="9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Visual arts &amp; crafts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Working!$C$54:$C$62</c:f>
              <c:numCache>
                <c:formatCode>#,##0.0</c:formatCode>
                <c:ptCount val="9"/>
                <c:pt idx="0">
                  <c:v>64.384316990000002</c:v>
                </c:pt>
                <c:pt idx="1">
                  <c:v>159.83860990000002</c:v>
                </c:pt>
                <c:pt idx="2">
                  <c:v>1342.5</c:v>
                </c:pt>
                <c:pt idx="3">
                  <c:v>57.861682719999997</c:v>
                </c:pt>
                <c:pt idx="4">
                  <c:v>132.234105</c:v>
                </c:pt>
                <c:pt idx="5">
                  <c:v>130.85400000000001</c:v>
                </c:pt>
                <c:pt idx="6">
                  <c:v>89.01</c:v>
                </c:pt>
                <c:pt idx="7">
                  <c:v>359.70399639999999</c:v>
                </c:pt>
                <c:pt idx="8">
                  <c:v>82.805999999999997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F-4584-9983-03B97466FEE0}"/>
            </c:ext>
          </c:extLst>
        </c:ser>
        <c:ser>
          <c:idx val="2"/>
          <c:order val="2"/>
          <c:tx>
            <c:strRef>
              <c:f>Working!$D$53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Working!$A$54:$A$62</c:f>
              <c:strCache>
                <c:ptCount val="9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Visual arts &amp; crafts</c:v>
                </c:pt>
                <c:pt idx="4">
                  <c:v>Music </c:v>
                </c:pt>
                <c:pt idx="5">
                  <c:v>Archives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Working!$D$54:$D$62</c:f>
              <c:numCache>
                <c:formatCode>#,##0.0</c:formatCode>
                <c:ptCount val="9"/>
                <c:pt idx="0">
                  <c:v>67.8</c:v>
                </c:pt>
                <c:pt idx="1">
                  <c:v>119.4</c:v>
                </c:pt>
                <c:pt idx="2">
                  <c:v>1315.8</c:v>
                </c:pt>
                <c:pt idx="3">
                  <c:v>41.6</c:v>
                </c:pt>
                <c:pt idx="4">
                  <c:v>77.900000000000006</c:v>
                </c:pt>
                <c:pt idx="5">
                  <c:v>134.69999999999999</c:v>
                </c:pt>
                <c:pt idx="6">
                  <c:v>81.099999999999994</c:v>
                </c:pt>
                <c:pt idx="7">
                  <c:v>328.3</c:v>
                </c:pt>
                <c:pt idx="8">
                  <c:v>62.4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F-4584-9983-03B97466F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918400"/>
        <c:axId val="226919936"/>
      </c:barChart>
      <c:catAx>
        <c:axId val="22691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919936"/>
        <c:crosses val="autoZero"/>
        <c:auto val="1"/>
        <c:lblAlgn val="ctr"/>
        <c:lblOffset val="100"/>
        <c:noMultiLvlLbl val="0"/>
      </c:catAx>
      <c:valAx>
        <c:axId val="226919936"/>
        <c:scaling>
          <c:orientation val="minMax"/>
          <c:max val="14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Helv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50" b="0" i="0" u="none" strike="noStrike" kern="1200" baseline="0">
                  <a:solidFill>
                    <a:schemeClr val="tx1"/>
                  </a:solidFill>
                  <a:latin typeface="Helv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91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72375262443408"/>
          <c:y val="0.16079730878710577"/>
          <c:w val="0.10659031318681002"/>
          <c:h val="0.18481512887812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988174590234687"/>
          <c:y val="6.8014727325750965E-2"/>
          <c:w val="0.57741418132721234"/>
          <c:h val="0.810403543307086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'Capital graph'!$B$3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'Capital graph'!$A$4:$A$10</c:f>
              <c:strCache>
                <c:ptCount val="7"/>
                <c:pt idx="0">
                  <c:v>Multi-arts festivals</c:v>
                </c:pt>
                <c:pt idx="1">
                  <c:v>Radio &amp; television services</c:v>
                </c:pt>
                <c:pt idx="2">
                  <c:v>Performing arts venues</c:v>
                </c:pt>
                <c:pt idx="3">
                  <c:v>Archives</c:v>
                </c:pt>
                <c:pt idx="4">
                  <c:v>Libraries</c:v>
                </c:pt>
                <c:pt idx="5">
                  <c:v>Other museums &amp; cultural heritage</c:v>
                </c:pt>
                <c:pt idx="6">
                  <c:v>Art museums</c:v>
                </c:pt>
              </c:strCache>
            </c:strRef>
          </c:cat>
          <c:val>
            <c:numRef>
              <c:f>'Capital graph'!$B$4:$B$10</c:f>
              <c:numCache>
                <c:formatCode>#,##0.0</c:formatCode>
                <c:ptCount val="7"/>
                <c:pt idx="0" formatCode="0.0">
                  <c:v>15.5</c:v>
                </c:pt>
                <c:pt idx="1">
                  <c:v>68.2</c:v>
                </c:pt>
                <c:pt idx="2">
                  <c:v>14.1</c:v>
                </c:pt>
                <c:pt idx="3">
                  <c:v>16.2</c:v>
                </c:pt>
                <c:pt idx="4">
                  <c:v>24.8</c:v>
                </c:pt>
                <c:pt idx="5">
                  <c:v>212.3</c:v>
                </c:pt>
                <c:pt idx="6">
                  <c:v>75.3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8-4D08-A3F3-0E4BF71D6DD8}"/>
            </c:ext>
          </c:extLst>
        </c:ser>
        <c:ser>
          <c:idx val="1"/>
          <c:order val="1"/>
          <c:tx>
            <c:strRef>
              <c:f>'Capital graph'!$C$3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'Capital graph'!$A$4:$A$10</c:f>
              <c:strCache>
                <c:ptCount val="7"/>
                <c:pt idx="0">
                  <c:v>Multi-arts festivals</c:v>
                </c:pt>
                <c:pt idx="1">
                  <c:v>Radio &amp; television services</c:v>
                </c:pt>
                <c:pt idx="2">
                  <c:v>Performing arts venues</c:v>
                </c:pt>
                <c:pt idx="3">
                  <c:v>Archives</c:v>
                </c:pt>
                <c:pt idx="4">
                  <c:v>Libraries</c:v>
                </c:pt>
                <c:pt idx="5">
                  <c:v>Other museums &amp; cultural heritage</c:v>
                </c:pt>
                <c:pt idx="6">
                  <c:v>Art museums</c:v>
                </c:pt>
              </c:strCache>
            </c:strRef>
          </c:cat>
          <c:val>
            <c:numRef>
              <c:f>'Capital graph'!$C$4:$C$10</c:f>
              <c:numCache>
                <c:formatCode>0.0</c:formatCode>
                <c:ptCount val="7"/>
                <c:pt idx="0">
                  <c:v>0</c:v>
                </c:pt>
                <c:pt idx="1">
                  <c:v>75.599999999999994</c:v>
                </c:pt>
                <c:pt idx="2">
                  <c:v>0</c:v>
                </c:pt>
                <c:pt idx="3">
                  <c:v>9.8000000000000007</c:v>
                </c:pt>
                <c:pt idx="4">
                  <c:v>11.6</c:v>
                </c:pt>
                <c:pt idx="5">
                  <c:v>123.2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98-4D08-A3F3-0E4BF71D6DD8}"/>
            </c:ext>
          </c:extLst>
        </c:ser>
        <c:ser>
          <c:idx val="2"/>
          <c:order val="2"/>
          <c:tx>
            <c:strRef>
              <c:f>'Capital graph'!$D$3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'Capital graph'!$A$4:$A$10</c:f>
              <c:strCache>
                <c:ptCount val="7"/>
                <c:pt idx="0">
                  <c:v>Multi-arts festivals</c:v>
                </c:pt>
                <c:pt idx="1">
                  <c:v>Radio &amp; television services</c:v>
                </c:pt>
                <c:pt idx="2">
                  <c:v>Performing arts venues</c:v>
                </c:pt>
                <c:pt idx="3">
                  <c:v>Archives</c:v>
                </c:pt>
                <c:pt idx="4">
                  <c:v>Libraries</c:v>
                </c:pt>
                <c:pt idx="5">
                  <c:v>Other museums &amp; cultural heritage</c:v>
                </c:pt>
                <c:pt idx="6">
                  <c:v>Art museums</c:v>
                </c:pt>
              </c:strCache>
            </c:strRef>
          </c:cat>
          <c:val>
            <c:numRef>
              <c:f>'Capital graph'!$D$4:$D$10</c:f>
              <c:numCache>
                <c:formatCode>0.0</c:formatCode>
                <c:ptCount val="7"/>
                <c:pt idx="0">
                  <c:v>0.3</c:v>
                </c:pt>
                <c:pt idx="1">
                  <c:v>68.599999999999994</c:v>
                </c:pt>
                <c:pt idx="2">
                  <c:v>6.7</c:v>
                </c:pt>
                <c:pt idx="3">
                  <c:v>9.1</c:v>
                </c:pt>
                <c:pt idx="4">
                  <c:v>14.6</c:v>
                </c:pt>
                <c:pt idx="5">
                  <c:v>124.5</c:v>
                </c:pt>
                <c:pt idx="6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98-4D08-A3F3-0E4BF71D6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582528"/>
        <c:axId val="226584064"/>
      </c:barChart>
      <c:catAx>
        <c:axId val="22658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584064"/>
        <c:crosses val="autoZero"/>
        <c:auto val="1"/>
        <c:lblAlgn val="ctr"/>
        <c:lblOffset val="100"/>
        <c:noMultiLvlLbl val="0"/>
      </c:catAx>
      <c:valAx>
        <c:axId val="226584064"/>
        <c:scaling>
          <c:orientation val="minMax"/>
          <c:max val="22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latin typeface="+mn-lt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7150692521382271"/>
              <c:y val="0.925021795183091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58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063610614020529"/>
          <c:y val="0.3233663419191245"/>
          <c:w val="0.13881694724465174"/>
          <c:h val="0.19169642777703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Helv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0B2E-96B3-4559-9BE8-B27E0BDE9A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Australian Government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Australian Government</dc:title>
  <dc:subject/>
  <dc:creator/>
  <cp:keywords/>
  <dc:description/>
  <cp:lastModifiedBy/>
  <cp:revision>1</cp:revision>
  <dcterms:created xsi:type="dcterms:W3CDTF">2023-08-14T06:36:00Z</dcterms:created>
  <dcterms:modified xsi:type="dcterms:W3CDTF">2023-08-14T06:37:00Z</dcterms:modified>
</cp:coreProperties>
</file>