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24E" w:rsidRDefault="00CD5C1E" w:rsidP="0094124E">
      <w:pPr>
        <w:ind w:left="-1418"/>
      </w:pPr>
      <w:r>
        <w:rPr>
          <w:noProof/>
        </w:rPr>
        <w:drawing>
          <wp:inline distT="0" distB="0" distL="0" distR="0" wp14:anchorId="0B2096A5" wp14:editId="00E7133E">
            <wp:extent cx="7645481" cy="1400175"/>
            <wp:effectExtent l="0" t="0" r="0" b="0"/>
            <wp:docPr id="11" name="Picture 1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221" cy="141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F3" w:rsidRDefault="00FC16F3" w:rsidP="0094124E">
      <w:pPr>
        <w:ind w:left="-1418"/>
        <w:sectPr w:rsidR="00FC16F3" w:rsidSect="00477982">
          <w:headerReference w:type="even" r:id="rId10"/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0" w:gutter="0"/>
          <w:cols w:space="708"/>
          <w:titlePg/>
          <w:docGrid w:linePitch="360"/>
        </w:sectPr>
      </w:pPr>
    </w:p>
    <w:p w:rsidR="002117E6" w:rsidRDefault="001D64AC" w:rsidP="00477982">
      <w:pPr>
        <w:pStyle w:val="Heading1"/>
      </w:pPr>
      <w:r>
        <w:t xml:space="preserve">Cultural Funding by </w:t>
      </w:r>
      <w:r w:rsidRPr="00834920">
        <w:t>Government—</w:t>
      </w:r>
      <w:r w:rsidR="0070126E" w:rsidRPr="00834920">
        <w:t>202</w:t>
      </w:r>
      <w:r w:rsidR="00835593" w:rsidRPr="00834920">
        <w:t>1</w:t>
      </w:r>
      <w:r w:rsidR="0070126E" w:rsidRPr="00834920">
        <w:t>–2</w:t>
      </w:r>
      <w:r w:rsidR="00835593" w:rsidRPr="00834920">
        <w:t>2</w:t>
      </w:r>
    </w:p>
    <w:p w:rsidR="00CD73FD" w:rsidRDefault="00CD73FD" w:rsidP="00CD73FD">
      <w:pPr>
        <w:pStyle w:val="Heading2"/>
      </w:pPr>
      <w:r w:rsidRPr="00527D9C">
        <w:rPr>
          <w:szCs w:val="36"/>
        </w:rPr>
        <w:t>Australian Capital Territory Government</w:t>
      </w:r>
    </w:p>
    <w:p w:rsidR="00790F76" w:rsidRPr="00834920" w:rsidRDefault="00CD73FD" w:rsidP="00CD73FD">
      <w:r w:rsidRPr="00834920">
        <w:t>The estimate of expenditure funded by the Australian Capital Territory (ACT) Government in 202</w:t>
      </w:r>
      <w:r w:rsidR="00364941" w:rsidRPr="00834920">
        <w:t>1</w:t>
      </w:r>
      <w:r w:rsidRPr="00834920">
        <w:t>–2</w:t>
      </w:r>
      <w:r w:rsidR="00364941" w:rsidRPr="00834920">
        <w:t xml:space="preserve">2 </w:t>
      </w:r>
      <w:r w:rsidRPr="00834920">
        <w:t xml:space="preserve">for cultural activities was </w:t>
      </w:r>
      <w:r w:rsidRPr="00AF77C4">
        <w:rPr>
          <w:b/>
        </w:rPr>
        <w:t>$</w:t>
      </w:r>
      <w:r w:rsidR="00364941" w:rsidRPr="00AF77C4">
        <w:rPr>
          <w:b/>
        </w:rPr>
        <w:t>82.1m</w:t>
      </w:r>
      <w:r w:rsidRPr="00834920">
        <w:t>, representing a</w:t>
      </w:r>
      <w:r w:rsidR="00364941" w:rsidRPr="00834920">
        <w:t>n inc</w:t>
      </w:r>
      <w:r w:rsidRPr="00834920">
        <w:t xml:space="preserve">rease of </w:t>
      </w:r>
      <w:r w:rsidR="00421AF3" w:rsidRPr="00834920">
        <w:t>10</w:t>
      </w:r>
      <w:r w:rsidRPr="00834920">
        <w:t>% or $</w:t>
      </w:r>
      <w:r w:rsidR="00421AF3" w:rsidRPr="00834920">
        <w:t>7.7</w:t>
      </w:r>
      <w:r w:rsidRPr="00834920">
        <w:t>m from 20</w:t>
      </w:r>
      <w:r w:rsidR="00364941" w:rsidRPr="00834920">
        <w:t>20</w:t>
      </w:r>
      <w:r w:rsidRPr="00834920">
        <w:t>–2</w:t>
      </w:r>
      <w:r w:rsidR="00364941" w:rsidRPr="00834920">
        <w:t>1</w:t>
      </w:r>
      <w:r w:rsidRPr="00834920">
        <w:t xml:space="preserve">. </w:t>
      </w:r>
      <w:r w:rsidR="008B703E" w:rsidRPr="00834920">
        <w:t xml:space="preserve">This amount includes </w:t>
      </w:r>
      <w:r w:rsidR="008B703E" w:rsidRPr="00834920">
        <w:rPr>
          <w:b/>
          <w:bCs/>
        </w:rPr>
        <w:t>$</w:t>
      </w:r>
      <w:r w:rsidR="00364941" w:rsidRPr="00834920">
        <w:rPr>
          <w:b/>
          <w:bCs/>
        </w:rPr>
        <w:t>3</w:t>
      </w:r>
      <w:r w:rsidR="008B703E" w:rsidRPr="00834920">
        <w:rPr>
          <w:b/>
          <w:bCs/>
        </w:rPr>
        <w:t>.5m</w:t>
      </w:r>
      <w:r w:rsidR="008B703E" w:rsidRPr="00834920">
        <w:t xml:space="preserve"> of targeted COVID support funding </w:t>
      </w:r>
      <w:r w:rsidR="00790F76" w:rsidRPr="00834920">
        <w:t>for cultural and creative organisations and infrastructure, businesses, individuals, support programs and initiatives.</w:t>
      </w:r>
    </w:p>
    <w:p w:rsidR="00CD73FD" w:rsidRPr="00834920" w:rsidRDefault="00CD73FD" w:rsidP="00CD73FD">
      <w:pPr>
        <w:pStyle w:val="Tablefigureheading"/>
      </w:pPr>
      <w:r>
        <w:t xml:space="preserve">Table 1. ACT Government cultural </w:t>
      </w:r>
      <w:r w:rsidRPr="00834920">
        <w:t>expenditure, 201</w:t>
      </w:r>
      <w:r w:rsidR="00835593" w:rsidRPr="00834920">
        <w:t>9–20</w:t>
      </w:r>
      <w:r w:rsidRPr="00834920">
        <w:t xml:space="preserve"> to 202</w:t>
      </w:r>
      <w:r w:rsidR="00835593" w:rsidRPr="00834920">
        <w:t>1–22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le 1. ACT Government cultural expenditure, 2019–20 to 2021–22"/>
        <w:tblDescription w:val="Table 1. ACT Government cultural expenditure, 2019–20 to 2021–22"/>
      </w:tblPr>
      <w:tblGrid>
        <w:gridCol w:w="1276"/>
        <w:gridCol w:w="1985"/>
        <w:gridCol w:w="1984"/>
      </w:tblGrid>
      <w:tr w:rsidR="00CD73FD" w:rsidTr="005C0996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:rsidR="00CD73FD" w:rsidRPr="0040581D" w:rsidRDefault="00364941" w:rsidP="005C0996">
            <w:pPr>
              <w:pStyle w:val="Tablerowcolumnheading"/>
            </w:pPr>
            <w:r w:rsidRPr="0040581D">
              <w:t>2019–20</w:t>
            </w:r>
            <w:r w:rsidRPr="0040581D">
              <w:rPr>
                <w:rStyle w:val="FootnoteReference"/>
              </w:rPr>
              <w:footnoteReference w:id="1"/>
            </w:r>
          </w:p>
        </w:tc>
        <w:tc>
          <w:tcPr>
            <w:tcW w:w="19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:rsidR="00CD73FD" w:rsidRPr="0040581D" w:rsidRDefault="00CD73FD" w:rsidP="005C0996">
            <w:pPr>
              <w:pStyle w:val="Tablerowcolumnheadingcentred"/>
            </w:pPr>
            <w:r w:rsidRPr="0040581D">
              <w:t>20</w:t>
            </w:r>
            <w:r w:rsidR="00835593" w:rsidRPr="0040581D">
              <w:t>20</w:t>
            </w:r>
            <w:r w:rsidRPr="0040581D">
              <w:t>–2</w:t>
            </w:r>
            <w:r w:rsidR="00835593" w:rsidRPr="0040581D">
              <w:t>1</w:t>
            </w:r>
            <w:r w:rsidR="00CD638F" w:rsidRPr="0040581D">
              <w:rPr>
                <w:rStyle w:val="FootnoteReference"/>
              </w:rPr>
              <w:footnoteReference w:id="2"/>
            </w:r>
          </w:p>
        </w:tc>
        <w:tc>
          <w:tcPr>
            <w:tcW w:w="198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:rsidR="00CD73FD" w:rsidRPr="0040581D" w:rsidRDefault="00CD73FD" w:rsidP="005C0996">
            <w:pPr>
              <w:pStyle w:val="Tablerowcolumnheadingcentred"/>
            </w:pPr>
            <w:r w:rsidRPr="0040581D">
              <w:t>202</w:t>
            </w:r>
            <w:r w:rsidR="00835593" w:rsidRPr="0040581D">
              <w:t>1</w:t>
            </w:r>
            <w:r w:rsidRPr="0040581D">
              <w:t>–2</w:t>
            </w:r>
            <w:r w:rsidR="00835593" w:rsidRPr="0040581D">
              <w:t>2</w:t>
            </w:r>
            <w:r w:rsidR="00CD638F" w:rsidRPr="0040581D">
              <w:rPr>
                <w:rStyle w:val="FootnoteReference"/>
              </w:rPr>
              <w:footnoteReference w:id="3"/>
            </w:r>
          </w:p>
        </w:tc>
      </w:tr>
      <w:tr w:rsidR="00CD73FD" w:rsidTr="005C0996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D73FD" w:rsidRPr="00834920" w:rsidRDefault="00CD73FD" w:rsidP="005C0996">
            <w:pPr>
              <w:pStyle w:val="Tabletext"/>
            </w:pPr>
            <w:r w:rsidRPr="00834920">
              <w:t>$</w:t>
            </w:r>
            <w:r w:rsidR="00835593" w:rsidRPr="00834920">
              <w:t>89.4m</w:t>
            </w:r>
            <w:r w:rsidRPr="00834920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D73FD" w:rsidRPr="00834920" w:rsidRDefault="00CD73FD" w:rsidP="005C0996">
            <w:pPr>
              <w:pStyle w:val="Tabletextcentred"/>
            </w:pPr>
            <w:r w:rsidRPr="00834920">
              <w:t>$</w:t>
            </w:r>
            <w:r w:rsidR="00835593" w:rsidRPr="00834920">
              <w:t>74</w:t>
            </w:r>
            <w:r w:rsidRPr="00834920">
              <w:t xml:space="preserve">.4m </w:t>
            </w:r>
            <w:r w:rsidR="00835593" w:rsidRPr="00834920">
              <w:rPr>
                <w:rFonts w:cstheme="minorHAnsi"/>
              </w:rPr>
              <w:t>↓</w:t>
            </w:r>
            <w:r w:rsidRPr="00834920">
              <w:t>1</w:t>
            </w:r>
            <w:r w:rsidR="00421AF3" w:rsidRPr="00834920">
              <w:t>7</w:t>
            </w:r>
            <w:r w:rsidRPr="00834920"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D73FD" w:rsidRPr="00834920" w:rsidRDefault="00CD73FD" w:rsidP="005C0996">
            <w:pPr>
              <w:pStyle w:val="Tabletextcentred"/>
            </w:pPr>
            <w:r w:rsidRPr="00834920">
              <w:t>$</w:t>
            </w:r>
            <w:r w:rsidR="00835593" w:rsidRPr="00834920">
              <w:t>82.1</w:t>
            </w:r>
            <w:r w:rsidRPr="00834920">
              <w:t xml:space="preserve">m </w:t>
            </w:r>
            <w:r w:rsidR="00835593" w:rsidRPr="00834920">
              <w:t>↑</w:t>
            </w:r>
            <w:r w:rsidR="00421AF3" w:rsidRPr="00834920">
              <w:t>10</w:t>
            </w:r>
            <w:r w:rsidRPr="00834920">
              <w:t>%</w:t>
            </w:r>
          </w:p>
        </w:tc>
      </w:tr>
    </w:tbl>
    <w:p w:rsidR="00CD73FD" w:rsidRPr="00834920" w:rsidRDefault="00CD73FD" w:rsidP="00CD73FD">
      <w:pPr>
        <w:pStyle w:val="ListParagraph"/>
        <w:numPr>
          <w:ilvl w:val="0"/>
          <w:numId w:val="6"/>
        </w:numPr>
        <w:spacing w:before="240"/>
        <w:ind w:left="567" w:hanging="567"/>
      </w:pPr>
      <w:r w:rsidRPr="00834920">
        <w:t xml:space="preserve">Recurrent expenses accounted for </w:t>
      </w:r>
      <w:r w:rsidR="00834920" w:rsidRPr="00834920">
        <w:t>90%</w:t>
      </w:r>
      <w:r w:rsidRPr="00834920">
        <w:t xml:space="preserve"> ($</w:t>
      </w:r>
      <w:r w:rsidR="00274DBD" w:rsidRPr="00834920">
        <w:t>74.3</w:t>
      </w:r>
      <w:r w:rsidRPr="00834920">
        <w:t>m) of funded cultural expenditure.</w:t>
      </w:r>
    </w:p>
    <w:p w:rsidR="00CD73FD" w:rsidRPr="00834920" w:rsidRDefault="00CD73FD" w:rsidP="00CD73FD">
      <w:pPr>
        <w:pStyle w:val="ListParagraph"/>
        <w:numPr>
          <w:ilvl w:val="0"/>
          <w:numId w:val="6"/>
        </w:numPr>
        <w:ind w:left="567" w:hanging="567"/>
      </w:pPr>
      <w:r w:rsidRPr="00834920">
        <w:t>Capital expenditure was $</w:t>
      </w:r>
      <w:r w:rsidR="00274DBD" w:rsidRPr="00834920">
        <w:t>7.7</w:t>
      </w:r>
      <w:r w:rsidRPr="00834920">
        <w:t>m, and the largest two categories were</w:t>
      </w:r>
      <w:r w:rsidRPr="00834920">
        <w:rPr>
          <w:i/>
        </w:rPr>
        <w:t xml:space="preserve"> Libraries</w:t>
      </w:r>
      <w:r w:rsidRPr="00834920">
        <w:t xml:space="preserve"> ($</w:t>
      </w:r>
      <w:r w:rsidR="00274DBD" w:rsidRPr="00834920">
        <w:t>2.2</w:t>
      </w:r>
      <w:r w:rsidRPr="00834920">
        <w:t xml:space="preserve">m) and </w:t>
      </w:r>
      <w:r w:rsidR="00274DBD" w:rsidRPr="00834920">
        <w:rPr>
          <w:i/>
        </w:rPr>
        <w:t xml:space="preserve">Other </w:t>
      </w:r>
      <w:r w:rsidR="00834920" w:rsidRPr="00834920">
        <w:rPr>
          <w:i/>
        </w:rPr>
        <w:t>a</w:t>
      </w:r>
      <w:r w:rsidR="00274DBD" w:rsidRPr="00834920">
        <w:rPr>
          <w:i/>
        </w:rPr>
        <w:t xml:space="preserve">rts </w:t>
      </w:r>
      <w:r w:rsidRPr="00834920">
        <w:t>($</w:t>
      </w:r>
      <w:r w:rsidR="00274DBD" w:rsidRPr="00834920">
        <w:t>1.9</w:t>
      </w:r>
      <w:r w:rsidRPr="00834920">
        <w:t>m).</w:t>
      </w:r>
    </w:p>
    <w:p w:rsidR="00CD73FD" w:rsidRPr="00834920" w:rsidRDefault="00CD73FD" w:rsidP="00274DBD">
      <w:pPr>
        <w:pStyle w:val="ListParagraph"/>
        <w:numPr>
          <w:ilvl w:val="0"/>
          <w:numId w:val="6"/>
        </w:numPr>
        <w:ind w:left="567" w:hanging="567"/>
      </w:pPr>
      <w:r w:rsidRPr="00834920">
        <w:t xml:space="preserve">The estimate of per person funding </w:t>
      </w:r>
      <w:bookmarkStart w:id="0" w:name="_Hlk103861672"/>
      <w:r w:rsidRPr="00834920">
        <w:t>was $1</w:t>
      </w:r>
      <w:r w:rsidR="00274DBD" w:rsidRPr="00834920">
        <w:t>81.04</w:t>
      </w:r>
      <w:r w:rsidRPr="00834920">
        <w:t>.</w:t>
      </w:r>
      <w:bookmarkEnd w:id="0"/>
    </w:p>
    <w:p w:rsidR="00CD73FD" w:rsidRPr="00834920" w:rsidRDefault="00CD73FD" w:rsidP="00CD73FD">
      <w:r w:rsidRPr="00834920">
        <w:t xml:space="preserve">Funds </w:t>
      </w:r>
      <w:r w:rsidR="00042BC6" w:rsidRPr="00834920">
        <w:t>for Total</w:t>
      </w:r>
      <w:r w:rsidRPr="00834920">
        <w:t xml:space="preserve"> </w:t>
      </w:r>
      <w:r w:rsidRPr="00834920">
        <w:rPr>
          <w:i/>
        </w:rPr>
        <w:t>Heritage</w:t>
      </w:r>
      <w:r w:rsidRPr="00834920">
        <w:t xml:space="preserve"> activities</w:t>
      </w:r>
      <w:r w:rsidR="00042BC6" w:rsidRPr="00834920">
        <w:t xml:space="preserve"> (recurrent and capital)</w:t>
      </w:r>
      <w:r w:rsidRPr="00834920">
        <w:t xml:space="preserve"> </w:t>
      </w:r>
      <w:r w:rsidR="00274DBD" w:rsidRPr="00834920">
        <w:t xml:space="preserve">rose by 21% </w:t>
      </w:r>
      <w:r w:rsidR="0059445E" w:rsidRPr="00834920">
        <w:t>(</w:t>
      </w:r>
      <w:r w:rsidR="00274DBD" w:rsidRPr="00834920">
        <w:t>or $7.3m</w:t>
      </w:r>
      <w:r w:rsidR="0059445E" w:rsidRPr="00834920">
        <w:t xml:space="preserve">) </w:t>
      </w:r>
      <w:r w:rsidR="00274DBD" w:rsidRPr="00834920">
        <w:t>to</w:t>
      </w:r>
      <w:r w:rsidRPr="00834920">
        <w:t xml:space="preserve"> $</w:t>
      </w:r>
      <w:r w:rsidR="00274DBD" w:rsidRPr="00834920">
        <w:t>42.6</w:t>
      </w:r>
      <w:r w:rsidRPr="00834920">
        <w:t>m</w:t>
      </w:r>
      <w:r w:rsidR="0059445E" w:rsidRPr="00834920">
        <w:t>.</w:t>
      </w:r>
      <w:r w:rsidRPr="00834920">
        <w:t xml:space="preserve"> </w:t>
      </w:r>
    </w:p>
    <w:p w:rsidR="00CD73FD" w:rsidRPr="00834920" w:rsidRDefault="00CD73FD" w:rsidP="00CD73FD">
      <w:r w:rsidRPr="00834920">
        <w:t xml:space="preserve">The largest categories of </w:t>
      </w:r>
      <w:r w:rsidRPr="00834920">
        <w:rPr>
          <w:i/>
        </w:rPr>
        <w:t>Heritage</w:t>
      </w:r>
      <w:r w:rsidRPr="00834920">
        <w:t xml:space="preserve"> expenditure were </w:t>
      </w:r>
      <w:r w:rsidR="00421AF3" w:rsidRPr="00834920">
        <w:rPr>
          <w:i/>
        </w:rPr>
        <w:t>Other museums and cultural heritage</w:t>
      </w:r>
      <w:r w:rsidR="00421AF3" w:rsidRPr="00834920">
        <w:t xml:space="preserve"> </w:t>
      </w:r>
      <w:r w:rsidR="00274DBD" w:rsidRPr="00834920">
        <w:rPr>
          <w:iCs/>
        </w:rPr>
        <w:t>with $</w:t>
      </w:r>
      <w:r w:rsidR="00421AF3" w:rsidRPr="00834920">
        <w:rPr>
          <w:iCs/>
        </w:rPr>
        <w:t>20.4</w:t>
      </w:r>
      <w:r w:rsidR="00274DBD" w:rsidRPr="00834920">
        <w:rPr>
          <w:iCs/>
        </w:rPr>
        <w:t xml:space="preserve">m, </w:t>
      </w:r>
      <w:r w:rsidR="00274DBD" w:rsidRPr="00834920">
        <w:rPr>
          <w:i/>
          <w:iCs/>
        </w:rPr>
        <w:t>Libraries</w:t>
      </w:r>
      <w:r w:rsidR="00274DBD" w:rsidRPr="00834920">
        <w:rPr>
          <w:rStyle w:val="FootnoteReference"/>
        </w:rPr>
        <w:footnoteReference w:id="4"/>
      </w:r>
      <w:r w:rsidR="00274DBD" w:rsidRPr="00834920">
        <w:t xml:space="preserve"> </w:t>
      </w:r>
      <w:r w:rsidRPr="00834920">
        <w:t>with $</w:t>
      </w:r>
      <w:r w:rsidR="00274DBD" w:rsidRPr="00834920">
        <w:t>17.0m</w:t>
      </w:r>
      <w:r w:rsidRPr="00834920">
        <w:t xml:space="preserve">, followed by </w:t>
      </w:r>
      <w:r w:rsidR="00421AF3" w:rsidRPr="00834920">
        <w:rPr>
          <w:i/>
        </w:rPr>
        <w:t xml:space="preserve">Art </w:t>
      </w:r>
      <w:r w:rsidR="00834920" w:rsidRPr="00834920">
        <w:rPr>
          <w:i/>
        </w:rPr>
        <w:t>m</w:t>
      </w:r>
      <w:r w:rsidR="00421AF3" w:rsidRPr="00834920">
        <w:rPr>
          <w:i/>
        </w:rPr>
        <w:t xml:space="preserve">useums </w:t>
      </w:r>
      <w:r w:rsidRPr="00834920">
        <w:t>with $</w:t>
      </w:r>
      <w:r w:rsidR="00421AF3" w:rsidRPr="00834920">
        <w:t>4.9</w:t>
      </w:r>
      <w:r w:rsidRPr="00834920">
        <w:t xml:space="preserve">m. </w:t>
      </w:r>
    </w:p>
    <w:p w:rsidR="00835593" w:rsidRPr="000978E5" w:rsidRDefault="00835593" w:rsidP="00835593">
      <w:pPr>
        <w:pStyle w:val="Tablefigureheading"/>
        <w:rPr>
          <w:b w:val="0"/>
          <w:bCs/>
          <w:color w:val="00B0F0"/>
        </w:rPr>
      </w:pPr>
      <w:bookmarkStart w:id="1" w:name="_Toc524533023"/>
      <w:r w:rsidRPr="00303AC1">
        <w:t xml:space="preserve">Figure 1. </w:t>
      </w:r>
      <w:r>
        <w:t>ACT</w:t>
      </w:r>
      <w:r w:rsidRPr="00303AC1">
        <w:t xml:space="preserve"> Government heritage expenditure</w:t>
      </w:r>
      <w:bookmarkEnd w:id="1"/>
      <w:r w:rsidR="00834920">
        <w:t xml:space="preserve"> (recurrent and capital)</w:t>
      </w:r>
    </w:p>
    <w:p w:rsidR="00421AF3" w:rsidRPr="00421AF3" w:rsidRDefault="00421AF3" w:rsidP="00421AF3">
      <w:pPr>
        <w:rPr>
          <w:lang w:eastAsia="en-US"/>
        </w:rPr>
      </w:pPr>
      <w:r>
        <w:rPr>
          <w:noProof/>
        </w:rPr>
        <w:drawing>
          <wp:inline distT="0" distB="0" distL="0" distR="0" wp14:anchorId="0790394F" wp14:editId="68EC7A2C">
            <wp:extent cx="5305425" cy="2571750"/>
            <wp:effectExtent l="0" t="0" r="0" b="0"/>
            <wp:docPr id="3" name="Chart 3" descr="Figure 1. Australian Capital Territory Government heritage expenditure (recurrent and capital).&#10;A column graph compares expenditure across the heritage categories of Art museums, Other museums and cultural heritage, Libraries and Archives between the financial years of 2019-20, 2020-21, and 2021-22 for the Australian Capital Territory Government.&#10;2019-20: Art museums $6.7m, Other museums &amp; cultural heritage $7.3m, Libraries $20.8m, Archives $0.3m.&#10;2020-21: Art museums $5.5m, Other museums &amp; cultural heritage $8.1m, Libraries $21.4m, Archives $0.3m.&#10;2021-22: Art museums $4.9m, Other museums &amp; cultural heritage $20.4m, Libraries $17.0m, Archives $0.3m.&#10;">
              <a:extLst xmlns:a="http://schemas.openxmlformats.org/drawingml/2006/main">
                <a:ext uri="{FF2B5EF4-FFF2-40B4-BE49-F238E27FC236}">
                  <a16:creationId xmlns:a16="http://schemas.microsoft.com/office/drawing/2014/main" id="{2FABB090-2C61-43F0-904A-B1756B3FC5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74DBD" w:rsidRDefault="00CD73FD" w:rsidP="00CD73FD">
      <w:r w:rsidRPr="002454AC">
        <w:t>Funds for</w:t>
      </w:r>
      <w:r w:rsidR="00042BC6">
        <w:t xml:space="preserve"> Total</w:t>
      </w:r>
      <w:r w:rsidRPr="002454AC">
        <w:t xml:space="preserve"> </w:t>
      </w:r>
      <w:r w:rsidRPr="002454AC">
        <w:rPr>
          <w:i/>
        </w:rPr>
        <w:t>Arts</w:t>
      </w:r>
      <w:r w:rsidRPr="002454AC">
        <w:t xml:space="preserve"> activities</w:t>
      </w:r>
      <w:r w:rsidR="00042BC6">
        <w:t xml:space="preserve"> (recurrent and capital)</w:t>
      </w:r>
      <w:r w:rsidRPr="002454AC">
        <w:t xml:space="preserve"> </w:t>
      </w:r>
      <w:r w:rsidR="00274DBD" w:rsidRPr="00834920">
        <w:t>increased by</w:t>
      </w:r>
      <w:r w:rsidRPr="00834920">
        <w:t xml:space="preserve"> </w:t>
      </w:r>
      <w:r w:rsidR="00834920" w:rsidRPr="00834920">
        <w:t>4%</w:t>
      </w:r>
      <w:r w:rsidRPr="00834920">
        <w:t xml:space="preserve"> (or $1</w:t>
      </w:r>
      <w:r w:rsidR="00274DBD" w:rsidRPr="00834920">
        <w:t>.7</w:t>
      </w:r>
      <w:r w:rsidRPr="00834920">
        <w:t>m) to $</w:t>
      </w:r>
      <w:r w:rsidR="00274DBD" w:rsidRPr="00834920">
        <w:t>39.5m.</w:t>
      </w:r>
    </w:p>
    <w:p w:rsidR="00274DBD" w:rsidRPr="00834920" w:rsidRDefault="00274DBD" w:rsidP="00CD73FD">
      <w:r w:rsidRPr="00834920">
        <w:t xml:space="preserve">Funding increases were reported for </w:t>
      </w:r>
      <w:r w:rsidRPr="00834920">
        <w:rPr>
          <w:i/>
          <w:iCs/>
        </w:rPr>
        <w:t xml:space="preserve">Other arts </w:t>
      </w:r>
      <w:r w:rsidRPr="00834920">
        <w:t xml:space="preserve">(↑$1.4m) and </w:t>
      </w:r>
      <w:r w:rsidRPr="00834920">
        <w:rPr>
          <w:i/>
          <w:iCs/>
        </w:rPr>
        <w:t xml:space="preserve">Film and video production and distribution </w:t>
      </w:r>
      <w:r w:rsidRPr="00834920">
        <w:t>(↑$1.3m).</w:t>
      </w:r>
    </w:p>
    <w:p w:rsidR="00CD73FD" w:rsidRDefault="00CD73FD" w:rsidP="00CD73FD">
      <w:pPr>
        <w:pStyle w:val="Tablefigureheading"/>
      </w:pPr>
      <w:bookmarkStart w:id="2" w:name="_Toc524533024"/>
      <w:r w:rsidRPr="00303AC1">
        <w:t xml:space="preserve">Figure 2. </w:t>
      </w:r>
      <w:r>
        <w:t>ACT</w:t>
      </w:r>
      <w:r w:rsidRPr="00303AC1">
        <w:t xml:space="preserve"> Government arts expenditure</w:t>
      </w:r>
      <w:r w:rsidR="00834920">
        <w:t xml:space="preserve"> (recurrent and capital)</w:t>
      </w:r>
      <w:r w:rsidRPr="00303AC1">
        <w:t>, by selected categories</w:t>
      </w:r>
      <w:bookmarkEnd w:id="2"/>
    </w:p>
    <w:p w:rsidR="0011174A" w:rsidRPr="0011174A" w:rsidRDefault="0011174A" w:rsidP="0011174A">
      <w:pPr>
        <w:rPr>
          <w:lang w:eastAsia="en-US"/>
        </w:rPr>
      </w:pPr>
      <w:r>
        <w:rPr>
          <w:noProof/>
        </w:rPr>
        <w:drawing>
          <wp:inline distT="0" distB="0" distL="0" distR="0" wp14:anchorId="652CD3C7" wp14:editId="177D55FA">
            <wp:extent cx="5028565" cy="2543175"/>
            <wp:effectExtent l="0" t="0" r="635" b="0"/>
            <wp:docPr id="1" name="Chart 1" descr="Figure 2. Australian Capital Territory Government arts expenditure (recurrent and capital), by selected categories.&#10;A column graph compares expenditure across the arts categories of Music, Performing arts venues, Visual arts &amp; crafts, Film &amp; video production &amp; distribution, Arts education, Community arts &amp; cultural development, and Other arts between the financial years of 2019-20, 2020-21, and 2021-22 for the Australian Capital Territory Government.&#10;2019-20: Music $1.8m, Performing arts venues $26.2m, Visual arts &amp; crafts $3.7m, Film &amp; video production &amp; distribution $1.4m, Arts education $3.3m, Community arts &amp; cultural development $4.2m, Other arts $0.4m.&#10;2020-21: Music $2.3m, Performing arts venues $17.0m, Visual arts &amp; crafts $3.0m, Film &amp; video production &amp; distribution $1.1m, Arts education $3.1m, Community arts &amp; cultural development $2.4m, Other arts $ 1.5m.&#10;2021-22: Music $1.8m, Performing arts venues $17.4m, Visual arts &amp; crafts $3.4m, Film &amp; video production &amp; distribution $2.4m, Arts education $2.8m, Community arts &amp; cultural development $2.1m, Other arts $2.9m.">
              <a:extLst xmlns:a="http://schemas.openxmlformats.org/drawingml/2006/main">
                <a:ext uri="{FF2B5EF4-FFF2-40B4-BE49-F238E27FC236}">
                  <a16:creationId xmlns:a16="http://schemas.microsoft.com/office/drawing/2014/main" id="{9064540B-1883-4968-99FE-DC187FC123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D73FD" w:rsidRPr="00834920" w:rsidRDefault="00CD73FD" w:rsidP="00CD73FD">
      <w:r w:rsidRPr="00834920">
        <w:rPr>
          <w:i/>
        </w:rPr>
        <w:t>Performing arts venues</w:t>
      </w:r>
      <w:r w:rsidRPr="00834920">
        <w:t xml:space="preserve"> ($17.</w:t>
      </w:r>
      <w:r w:rsidR="00274DBD" w:rsidRPr="00834920">
        <w:t>4</w:t>
      </w:r>
      <w:r w:rsidRPr="00834920">
        <w:t>m)</w:t>
      </w:r>
      <w:r w:rsidR="00042BC6" w:rsidRPr="00834920">
        <w:t xml:space="preserve"> </w:t>
      </w:r>
      <w:r w:rsidRPr="00834920">
        <w:t>accounted for nearly half (4</w:t>
      </w:r>
      <w:r w:rsidR="00274DBD" w:rsidRPr="00834920">
        <w:t>4</w:t>
      </w:r>
      <w:r w:rsidRPr="00834920">
        <w:t xml:space="preserve">%) of total expenditure on </w:t>
      </w:r>
      <w:r w:rsidRPr="00834920">
        <w:rPr>
          <w:i/>
        </w:rPr>
        <w:t>Arts</w:t>
      </w:r>
      <w:r w:rsidRPr="00834920">
        <w:t xml:space="preserve"> activities. </w:t>
      </w:r>
    </w:p>
    <w:p w:rsidR="00CD73FD" w:rsidRPr="00834920" w:rsidRDefault="00CD73FD" w:rsidP="00CD73FD">
      <w:pPr>
        <w:spacing w:after="0"/>
      </w:pPr>
      <w:r w:rsidRPr="00834920">
        <w:t xml:space="preserve">Other main categories of </w:t>
      </w:r>
      <w:r w:rsidRPr="00834920">
        <w:rPr>
          <w:i/>
        </w:rPr>
        <w:t>Arts</w:t>
      </w:r>
      <w:r w:rsidRPr="00834920">
        <w:t xml:space="preserve"> activities funding were:</w:t>
      </w:r>
    </w:p>
    <w:p w:rsidR="00CD73FD" w:rsidRPr="00834920" w:rsidRDefault="00CD73FD" w:rsidP="00CD73FD">
      <w:pPr>
        <w:pStyle w:val="ListParagraph"/>
        <w:numPr>
          <w:ilvl w:val="0"/>
          <w:numId w:val="4"/>
        </w:numPr>
        <w:ind w:left="567" w:hanging="567"/>
      </w:pPr>
      <w:r w:rsidRPr="00834920">
        <w:rPr>
          <w:i/>
        </w:rPr>
        <w:t>Visual arts and crafts</w:t>
      </w:r>
      <w:r w:rsidRPr="00834920">
        <w:t>—$</w:t>
      </w:r>
      <w:r w:rsidR="00274DBD" w:rsidRPr="00834920">
        <w:t>3.4</w:t>
      </w:r>
      <w:r w:rsidRPr="00834920">
        <w:t>m</w:t>
      </w:r>
    </w:p>
    <w:p w:rsidR="00274DBD" w:rsidRPr="00834920" w:rsidRDefault="00274DBD" w:rsidP="00274DBD">
      <w:pPr>
        <w:pStyle w:val="ListParagraph"/>
        <w:numPr>
          <w:ilvl w:val="0"/>
          <w:numId w:val="4"/>
        </w:numPr>
        <w:ind w:left="567" w:hanging="567"/>
      </w:pPr>
      <w:r w:rsidRPr="00834920">
        <w:rPr>
          <w:i/>
        </w:rPr>
        <w:t>Arts education</w:t>
      </w:r>
      <w:r w:rsidRPr="00834920">
        <w:t>—$</w:t>
      </w:r>
      <w:r w:rsidR="0082072A" w:rsidRPr="00834920">
        <w:t>2.8</w:t>
      </w:r>
      <w:r w:rsidRPr="00834920">
        <w:t>m</w:t>
      </w:r>
    </w:p>
    <w:p w:rsidR="0082072A" w:rsidRPr="00834920" w:rsidRDefault="0082072A" w:rsidP="00274DBD">
      <w:pPr>
        <w:pStyle w:val="ListParagraph"/>
        <w:numPr>
          <w:ilvl w:val="0"/>
          <w:numId w:val="4"/>
        </w:numPr>
        <w:ind w:left="567" w:hanging="567"/>
      </w:pPr>
      <w:r w:rsidRPr="00834920">
        <w:rPr>
          <w:i/>
        </w:rPr>
        <w:t>Film and video production and distribution</w:t>
      </w:r>
      <w:r w:rsidRPr="00834920">
        <w:t>—$2.4m</w:t>
      </w:r>
    </w:p>
    <w:p w:rsidR="00CD73FD" w:rsidRPr="00834920" w:rsidRDefault="00CD73FD" w:rsidP="00CD73FD">
      <w:pPr>
        <w:pStyle w:val="ListParagraph"/>
        <w:numPr>
          <w:ilvl w:val="0"/>
          <w:numId w:val="4"/>
        </w:numPr>
        <w:ind w:left="567" w:hanging="567"/>
      </w:pPr>
      <w:r w:rsidRPr="00834920">
        <w:rPr>
          <w:i/>
        </w:rPr>
        <w:t>Community arts and cultural development</w:t>
      </w:r>
      <w:r w:rsidRPr="00834920">
        <w:t>—$2.</w:t>
      </w:r>
      <w:r w:rsidR="00274DBD" w:rsidRPr="00834920">
        <w:t>1</w:t>
      </w:r>
      <w:r w:rsidRPr="00834920">
        <w:t>m</w:t>
      </w:r>
    </w:p>
    <w:p w:rsidR="00CD73FD" w:rsidRPr="00834920" w:rsidRDefault="00CD73FD" w:rsidP="00CD73FD">
      <w:r w:rsidRPr="00834920">
        <w:t xml:space="preserve">Total recurrent expenditure </w:t>
      </w:r>
      <w:r w:rsidR="00274DBD" w:rsidRPr="00834920">
        <w:t xml:space="preserve">increased by </w:t>
      </w:r>
      <w:r w:rsidRPr="00834920">
        <w:t>1</w:t>
      </w:r>
      <w:r w:rsidR="00AE124F" w:rsidRPr="00834920">
        <w:t>3%</w:t>
      </w:r>
      <w:r w:rsidRPr="00834920">
        <w:t xml:space="preserve"> (or $</w:t>
      </w:r>
      <w:r w:rsidR="00274DBD" w:rsidRPr="00834920">
        <w:t>8.8</w:t>
      </w:r>
      <w:r w:rsidRPr="00834920">
        <w:t>m) to $</w:t>
      </w:r>
      <w:r w:rsidR="00274DBD" w:rsidRPr="00834920">
        <w:t>74.3</w:t>
      </w:r>
      <w:r w:rsidRPr="00834920">
        <w:t>m</w:t>
      </w:r>
      <w:r w:rsidR="00A2250B" w:rsidRPr="00834920">
        <w:t>.</w:t>
      </w:r>
    </w:p>
    <w:p w:rsidR="00CD73FD" w:rsidRPr="00834920" w:rsidRDefault="00CD73FD" w:rsidP="00CD73FD">
      <w:pPr>
        <w:tabs>
          <w:tab w:val="left" w:pos="6255"/>
        </w:tabs>
      </w:pPr>
      <w:r w:rsidRPr="00834920">
        <w:t xml:space="preserve">The largest recurrent expenditure was </w:t>
      </w:r>
      <w:r w:rsidR="00421AF3" w:rsidRPr="00834920">
        <w:rPr>
          <w:i/>
        </w:rPr>
        <w:t>Other museums and cultural heritage</w:t>
      </w:r>
      <w:r w:rsidR="00274DBD" w:rsidRPr="00834920">
        <w:rPr>
          <w:i/>
        </w:rPr>
        <w:t xml:space="preserve">, </w:t>
      </w:r>
      <w:r w:rsidRPr="00834920">
        <w:t>$</w:t>
      </w:r>
      <w:r w:rsidR="00274DBD" w:rsidRPr="00834920">
        <w:t>19.</w:t>
      </w:r>
      <w:r w:rsidR="00421AF3" w:rsidRPr="00834920">
        <w:t>9</w:t>
      </w:r>
      <w:r w:rsidRPr="00834920">
        <w:t>m, followed by</w:t>
      </w:r>
      <w:r w:rsidR="00274DBD" w:rsidRPr="00834920">
        <w:t xml:space="preserve"> </w:t>
      </w:r>
      <w:r w:rsidR="00274DBD" w:rsidRPr="00834920">
        <w:rPr>
          <w:i/>
        </w:rPr>
        <w:t>Performing arts venues</w:t>
      </w:r>
      <w:r w:rsidR="00274DBD" w:rsidRPr="00834920">
        <w:t xml:space="preserve"> ($</w:t>
      </w:r>
      <w:r w:rsidR="0082072A" w:rsidRPr="00834920">
        <w:t>16.0</w:t>
      </w:r>
      <w:r w:rsidR="00274DBD" w:rsidRPr="00834920">
        <w:t>m) and</w:t>
      </w:r>
      <w:r w:rsidRPr="00834920">
        <w:t xml:space="preserve"> </w:t>
      </w:r>
      <w:r w:rsidR="00274DBD" w:rsidRPr="00834920">
        <w:rPr>
          <w:i/>
        </w:rPr>
        <w:t>Libraries</w:t>
      </w:r>
      <w:r w:rsidR="00274DBD" w:rsidRPr="00834920">
        <w:t xml:space="preserve"> ($1</w:t>
      </w:r>
      <w:r w:rsidR="0082072A" w:rsidRPr="00834920">
        <w:t>4</w:t>
      </w:r>
      <w:r w:rsidR="00274DBD" w:rsidRPr="00834920">
        <w:t>.8m)</w:t>
      </w:r>
      <w:r w:rsidR="0082072A" w:rsidRPr="00834920">
        <w:t>.</w:t>
      </w:r>
      <w:r w:rsidR="00E34525" w:rsidRPr="00834920">
        <w:t xml:space="preserve"> </w:t>
      </w:r>
    </w:p>
    <w:p w:rsidR="00CD73FD" w:rsidRPr="00AC705F" w:rsidRDefault="00CD73FD" w:rsidP="00CD73FD">
      <w:pPr>
        <w:pStyle w:val="Tablefigureheading"/>
        <w:rPr>
          <w:b w:val="0"/>
          <w:bCs/>
          <w:color w:val="00B0F0"/>
        </w:rPr>
      </w:pPr>
      <w:r w:rsidRPr="00303AC1">
        <w:t xml:space="preserve">Figure 3. </w:t>
      </w:r>
      <w:r>
        <w:t>ACT</w:t>
      </w:r>
      <w:r w:rsidRPr="00303AC1">
        <w:t xml:space="preserve"> Government recurrent cultural expenditure, by selected categories</w:t>
      </w:r>
    </w:p>
    <w:p w:rsidR="00E34525" w:rsidRDefault="00421AF3" w:rsidP="00CD73FD">
      <w:pPr>
        <w:rPr>
          <w:lang w:eastAsia="en-US"/>
        </w:rPr>
      </w:pPr>
      <w:r>
        <w:rPr>
          <w:noProof/>
        </w:rPr>
        <w:drawing>
          <wp:inline distT="0" distB="0" distL="0" distR="0" wp14:anchorId="05FADAF8" wp14:editId="2E71EF2A">
            <wp:extent cx="5334000" cy="3219450"/>
            <wp:effectExtent l="0" t="0" r="0" b="0"/>
            <wp:docPr id="8" name="Chart 8" descr="Figure 3. Australian Capital Territory Government recurrent cultural expenditure, by selected categories.&#10;A column graph compares expenditure across the heritage categories of Art museums, Other museums &amp; cultural heritage, Libraries, Music, Performing arts venues, Visual arts &amp; crafts, Arts education, Community arts &amp; cultural development and Arts administration between the financial years of 2019-20, 2020-21, and 2021-22 for the Australian Capital Territory Government.&#10;2019-20: Art museums $6.0m, Other museums &amp; cultural heritage $6.8m, Libraries $17.6m, Music $1.8m, Performing arts venues $14.5m, Visual arts &amp; crafts $3.6m, Arts education $3.3m, Community arts &amp; cultural development $3.9m, Arts administration $4.0m.&#10;2020-21: Art museums $5.2m, Other museums &amp; cultural heritage $6.5m, Libraries $17.5m, Music $2.3m, Performing arts venues $14.6m, Visual arts &amp; crafts $3.0m, Arts education $3.1m, Community arts &amp; cultural development $2.4m, Arts administration $2.5m.&#10;2021-22: Art museums $4.6m, Other museums &amp; cultural heritage $19.9m, Libraries $14.8m, Music $1.8m, Performing arts venues $16.0m, Visual arts &amp; crafts $3.3m, Arts education $2.8m, Community arts &amp; cultural development $2.1m, Arts administration $1.8m.&#10;">
              <a:extLst xmlns:a="http://schemas.openxmlformats.org/drawingml/2006/main">
                <a:ext uri="{FF2B5EF4-FFF2-40B4-BE49-F238E27FC236}">
                  <a16:creationId xmlns:a16="http://schemas.microsoft.com/office/drawing/2014/main" id="{893B8E6D-EEA2-4DA6-85C0-977A029065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E34525" w:rsidSect="00842CA0">
      <w:type w:val="continuous"/>
      <w:pgSz w:w="11906" w:h="16838"/>
      <w:pgMar w:top="1418" w:right="1133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12A" w:rsidRDefault="0057512A" w:rsidP="002117E6">
      <w:pPr>
        <w:spacing w:after="0"/>
      </w:pPr>
      <w:r>
        <w:separator/>
      </w:r>
    </w:p>
  </w:endnote>
  <w:endnote w:type="continuationSeparator" w:id="0">
    <w:p w:rsidR="0057512A" w:rsidRDefault="0057512A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98" w:rsidRPr="002454AC" w:rsidRDefault="00FC0C98" w:rsidP="00842CA0">
    <w:pPr>
      <w:pStyle w:val="Footer"/>
      <w:tabs>
        <w:tab w:val="clear" w:pos="9026"/>
        <w:tab w:val="right" w:pos="9333"/>
      </w:tabs>
      <w:rPr>
        <w:rStyle w:val="Hyperlink"/>
        <w:b w:val="0"/>
        <w:color w:val="auto"/>
        <w:sz w:val="18"/>
        <w:szCs w:val="18"/>
        <w:u w:val="none"/>
      </w:rPr>
    </w:pPr>
    <w:r w:rsidRPr="00CC4247">
      <w:rPr>
        <w:sz w:val="18"/>
        <w:szCs w:val="18"/>
      </w:rPr>
      <w:t>Cultural</w:t>
    </w:r>
    <w:r>
      <w:rPr>
        <w:sz w:val="18"/>
        <w:szCs w:val="18"/>
      </w:rPr>
      <w:t xml:space="preserve"> Funding by Government—20</w:t>
    </w:r>
    <w:r w:rsidR="006970A6">
      <w:rPr>
        <w:sz w:val="18"/>
        <w:szCs w:val="18"/>
      </w:rPr>
      <w:t>2</w:t>
    </w:r>
    <w:r w:rsidR="00364941">
      <w:rPr>
        <w:sz w:val="18"/>
        <w:szCs w:val="18"/>
      </w:rPr>
      <w:t>1</w:t>
    </w:r>
    <w:r>
      <w:t>–</w:t>
    </w:r>
    <w:r>
      <w:rPr>
        <w:sz w:val="18"/>
        <w:szCs w:val="18"/>
      </w:rPr>
      <w:t>2</w:t>
    </w:r>
    <w:r w:rsidR="00364941">
      <w:rPr>
        <w:sz w:val="18"/>
        <w:szCs w:val="18"/>
      </w:rPr>
      <w:t>2</w:t>
    </w:r>
    <w:r w:rsidRPr="00CC4247">
      <w:rPr>
        <w:sz w:val="18"/>
        <w:szCs w:val="18"/>
      </w:rPr>
      <w:t>—Australian Capital Territory Government</w:t>
    </w:r>
    <w:r w:rsidRPr="0037566A">
      <w:rPr>
        <w:sz w:val="18"/>
        <w:szCs w:val="18"/>
      </w:rPr>
      <w:tab/>
    </w:r>
    <w:sdt>
      <w:sdtPr>
        <w:rPr>
          <w:sz w:val="18"/>
          <w:szCs w:val="18"/>
        </w:rPr>
        <w:id w:val="-924028759"/>
        <w:docPartObj>
          <w:docPartGallery w:val="Page Numbers (Top of Page)"/>
          <w:docPartUnique/>
        </w:docPartObj>
      </w:sdtPr>
      <w:sdtEndPr/>
      <w:sdtContent>
        <w:r w:rsidRPr="0037566A">
          <w:rPr>
            <w:sz w:val="18"/>
            <w:szCs w:val="18"/>
          </w:rPr>
          <w:t xml:space="preserve">Page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PAGE </w:instrText>
        </w:r>
        <w:r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  <w:r w:rsidRPr="0037566A">
          <w:rPr>
            <w:sz w:val="18"/>
            <w:szCs w:val="18"/>
          </w:rPr>
          <w:t xml:space="preserve"> of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NUMPAGES  </w:instrText>
        </w:r>
        <w:r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</w:sdtContent>
    </w:sdt>
  </w:p>
  <w:p w:rsidR="00FC0C98" w:rsidRDefault="00FC0C98" w:rsidP="00842CA0">
    <w:pPr>
      <w:spacing w:after="0"/>
      <w:ind w:left="-1418"/>
    </w:pPr>
    <w:r>
      <w:rPr>
        <w:noProof/>
        <w:lang w:eastAsia="en-AU"/>
      </w:rPr>
      <w:drawing>
        <wp:inline distT="0" distB="0" distL="0" distR="0" wp14:anchorId="22C413FE" wp14:editId="573FC905">
          <wp:extent cx="7560000" cy="358181"/>
          <wp:effectExtent l="0" t="0" r="3175" b="3810"/>
          <wp:docPr id="7" name="Picture 7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218" w:rsidRPr="00CD5C1E" w:rsidRDefault="00CD5C1E" w:rsidP="00CD5C1E">
    <w:pPr>
      <w:pStyle w:val="Footer"/>
      <w:rPr>
        <w:i/>
        <w:iCs/>
        <w:sz w:val="18"/>
        <w:szCs w:val="18"/>
      </w:rPr>
    </w:pPr>
    <w:r w:rsidRPr="00CD5C1E">
      <w:rPr>
        <w:i/>
        <w:iCs/>
        <w:sz w:val="18"/>
        <w:szCs w:val="18"/>
      </w:rPr>
      <w:t xml:space="preserve">Source: Cultural Funding by Government </w:t>
    </w:r>
    <w:r>
      <w:rPr>
        <w:i/>
        <w:iCs/>
        <w:noProof/>
        <w:sz w:val="18"/>
        <w:szCs w:val="18"/>
        <w:lang w:eastAsia="en-AU"/>
      </w:rPr>
      <w:t>202</w:t>
    </w:r>
    <w:r w:rsidR="00364941">
      <w:rPr>
        <w:i/>
        <w:iCs/>
        <w:noProof/>
        <w:sz w:val="18"/>
        <w:szCs w:val="18"/>
        <w:lang w:eastAsia="en-AU"/>
      </w:rPr>
      <w:t>1</w:t>
    </w:r>
    <w:r>
      <w:t>–</w:t>
    </w:r>
    <w:r>
      <w:rPr>
        <w:i/>
        <w:iCs/>
        <w:noProof/>
        <w:sz w:val="18"/>
        <w:szCs w:val="18"/>
        <w:lang w:eastAsia="en-AU"/>
      </w:rPr>
      <w:t>2</w:t>
    </w:r>
    <w:r w:rsidR="00364941">
      <w:rPr>
        <w:i/>
        <w:iCs/>
        <w:noProof/>
        <w:sz w:val="18"/>
        <w:szCs w:val="18"/>
        <w:lang w:eastAsia="en-AU"/>
      </w:rPr>
      <w:t>2</w:t>
    </w:r>
    <w:r>
      <w:rPr>
        <w:noProof/>
        <w:sz w:val="18"/>
        <w:szCs w:val="18"/>
        <w:lang w:eastAsia="en-AU"/>
      </w:rPr>
      <w:t xml:space="preserve"> </w:t>
    </w:r>
    <w:r w:rsidRPr="00CD5C1E">
      <w:rPr>
        <w:i/>
        <w:iCs/>
        <w:sz w:val="18"/>
        <w:szCs w:val="18"/>
      </w:rPr>
      <w:t>survey</w:t>
    </w:r>
  </w:p>
  <w:p w:rsidR="00FC0C98" w:rsidRPr="00477982" w:rsidRDefault="00DD4ACA" w:rsidP="00477982">
    <w:pPr>
      <w:pStyle w:val="Footer"/>
      <w:ind w:left="-1418"/>
      <w:rPr>
        <w:rStyle w:val="Hyperlink"/>
        <w:color w:val="auto"/>
        <w:u w:val="none"/>
      </w:rPr>
    </w:pPr>
    <w:r>
      <w:rPr>
        <w:noProof/>
        <w:lang w:eastAsia="en-AU"/>
      </w:rPr>
      <w:drawing>
        <wp:inline distT="0" distB="0" distL="0" distR="0" wp14:anchorId="05FC6D49" wp14:editId="5F8C6415">
          <wp:extent cx="9511794" cy="334010"/>
          <wp:effectExtent l="0" t="0" r="0" b="8890"/>
          <wp:docPr id="5" name="Picture 5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10076050" cy="353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12A" w:rsidRDefault="0057512A" w:rsidP="002117E6">
      <w:pPr>
        <w:spacing w:after="0"/>
      </w:pPr>
      <w:r>
        <w:separator/>
      </w:r>
    </w:p>
  </w:footnote>
  <w:footnote w:type="continuationSeparator" w:id="0">
    <w:p w:rsidR="0057512A" w:rsidRDefault="0057512A" w:rsidP="002117E6">
      <w:pPr>
        <w:spacing w:after="0"/>
      </w:pPr>
      <w:r>
        <w:continuationSeparator/>
      </w:r>
    </w:p>
  </w:footnote>
  <w:footnote w:id="1">
    <w:p w:rsidR="00364941" w:rsidRPr="00ED0ECD" w:rsidRDefault="00364941" w:rsidP="00364941">
      <w:pPr>
        <w:pStyle w:val="FootnoteText"/>
        <w:rPr>
          <w:sz w:val="17"/>
          <w:szCs w:val="17"/>
        </w:rPr>
      </w:pPr>
      <w:r w:rsidRPr="00ED0ECD">
        <w:rPr>
          <w:rStyle w:val="FootnoteReference"/>
          <w:sz w:val="17"/>
          <w:szCs w:val="17"/>
        </w:rPr>
        <w:footnoteRef/>
      </w:r>
      <w:r w:rsidRPr="00ED0ECD">
        <w:rPr>
          <w:sz w:val="17"/>
          <w:szCs w:val="17"/>
        </w:rPr>
        <w:t xml:space="preserve"> Includes $3.1m targeted cultural and creative sector COVID support funding, reported in Total figures only.</w:t>
      </w:r>
    </w:p>
  </w:footnote>
  <w:footnote w:id="2">
    <w:p w:rsidR="00CD638F" w:rsidRPr="00ED0ECD" w:rsidRDefault="00CD638F">
      <w:pPr>
        <w:pStyle w:val="FootnoteText"/>
        <w:rPr>
          <w:sz w:val="17"/>
          <w:szCs w:val="17"/>
        </w:rPr>
      </w:pPr>
      <w:r w:rsidRPr="00ED0ECD">
        <w:rPr>
          <w:rStyle w:val="FootnoteReference"/>
          <w:sz w:val="17"/>
          <w:szCs w:val="17"/>
        </w:rPr>
        <w:footnoteRef/>
      </w:r>
      <w:r w:rsidRPr="00ED0ECD">
        <w:rPr>
          <w:sz w:val="17"/>
          <w:szCs w:val="17"/>
        </w:rPr>
        <w:t xml:space="preserve"> Includes $</w:t>
      </w:r>
      <w:r w:rsidR="00364941" w:rsidRPr="00ED0ECD">
        <w:rPr>
          <w:sz w:val="17"/>
          <w:szCs w:val="17"/>
        </w:rPr>
        <w:t>7.5</w:t>
      </w:r>
      <w:r w:rsidRPr="00ED0ECD">
        <w:rPr>
          <w:sz w:val="17"/>
          <w:szCs w:val="17"/>
        </w:rPr>
        <w:t xml:space="preserve">m </w:t>
      </w:r>
      <w:r w:rsidR="00817F9A" w:rsidRPr="00ED0ECD">
        <w:rPr>
          <w:sz w:val="17"/>
          <w:szCs w:val="17"/>
        </w:rPr>
        <w:t>targeted</w:t>
      </w:r>
      <w:r w:rsidR="008B703E" w:rsidRPr="00ED0ECD">
        <w:rPr>
          <w:sz w:val="17"/>
          <w:szCs w:val="17"/>
        </w:rPr>
        <w:t xml:space="preserve"> cultural and creative sector COVID support funding,</w:t>
      </w:r>
      <w:r w:rsidR="00ED0209" w:rsidRPr="00ED0ECD">
        <w:rPr>
          <w:sz w:val="17"/>
          <w:szCs w:val="17"/>
        </w:rPr>
        <w:t xml:space="preserve"> report</w:t>
      </w:r>
      <w:r w:rsidR="008B703E" w:rsidRPr="00ED0ECD">
        <w:rPr>
          <w:sz w:val="17"/>
          <w:szCs w:val="17"/>
        </w:rPr>
        <w:t xml:space="preserve">ed </w:t>
      </w:r>
      <w:r w:rsidR="0082072A" w:rsidRPr="00ED0ECD">
        <w:rPr>
          <w:sz w:val="17"/>
          <w:szCs w:val="17"/>
        </w:rPr>
        <w:t>across categories and totals</w:t>
      </w:r>
      <w:r w:rsidR="008B703E" w:rsidRPr="00ED0ECD">
        <w:rPr>
          <w:sz w:val="17"/>
          <w:szCs w:val="17"/>
        </w:rPr>
        <w:t>.</w:t>
      </w:r>
    </w:p>
  </w:footnote>
  <w:footnote w:id="3">
    <w:p w:rsidR="00CD638F" w:rsidRPr="00ED0ECD" w:rsidRDefault="00CD638F">
      <w:pPr>
        <w:pStyle w:val="FootnoteText"/>
        <w:rPr>
          <w:sz w:val="17"/>
          <w:szCs w:val="17"/>
        </w:rPr>
      </w:pPr>
      <w:r w:rsidRPr="00ED0ECD">
        <w:rPr>
          <w:rStyle w:val="FootnoteReference"/>
          <w:sz w:val="17"/>
          <w:szCs w:val="17"/>
        </w:rPr>
        <w:footnoteRef/>
      </w:r>
      <w:r w:rsidRPr="00ED0ECD">
        <w:rPr>
          <w:sz w:val="17"/>
          <w:szCs w:val="17"/>
        </w:rPr>
        <w:t xml:space="preserve"> Includes $</w:t>
      </w:r>
      <w:r w:rsidR="00364941" w:rsidRPr="00ED0ECD">
        <w:rPr>
          <w:sz w:val="17"/>
          <w:szCs w:val="17"/>
        </w:rPr>
        <w:t>3.5</w:t>
      </w:r>
      <w:r w:rsidRPr="00ED0ECD">
        <w:rPr>
          <w:sz w:val="17"/>
          <w:szCs w:val="17"/>
        </w:rPr>
        <w:t xml:space="preserve">m </w:t>
      </w:r>
      <w:r w:rsidR="00B946E2" w:rsidRPr="00ED0ECD">
        <w:rPr>
          <w:sz w:val="17"/>
          <w:szCs w:val="17"/>
        </w:rPr>
        <w:t xml:space="preserve">targeted cultural and creative sector COVID support funding, reported </w:t>
      </w:r>
      <w:r w:rsidRPr="00ED0ECD">
        <w:rPr>
          <w:sz w:val="17"/>
          <w:szCs w:val="17"/>
        </w:rPr>
        <w:t>across categories</w:t>
      </w:r>
      <w:r w:rsidR="00D266CC" w:rsidRPr="00ED0ECD">
        <w:rPr>
          <w:sz w:val="17"/>
          <w:szCs w:val="17"/>
        </w:rPr>
        <w:t xml:space="preserve"> and totals.</w:t>
      </w:r>
    </w:p>
  </w:footnote>
  <w:footnote w:id="4">
    <w:p w:rsidR="00274DBD" w:rsidRDefault="00274DBD" w:rsidP="00274DBD">
      <w:pPr>
        <w:spacing w:after="0"/>
      </w:pPr>
      <w:r w:rsidRPr="00ED0ECD">
        <w:rPr>
          <w:rStyle w:val="FootnoteReference"/>
          <w:sz w:val="17"/>
          <w:szCs w:val="17"/>
        </w:rPr>
        <w:footnoteRef/>
      </w:r>
      <w:r w:rsidRPr="00ED0ECD">
        <w:rPr>
          <w:sz w:val="17"/>
          <w:szCs w:val="17"/>
        </w:rPr>
        <w:t xml:space="preserve"> Australian Capital Territory does not have a tier of local government with libraries funded by the ACT Government.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593" w:rsidRDefault="0083559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AD0FB5" wp14:editId="42307A0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2540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35593" w:rsidRPr="00835593" w:rsidRDefault="00835593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3559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D0FB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aEb8cFsCAACbBAAADgAAAAAAAAAAAAAAAAAuAgAAZHJzL2Uyb0RvYy54bWxQSwECLQAU&#10;AAYACAAAACEAhLDTKNYAAAADAQAADwAAAAAAAAAAAAAAAAC1BAAAZHJzL2Rvd25yZXYueG1sUEsF&#10;BgAAAAAEAAQA8wAAALgFAAAAAA==&#10;" filled="f" stroked="f">
              <v:textbox style="mso-fit-shape-to-text:t" inset="0,0,0,0">
                <w:txbxContent>
                  <w:p w:rsidR="00835593" w:rsidRPr="00835593" w:rsidRDefault="00835593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3559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98" w:rsidRDefault="00FC0C98" w:rsidP="00477982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33197DE3" wp14:editId="0EA07CEF">
          <wp:extent cx="7560000" cy="544479"/>
          <wp:effectExtent l="0" t="0" r="3175" b="8255"/>
          <wp:docPr id="6" name="Picture 6" descr="Purple Border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" t="19214" r="1857"/>
                  <a:stretch/>
                </pic:blipFill>
                <pic:spPr bwMode="auto">
                  <a:xfrm>
                    <a:off x="0" y="0"/>
                    <a:ext cx="7560000" cy="544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C0C98" w:rsidRDefault="00CD5C1E" w:rsidP="00A0554C">
    <w:pPr>
      <w:pStyle w:val="Header"/>
      <w:tabs>
        <w:tab w:val="clear" w:pos="9026"/>
        <w:tab w:val="right" w:pos="9333"/>
      </w:tabs>
    </w:pPr>
    <w:r>
      <w:t xml:space="preserve">Cultural and Creative </w:t>
    </w:r>
    <w:r w:rsidR="0070126E" w:rsidRPr="00CD5C1E">
      <w:t>Statistics Working Group</w:t>
    </w:r>
    <w:r w:rsidR="00FC0C98" w:rsidRPr="00A96536">
      <w:tab/>
    </w:r>
    <w:r w:rsidR="00FC0C98" w:rsidRPr="00A96536">
      <w:tab/>
    </w:r>
    <w:r w:rsidR="0013149B">
      <w:t>August</w:t>
    </w:r>
    <w:r w:rsidR="00FC0C98">
      <w:t xml:space="preserve"> 202</w:t>
    </w:r>
    <w:r w:rsidR="0036494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D9E"/>
    <w:multiLevelType w:val="hybridMultilevel"/>
    <w:tmpl w:val="790075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C6A73"/>
    <w:multiLevelType w:val="hybridMultilevel"/>
    <w:tmpl w:val="528A0C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15F"/>
    <w:multiLevelType w:val="hybridMultilevel"/>
    <w:tmpl w:val="04A444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7139D"/>
    <w:multiLevelType w:val="hybridMultilevel"/>
    <w:tmpl w:val="5B38CF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E1F26"/>
    <w:multiLevelType w:val="hybridMultilevel"/>
    <w:tmpl w:val="1A685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movePersonalInformation/>
  <w:removeDateAndTime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3E"/>
    <w:rsid w:val="00024E6D"/>
    <w:rsid w:val="00024EAC"/>
    <w:rsid w:val="00042BC6"/>
    <w:rsid w:val="00047FC0"/>
    <w:rsid w:val="00066DCE"/>
    <w:rsid w:val="000978E5"/>
    <w:rsid w:val="000B27A8"/>
    <w:rsid w:val="000C3E44"/>
    <w:rsid w:val="000E291B"/>
    <w:rsid w:val="0010228A"/>
    <w:rsid w:val="0010452B"/>
    <w:rsid w:val="0011174A"/>
    <w:rsid w:val="00111A64"/>
    <w:rsid w:val="00124616"/>
    <w:rsid w:val="0013149B"/>
    <w:rsid w:val="00133504"/>
    <w:rsid w:val="001471EA"/>
    <w:rsid w:val="001472FC"/>
    <w:rsid w:val="001658FE"/>
    <w:rsid w:val="001674E8"/>
    <w:rsid w:val="001715EF"/>
    <w:rsid w:val="001736CC"/>
    <w:rsid w:val="00185E9F"/>
    <w:rsid w:val="0019701B"/>
    <w:rsid w:val="001C7827"/>
    <w:rsid w:val="001D64AC"/>
    <w:rsid w:val="001D7905"/>
    <w:rsid w:val="001E0D00"/>
    <w:rsid w:val="002117E6"/>
    <w:rsid w:val="00220E32"/>
    <w:rsid w:val="0023201F"/>
    <w:rsid w:val="00233C13"/>
    <w:rsid w:val="00234C00"/>
    <w:rsid w:val="002352F9"/>
    <w:rsid w:val="0024033A"/>
    <w:rsid w:val="00242B78"/>
    <w:rsid w:val="002454AC"/>
    <w:rsid w:val="00265D2E"/>
    <w:rsid w:val="00274DBD"/>
    <w:rsid w:val="00285271"/>
    <w:rsid w:val="0028799C"/>
    <w:rsid w:val="00290FEC"/>
    <w:rsid w:val="00293DD6"/>
    <w:rsid w:val="002966CA"/>
    <w:rsid w:val="002A3B4B"/>
    <w:rsid w:val="002A4338"/>
    <w:rsid w:val="002C5369"/>
    <w:rsid w:val="002D2A6D"/>
    <w:rsid w:val="002E2477"/>
    <w:rsid w:val="002E46A4"/>
    <w:rsid w:val="002F0402"/>
    <w:rsid w:val="002F3895"/>
    <w:rsid w:val="00302513"/>
    <w:rsid w:val="00303786"/>
    <w:rsid w:val="00327F06"/>
    <w:rsid w:val="00335334"/>
    <w:rsid w:val="00336DDD"/>
    <w:rsid w:val="0034581A"/>
    <w:rsid w:val="00363704"/>
    <w:rsid w:val="00364941"/>
    <w:rsid w:val="00381364"/>
    <w:rsid w:val="00382743"/>
    <w:rsid w:val="00390EED"/>
    <w:rsid w:val="0039367A"/>
    <w:rsid w:val="003B5B1D"/>
    <w:rsid w:val="003C73DB"/>
    <w:rsid w:val="003D142F"/>
    <w:rsid w:val="003E78EF"/>
    <w:rsid w:val="003F495D"/>
    <w:rsid w:val="00400E77"/>
    <w:rsid w:val="0040581D"/>
    <w:rsid w:val="0041185C"/>
    <w:rsid w:val="00420E56"/>
    <w:rsid w:val="00421AF3"/>
    <w:rsid w:val="00423090"/>
    <w:rsid w:val="00426F0B"/>
    <w:rsid w:val="00433E7A"/>
    <w:rsid w:val="00436F4C"/>
    <w:rsid w:val="00450D6E"/>
    <w:rsid w:val="00456F44"/>
    <w:rsid w:val="00467552"/>
    <w:rsid w:val="00473379"/>
    <w:rsid w:val="004755A2"/>
    <w:rsid w:val="00477982"/>
    <w:rsid w:val="004819E5"/>
    <w:rsid w:val="0048626B"/>
    <w:rsid w:val="0048644E"/>
    <w:rsid w:val="004A0604"/>
    <w:rsid w:val="004D0B6D"/>
    <w:rsid w:val="004E59C7"/>
    <w:rsid w:val="004F74C4"/>
    <w:rsid w:val="0050238E"/>
    <w:rsid w:val="005043D9"/>
    <w:rsid w:val="00506643"/>
    <w:rsid w:val="00514C96"/>
    <w:rsid w:val="00526687"/>
    <w:rsid w:val="005377F7"/>
    <w:rsid w:val="00542695"/>
    <w:rsid w:val="00544465"/>
    <w:rsid w:val="005579A8"/>
    <w:rsid w:val="00561190"/>
    <w:rsid w:val="005658F1"/>
    <w:rsid w:val="00565B47"/>
    <w:rsid w:val="005741CF"/>
    <w:rsid w:val="0057512A"/>
    <w:rsid w:val="00575A5A"/>
    <w:rsid w:val="005932D0"/>
    <w:rsid w:val="0059445E"/>
    <w:rsid w:val="00597F9B"/>
    <w:rsid w:val="005B3551"/>
    <w:rsid w:val="005C7C65"/>
    <w:rsid w:val="005F23E0"/>
    <w:rsid w:val="006015E9"/>
    <w:rsid w:val="00605481"/>
    <w:rsid w:val="006056B0"/>
    <w:rsid w:val="0061446D"/>
    <w:rsid w:val="00625397"/>
    <w:rsid w:val="00632D6D"/>
    <w:rsid w:val="0064138E"/>
    <w:rsid w:val="00645758"/>
    <w:rsid w:val="00647112"/>
    <w:rsid w:val="0066562E"/>
    <w:rsid w:val="00682D89"/>
    <w:rsid w:val="00693994"/>
    <w:rsid w:val="006970A6"/>
    <w:rsid w:val="006A08AD"/>
    <w:rsid w:val="006A2F0E"/>
    <w:rsid w:val="006C346F"/>
    <w:rsid w:val="006C5A35"/>
    <w:rsid w:val="006C5A9D"/>
    <w:rsid w:val="006C6FC8"/>
    <w:rsid w:val="006D0316"/>
    <w:rsid w:val="006F06FD"/>
    <w:rsid w:val="0070126E"/>
    <w:rsid w:val="00705B86"/>
    <w:rsid w:val="00705FA6"/>
    <w:rsid w:val="007260A2"/>
    <w:rsid w:val="007316EF"/>
    <w:rsid w:val="0074751D"/>
    <w:rsid w:val="00753BB6"/>
    <w:rsid w:val="00784F67"/>
    <w:rsid w:val="00790F76"/>
    <w:rsid w:val="007A4B0F"/>
    <w:rsid w:val="007A5DD1"/>
    <w:rsid w:val="00813AD2"/>
    <w:rsid w:val="008169A6"/>
    <w:rsid w:val="00817F9A"/>
    <w:rsid w:val="0082072A"/>
    <w:rsid w:val="0082186E"/>
    <w:rsid w:val="008228E2"/>
    <w:rsid w:val="00834920"/>
    <w:rsid w:val="00834DE8"/>
    <w:rsid w:val="00835593"/>
    <w:rsid w:val="00842CA0"/>
    <w:rsid w:val="00844F5B"/>
    <w:rsid w:val="0085278E"/>
    <w:rsid w:val="00860792"/>
    <w:rsid w:val="00860C86"/>
    <w:rsid w:val="008646E6"/>
    <w:rsid w:val="00866475"/>
    <w:rsid w:val="00867254"/>
    <w:rsid w:val="00885C3E"/>
    <w:rsid w:val="00893360"/>
    <w:rsid w:val="008A4B1F"/>
    <w:rsid w:val="008B2A19"/>
    <w:rsid w:val="008B703E"/>
    <w:rsid w:val="008B767F"/>
    <w:rsid w:val="008C0B20"/>
    <w:rsid w:val="008D4E53"/>
    <w:rsid w:val="008F7FA4"/>
    <w:rsid w:val="00912280"/>
    <w:rsid w:val="00927FF3"/>
    <w:rsid w:val="009313D2"/>
    <w:rsid w:val="00937283"/>
    <w:rsid w:val="0094124E"/>
    <w:rsid w:val="00943B88"/>
    <w:rsid w:val="00957422"/>
    <w:rsid w:val="009654E0"/>
    <w:rsid w:val="00966C24"/>
    <w:rsid w:val="00973B6F"/>
    <w:rsid w:val="009A5A99"/>
    <w:rsid w:val="009B74C6"/>
    <w:rsid w:val="009B7EF0"/>
    <w:rsid w:val="009C01D1"/>
    <w:rsid w:val="009C47F7"/>
    <w:rsid w:val="009C627D"/>
    <w:rsid w:val="009D0D57"/>
    <w:rsid w:val="009E12E4"/>
    <w:rsid w:val="009E3CE4"/>
    <w:rsid w:val="00A0554C"/>
    <w:rsid w:val="00A06663"/>
    <w:rsid w:val="00A150F0"/>
    <w:rsid w:val="00A22246"/>
    <w:rsid w:val="00A2250B"/>
    <w:rsid w:val="00A241FE"/>
    <w:rsid w:val="00A35CD0"/>
    <w:rsid w:val="00A44D6C"/>
    <w:rsid w:val="00A57B08"/>
    <w:rsid w:val="00A606B1"/>
    <w:rsid w:val="00A66771"/>
    <w:rsid w:val="00A830DE"/>
    <w:rsid w:val="00A8496B"/>
    <w:rsid w:val="00A91A72"/>
    <w:rsid w:val="00A942AD"/>
    <w:rsid w:val="00AA38E6"/>
    <w:rsid w:val="00AB4C24"/>
    <w:rsid w:val="00AC0B64"/>
    <w:rsid w:val="00AC1A69"/>
    <w:rsid w:val="00AC705F"/>
    <w:rsid w:val="00AD4070"/>
    <w:rsid w:val="00AE124F"/>
    <w:rsid w:val="00AE4F02"/>
    <w:rsid w:val="00AF5FC0"/>
    <w:rsid w:val="00AF77C4"/>
    <w:rsid w:val="00B0401E"/>
    <w:rsid w:val="00B049A4"/>
    <w:rsid w:val="00B04E5C"/>
    <w:rsid w:val="00B1045C"/>
    <w:rsid w:val="00B125BB"/>
    <w:rsid w:val="00B32DA1"/>
    <w:rsid w:val="00B43B95"/>
    <w:rsid w:val="00B43C56"/>
    <w:rsid w:val="00B54081"/>
    <w:rsid w:val="00B55747"/>
    <w:rsid w:val="00B704AE"/>
    <w:rsid w:val="00B723E4"/>
    <w:rsid w:val="00B93737"/>
    <w:rsid w:val="00B945EA"/>
    <w:rsid w:val="00B946E2"/>
    <w:rsid w:val="00B96893"/>
    <w:rsid w:val="00BA0A5A"/>
    <w:rsid w:val="00BC0D30"/>
    <w:rsid w:val="00BC329E"/>
    <w:rsid w:val="00BC4BB1"/>
    <w:rsid w:val="00BC7D72"/>
    <w:rsid w:val="00BD6A76"/>
    <w:rsid w:val="00BE1F34"/>
    <w:rsid w:val="00BE7E66"/>
    <w:rsid w:val="00C16794"/>
    <w:rsid w:val="00C240E2"/>
    <w:rsid w:val="00C3695F"/>
    <w:rsid w:val="00C42B8C"/>
    <w:rsid w:val="00C451EE"/>
    <w:rsid w:val="00C55F55"/>
    <w:rsid w:val="00C92FE2"/>
    <w:rsid w:val="00CA21AF"/>
    <w:rsid w:val="00CB71DC"/>
    <w:rsid w:val="00CC4247"/>
    <w:rsid w:val="00CC75CC"/>
    <w:rsid w:val="00CD0CB6"/>
    <w:rsid w:val="00CD5C1E"/>
    <w:rsid w:val="00CD638F"/>
    <w:rsid w:val="00CD73FD"/>
    <w:rsid w:val="00CE07F2"/>
    <w:rsid w:val="00CE5C90"/>
    <w:rsid w:val="00CE67F7"/>
    <w:rsid w:val="00CF2BB9"/>
    <w:rsid w:val="00CF7812"/>
    <w:rsid w:val="00D03AE2"/>
    <w:rsid w:val="00D14C03"/>
    <w:rsid w:val="00D266CC"/>
    <w:rsid w:val="00D326AF"/>
    <w:rsid w:val="00D44042"/>
    <w:rsid w:val="00D47936"/>
    <w:rsid w:val="00D521E7"/>
    <w:rsid w:val="00D71F8F"/>
    <w:rsid w:val="00D733BF"/>
    <w:rsid w:val="00D746E5"/>
    <w:rsid w:val="00D83E2C"/>
    <w:rsid w:val="00D86CAA"/>
    <w:rsid w:val="00D92957"/>
    <w:rsid w:val="00DB4FA3"/>
    <w:rsid w:val="00DB7840"/>
    <w:rsid w:val="00DC17B6"/>
    <w:rsid w:val="00DC2DFA"/>
    <w:rsid w:val="00DC6A98"/>
    <w:rsid w:val="00DD4ACA"/>
    <w:rsid w:val="00DD5D52"/>
    <w:rsid w:val="00E03DF5"/>
    <w:rsid w:val="00E06D3D"/>
    <w:rsid w:val="00E23218"/>
    <w:rsid w:val="00E34525"/>
    <w:rsid w:val="00E42F9F"/>
    <w:rsid w:val="00E51636"/>
    <w:rsid w:val="00E51D5C"/>
    <w:rsid w:val="00E71039"/>
    <w:rsid w:val="00E76886"/>
    <w:rsid w:val="00E819BF"/>
    <w:rsid w:val="00E85276"/>
    <w:rsid w:val="00E92EB5"/>
    <w:rsid w:val="00E97404"/>
    <w:rsid w:val="00EA2F26"/>
    <w:rsid w:val="00EA46F1"/>
    <w:rsid w:val="00EA49DC"/>
    <w:rsid w:val="00EA5BA4"/>
    <w:rsid w:val="00EA6D34"/>
    <w:rsid w:val="00EB40A5"/>
    <w:rsid w:val="00ED0209"/>
    <w:rsid w:val="00ED0ECD"/>
    <w:rsid w:val="00EE5043"/>
    <w:rsid w:val="00EE7759"/>
    <w:rsid w:val="00EF213E"/>
    <w:rsid w:val="00EF61B4"/>
    <w:rsid w:val="00F02CC1"/>
    <w:rsid w:val="00F236CF"/>
    <w:rsid w:val="00F239E3"/>
    <w:rsid w:val="00F241F9"/>
    <w:rsid w:val="00F242E6"/>
    <w:rsid w:val="00F3567E"/>
    <w:rsid w:val="00F408EE"/>
    <w:rsid w:val="00F56262"/>
    <w:rsid w:val="00F67604"/>
    <w:rsid w:val="00F701E3"/>
    <w:rsid w:val="00F7051B"/>
    <w:rsid w:val="00F86DEA"/>
    <w:rsid w:val="00F9394E"/>
    <w:rsid w:val="00F9793C"/>
    <w:rsid w:val="00FC0C98"/>
    <w:rsid w:val="00FC16F3"/>
    <w:rsid w:val="00FC2CDB"/>
    <w:rsid w:val="00FC6382"/>
    <w:rsid w:val="00FD5FED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95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552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6A98"/>
    <w:pPr>
      <w:keepNext/>
      <w:spacing w:before="360" w:after="240"/>
      <w:outlineLvl w:val="0"/>
    </w:pPr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78"/>
    <w:pPr>
      <w:keepNext/>
      <w:outlineLvl w:val="1"/>
    </w:pPr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78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78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78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554B8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B78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2B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2B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2B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A98"/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42B78"/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2B78"/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6262"/>
    <w:rPr>
      <w:b/>
      <w:color w:val="554B87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67552"/>
    <w:pPr>
      <w:ind w:left="567"/>
    </w:pPr>
    <w:rPr>
      <w:rFonts w:eastAsiaTheme="minorHAnsi"/>
      <w:b/>
      <w:i/>
      <w:iCs/>
      <w:color w:val="554B87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67552"/>
    <w:rPr>
      <w:rFonts w:eastAsiaTheme="minorHAnsi"/>
      <w:b/>
      <w:i/>
      <w:iCs/>
      <w:color w:val="554B87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242B78"/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2B78"/>
    <w:rPr>
      <w:rFonts w:asciiTheme="majorHAnsi" w:eastAsiaTheme="majorEastAsia" w:hAnsiTheme="majorHAnsi" w:cstheme="majorBidi"/>
      <w:b/>
      <w:color w:val="554B87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B767F"/>
    <w:pPr>
      <w:keepNext/>
      <w:spacing w:after="0"/>
    </w:pPr>
    <w:rPr>
      <w:rFonts w:asciiTheme="majorHAnsi" w:eastAsiaTheme="minorHAnsi" w:hAnsiTheme="majorHAnsi"/>
      <w:b/>
      <w:color w:val="554B87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7Char">
    <w:name w:val="Heading 7 Char"/>
    <w:basedOn w:val="DefaultParagraphFont"/>
    <w:link w:val="Heading7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8Char">
    <w:name w:val="Heading 8 Char"/>
    <w:basedOn w:val="DefaultParagraphFont"/>
    <w:link w:val="Heading8"/>
    <w:uiPriority w:val="9"/>
    <w:rsid w:val="00242B78"/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42B78"/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03AE2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03AE2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4755A2"/>
    <w:pPr>
      <w:tabs>
        <w:tab w:val="right" w:leader="dot" w:pos="9072"/>
      </w:tabs>
      <w:spacing w:before="120" w:after="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2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A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06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6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701A.460DF4D0" TargetMode="External"/><Relationship Id="rId14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adminsrvad.sa.gov.au\DfsRoot\DataDPC\ArtsSA\ABS\Cultural%20Funding%20Collections\2021-22\Publication\Working\8%20-%20ACT\ACT-Analysis-2021-22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corp\absdfs\workgroup\NCE&amp;T\SURVEYS\Culture\Cultural%20Funding%20by%20Governments%20Survey\2021-22%20Survey\2021-2022\1.%20Working\8%20-%20ACT\ACT-Analysis-2021-22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\\adminsrvad.sa.gov.au\DfsRoot\DataDPC\ArtsSA\ABS\Cultural%20Funding%20Collections\2021-22\Publication\Working\8%20-%20ACT\ACT-Analysis-2021-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1804133760936596E-2"/>
          <c:y val="0.10801062711197798"/>
          <c:w val="0.92060062315153779"/>
          <c:h val="0.743322397200349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Working!$B$39</c:f>
              <c:strCache>
                <c:ptCount val="1"/>
                <c:pt idx="0">
                  <c:v>2019-20</c:v>
                </c:pt>
              </c:strCache>
            </c:strRef>
          </c:tx>
          <c:spPr>
            <a:solidFill>
              <a:srgbClr val="646464"/>
            </a:solidFill>
            <a:ln>
              <a:solidFill>
                <a:srgbClr val="646464"/>
              </a:solidFill>
            </a:ln>
            <a:effectLst/>
          </c:spPr>
          <c:invertIfNegative val="0"/>
          <c:cat>
            <c:strRef>
              <c:f>Working!$A$40:$A$43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Working!$B$40:$B$43</c:f>
              <c:numCache>
                <c:formatCode>#,##0.0</c:formatCode>
                <c:ptCount val="4"/>
                <c:pt idx="0">
                  <c:v>6.7439999999999998</c:v>
                </c:pt>
                <c:pt idx="1">
                  <c:v>7.2930000000000001</c:v>
                </c:pt>
                <c:pt idx="2">
                  <c:v>20.774999999999999</c:v>
                </c:pt>
                <c:pt idx="3">
                  <c:v>0.318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4E-49DA-AD2D-4BB2B44805E9}"/>
            </c:ext>
          </c:extLst>
        </c:ser>
        <c:ser>
          <c:idx val="1"/>
          <c:order val="1"/>
          <c:tx>
            <c:strRef>
              <c:f>Working!$C$39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0F293A"/>
            </a:solidFill>
            <a:ln>
              <a:solidFill>
                <a:srgbClr val="0F293A"/>
              </a:solidFill>
            </a:ln>
            <a:effectLst/>
          </c:spPr>
          <c:invertIfNegative val="0"/>
          <c:cat>
            <c:strRef>
              <c:f>Working!$A$40:$A$43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Working!$C$40:$C$43</c:f>
              <c:numCache>
                <c:formatCode>#,##0.0</c:formatCode>
                <c:ptCount val="4"/>
                <c:pt idx="0">
                  <c:v>5.5</c:v>
                </c:pt>
                <c:pt idx="1">
                  <c:v>8.1</c:v>
                </c:pt>
                <c:pt idx="2">
                  <c:v>21.4</c:v>
                </c:pt>
                <c:pt idx="3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4E-49DA-AD2D-4BB2B44805E9}"/>
            </c:ext>
          </c:extLst>
        </c:ser>
        <c:ser>
          <c:idx val="2"/>
          <c:order val="2"/>
          <c:tx>
            <c:strRef>
              <c:f>Working!$D$39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rgbClr val="513AC4"/>
            </a:solidFill>
            <a:ln>
              <a:solidFill>
                <a:srgbClr val="513AC4"/>
              </a:solidFill>
            </a:ln>
            <a:effectLst/>
          </c:spPr>
          <c:invertIfNegative val="0"/>
          <c:cat>
            <c:strRef>
              <c:f>Working!$A$40:$A$43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Working!$D$40:$D$43</c:f>
              <c:numCache>
                <c:formatCode>#,##0.0</c:formatCode>
                <c:ptCount val="4"/>
                <c:pt idx="0">
                  <c:v>4.8959999999999999</c:v>
                </c:pt>
                <c:pt idx="1">
                  <c:v>20.376999999999999</c:v>
                </c:pt>
                <c:pt idx="2">
                  <c:v>16.975999999999999</c:v>
                </c:pt>
                <c:pt idx="3">
                  <c:v>0.318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4E-49DA-AD2D-4BB2B44805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233174528"/>
        <c:axId val="233176064"/>
      </c:barChart>
      <c:catAx>
        <c:axId val="233174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4646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3176064"/>
        <c:crosses val="autoZero"/>
        <c:auto val="1"/>
        <c:lblAlgn val="ctr"/>
        <c:lblOffset val="100"/>
        <c:noMultiLvlLbl val="0"/>
      </c:catAx>
      <c:valAx>
        <c:axId val="233176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t" anchorCtr="0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$m</a:t>
                </a:r>
              </a:p>
            </c:rich>
          </c:tx>
          <c:layout>
            <c:manualLayout>
              <c:xMode val="edge"/>
              <c:yMode val="edge"/>
              <c:x val="1.1915397301565945E-2"/>
              <c:y val="1.27198162729658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t" anchorCtr="0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rgbClr val="646464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3174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82819477195305169"/>
          <c:y val="0.21381962671332749"/>
          <c:w val="0.12888451443569557"/>
          <c:h val="0.170798702245552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1804133760936596E-2"/>
          <c:y val="8.0232939632545922E-2"/>
          <c:w val="0.92060062315153779"/>
          <c:h val="0.715544619422572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Working!$B$49</c:f>
              <c:strCache>
                <c:ptCount val="1"/>
                <c:pt idx="0">
                  <c:v>2019-20</c:v>
                </c:pt>
              </c:strCache>
            </c:strRef>
          </c:tx>
          <c:spPr>
            <a:solidFill>
              <a:srgbClr val="646464"/>
            </a:solidFill>
            <a:ln>
              <a:solidFill>
                <a:srgbClr val="646464"/>
              </a:solidFill>
            </a:ln>
            <a:effectLst/>
          </c:spPr>
          <c:invertIfNegative val="0"/>
          <c:cat>
            <c:strRef>
              <c:f>Working!$A$50:$A$56</c:f>
              <c:strCache>
                <c:ptCount val="7"/>
                <c:pt idx="0">
                  <c:v>Music </c:v>
                </c:pt>
                <c:pt idx="1">
                  <c:v>Performing arts venues</c:v>
                </c:pt>
                <c:pt idx="2">
                  <c:v>Visual arts &amp; crafts</c:v>
                </c:pt>
                <c:pt idx="3">
                  <c:v>Film &amp; video production &amp; distribution</c:v>
                </c:pt>
                <c:pt idx="4">
                  <c:v>Arts education</c:v>
                </c:pt>
                <c:pt idx="5">
                  <c:v>Community arts &amp; cultural development</c:v>
                </c:pt>
                <c:pt idx="6">
                  <c:v>Other arts</c:v>
                </c:pt>
              </c:strCache>
            </c:strRef>
          </c:cat>
          <c:val>
            <c:numRef>
              <c:f>Working!$B$50:$B$56</c:f>
              <c:numCache>
                <c:formatCode>#,##0.0</c:formatCode>
                <c:ptCount val="7"/>
                <c:pt idx="0">
                  <c:v>1.7609999999999999</c:v>
                </c:pt>
                <c:pt idx="1">
                  <c:v>26.2</c:v>
                </c:pt>
                <c:pt idx="2">
                  <c:v>3.7410000000000001</c:v>
                </c:pt>
                <c:pt idx="3">
                  <c:v>1.431</c:v>
                </c:pt>
                <c:pt idx="4">
                  <c:v>3.2879999999999998</c:v>
                </c:pt>
                <c:pt idx="5">
                  <c:v>4.2030000000000003</c:v>
                </c:pt>
                <c:pt idx="6">
                  <c:v>0.38400000000000001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F7-4F44-8407-155B001F99BE}"/>
            </c:ext>
          </c:extLst>
        </c:ser>
        <c:ser>
          <c:idx val="1"/>
          <c:order val="1"/>
          <c:tx>
            <c:strRef>
              <c:f>Working!$C$49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0F293A"/>
            </a:solidFill>
            <a:ln>
              <a:solidFill>
                <a:srgbClr val="0F293A"/>
              </a:solidFill>
            </a:ln>
            <a:effectLst/>
          </c:spPr>
          <c:invertIfNegative val="0"/>
          <c:cat>
            <c:strRef>
              <c:f>Working!$A$50:$A$56</c:f>
              <c:strCache>
                <c:ptCount val="7"/>
                <c:pt idx="0">
                  <c:v>Music </c:v>
                </c:pt>
                <c:pt idx="1">
                  <c:v>Performing arts venues</c:v>
                </c:pt>
                <c:pt idx="2">
                  <c:v>Visual arts &amp; crafts</c:v>
                </c:pt>
                <c:pt idx="3">
                  <c:v>Film &amp; video production &amp; distribution</c:v>
                </c:pt>
                <c:pt idx="4">
                  <c:v>Arts education</c:v>
                </c:pt>
                <c:pt idx="5">
                  <c:v>Community arts &amp; cultural development</c:v>
                </c:pt>
                <c:pt idx="6">
                  <c:v>Other arts</c:v>
                </c:pt>
              </c:strCache>
            </c:strRef>
          </c:cat>
          <c:val>
            <c:numRef>
              <c:f>Working!$C$50:$C$56</c:f>
              <c:numCache>
                <c:formatCode>#,##0.0</c:formatCode>
                <c:ptCount val="7"/>
                <c:pt idx="0">
                  <c:v>2.2999999999999998</c:v>
                </c:pt>
                <c:pt idx="1">
                  <c:v>17</c:v>
                </c:pt>
                <c:pt idx="2">
                  <c:v>3</c:v>
                </c:pt>
                <c:pt idx="3">
                  <c:v>1.1000000000000001</c:v>
                </c:pt>
                <c:pt idx="4">
                  <c:v>3.1</c:v>
                </c:pt>
                <c:pt idx="5">
                  <c:v>2.4</c:v>
                </c:pt>
                <c:pt idx="6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F7-4F44-8407-155B001F99BE}"/>
            </c:ext>
          </c:extLst>
        </c:ser>
        <c:ser>
          <c:idx val="2"/>
          <c:order val="2"/>
          <c:tx>
            <c:strRef>
              <c:f>Working!$D$49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rgbClr val="513AC4"/>
            </a:solidFill>
            <a:ln>
              <a:solidFill>
                <a:srgbClr val="513AC4"/>
              </a:solidFill>
            </a:ln>
            <a:effectLst/>
          </c:spPr>
          <c:invertIfNegative val="0"/>
          <c:cat>
            <c:strRef>
              <c:f>Working!$A$50:$A$56</c:f>
              <c:strCache>
                <c:ptCount val="7"/>
                <c:pt idx="0">
                  <c:v>Music </c:v>
                </c:pt>
                <c:pt idx="1">
                  <c:v>Performing arts venues</c:v>
                </c:pt>
                <c:pt idx="2">
                  <c:v>Visual arts &amp; crafts</c:v>
                </c:pt>
                <c:pt idx="3">
                  <c:v>Film &amp; video production &amp; distribution</c:v>
                </c:pt>
                <c:pt idx="4">
                  <c:v>Arts education</c:v>
                </c:pt>
                <c:pt idx="5">
                  <c:v>Community arts &amp; cultural development</c:v>
                </c:pt>
                <c:pt idx="6">
                  <c:v>Other arts</c:v>
                </c:pt>
              </c:strCache>
            </c:strRef>
          </c:cat>
          <c:val>
            <c:numRef>
              <c:f>Working!$D$50:$D$56</c:f>
              <c:numCache>
                <c:formatCode>#,##0.0</c:formatCode>
                <c:ptCount val="7"/>
                <c:pt idx="0">
                  <c:v>1.8460000000000001</c:v>
                </c:pt>
                <c:pt idx="1">
                  <c:v>17.41</c:v>
                </c:pt>
                <c:pt idx="2">
                  <c:v>3.4239999999999999</c:v>
                </c:pt>
                <c:pt idx="3">
                  <c:v>2.3570000000000002</c:v>
                </c:pt>
                <c:pt idx="4">
                  <c:v>2.835</c:v>
                </c:pt>
                <c:pt idx="5">
                  <c:v>2.0659999999999998</c:v>
                </c:pt>
                <c:pt idx="6">
                  <c:v>2.9390000000000001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F7-4F44-8407-155B001F99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232569472"/>
        <c:axId val="232571264"/>
      </c:barChart>
      <c:catAx>
        <c:axId val="232569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4646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2571264"/>
        <c:crosses val="autoZero"/>
        <c:auto val="1"/>
        <c:lblAlgn val="ctr"/>
        <c:lblOffset val="100"/>
        <c:noMultiLvlLbl val="0"/>
      </c:catAx>
      <c:valAx>
        <c:axId val="232571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t" anchorCtr="0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$m</a:t>
                </a:r>
              </a:p>
            </c:rich>
          </c:tx>
          <c:layout>
            <c:manualLayout>
              <c:xMode val="edge"/>
              <c:yMode val="edge"/>
              <c:x val="1.1915397301565945E-2"/>
              <c:y val="1.27198162729658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t" anchorCtr="0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rgbClr val="646464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2569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79873240150759717"/>
          <c:y val="0.27424515117428505"/>
          <c:w val="0.1019933197934063"/>
          <c:h val="0.161539442986293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8101519420164223"/>
          <c:y val="5.0925925925925923E-2"/>
          <c:w val="0.68767009628383613"/>
          <c:h val="0.8362927804849624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Working!$B$61</c:f>
              <c:strCache>
                <c:ptCount val="1"/>
                <c:pt idx="0">
                  <c:v>2021-22</c:v>
                </c:pt>
              </c:strCache>
            </c:strRef>
          </c:tx>
          <c:spPr>
            <a:solidFill>
              <a:srgbClr val="513AC4"/>
            </a:solidFill>
            <a:ln>
              <a:solidFill>
                <a:srgbClr val="513AC4"/>
              </a:solidFill>
            </a:ln>
            <a:effectLst/>
          </c:spPr>
          <c:invertIfNegative val="0"/>
          <c:cat>
            <c:strRef>
              <c:f>Working!$A$62:$A$70</c:f>
              <c:strCache>
                <c:ptCount val="9"/>
                <c:pt idx="0">
                  <c:v>Arts administration</c:v>
                </c:pt>
                <c:pt idx="1">
                  <c:v>Community arts &amp; cultural development</c:v>
                </c:pt>
                <c:pt idx="2">
                  <c:v>Arts education</c:v>
                </c:pt>
                <c:pt idx="3">
                  <c:v>Visual arts &amp; crafts</c:v>
                </c:pt>
                <c:pt idx="4">
                  <c:v>Performing arts venues</c:v>
                </c:pt>
                <c:pt idx="5">
                  <c:v>Music </c:v>
                </c:pt>
                <c:pt idx="6">
                  <c:v>Libraries</c:v>
                </c:pt>
                <c:pt idx="7">
                  <c:v>Other museums &amp; cultural heritage</c:v>
                </c:pt>
                <c:pt idx="8">
                  <c:v>Art museums</c:v>
                </c:pt>
              </c:strCache>
            </c:strRef>
          </c:cat>
          <c:val>
            <c:numRef>
              <c:f>Working!$B$62:$B$70</c:f>
              <c:numCache>
                <c:formatCode>#,##0.0</c:formatCode>
                <c:ptCount val="9"/>
                <c:pt idx="0">
                  <c:v>1.798</c:v>
                </c:pt>
                <c:pt idx="1">
                  <c:v>2.0659999999999998</c:v>
                </c:pt>
                <c:pt idx="2" formatCode="0.0">
                  <c:v>2.835</c:v>
                </c:pt>
                <c:pt idx="3" formatCode="0.0">
                  <c:v>3.298</c:v>
                </c:pt>
                <c:pt idx="4" formatCode="0.0">
                  <c:v>16.027999999999999</c:v>
                </c:pt>
                <c:pt idx="5" formatCode="0.0">
                  <c:v>1.8460000000000001</c:v>
                </c:pt>
                <c:pt idx="6" formatCode="0.0">
                  <c:v>14.801</c:v>
                </c:pt>
                <c:pt idx="7" formatCode="0.0">
                  <c:v>19.904999999999998</c:v>
                </c:pt>
                <c:pt idx="8" formatCode="0.0">
                  <c:v>4.58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26-481B-91E5-9B1C7F66FD10}"/>
            </c:ext>
          </c:extLst>
        </c:ser>
        <c:ser>
          <c:idx val="1"/>
          <c:order val="1"/>
          <c:tx>
            <c:strRef>
              <c:f>Working!$C$61</c:f>
              <c:strCache>
                <c:ptCount val="1"/>
                <c:pt idx="0">
                  <c:v>2020-21</c:v>
                </c:pt>
              </c:strCache>
            </c:strRef>
          </c:tx>
          <c:spPr>
            <a:solidFill>
              <a:srgbClr val="0F293A"/>
            </a:solidFill>
            <a:ln>
              <a:solidFill>
                <a:srgbClr val="0F293A"/>
              </a:solidFill>
            </a:ln>
            <a:effectLst/>
          </c:spPr>
          <c:invertIfNegative val="0"/>
          <c:cat>
            <c:strRef>
              <c:f>Working!$A$62:$A$70</c:f>
              <c:strCache>
                <c:ptCount val="9"/>
                <c:pt idx="0">
                  <c:v>Arts administration</c:v>
                </c:pt>
                <c:pt idx="1">
                  <c:v>Community arts &amp; cultural development</c:v>
                </c:pt>
                <c:pt idx="2">
                  <c:v>Arts education</c:v>
                </c:pt>
                <c:pt idx="3">
                  <c:v>Visual arts &amp; crafts</c:v>
                </c:pt>
                <c:pt idx="4">
                  <c:v>Performing arts venues</c:v>
                </c:pt>
                <c:pt idx="5">
                  <c:v>Music </c:v>
                </c:pt>
                <c:pt idx="6">
                  <c:v>Libraries</c:v>
                </c:pt>
                <c:pt idx="7">
                  <c:v>Other museums &amp; cultural heritage</c:v>
                </c:pt>
                <c:pt idx="8">
                  <c:v>Art museums</c:v>
                </c:pt>
              </c:strCache>
            </c:strRef>
          </c:cat>
          <c:val>
            <c:numRef>
              <c:f>Working!$C$62:$C$70</c:f>
              <c:numCache>
                <c:formatCode>#,##0.0</c:formatCode>
                <c:ptCount val="9"/>
                <c:pt idx="0">
                  <c:v>2.5</c:v>
                </c:pt>
                <c:pt idx="1">
                  <c:v>2.4</c:v>
                </c:pt>
                <c:pt idx="2" formatCode="0.0">
                  <c:v>3.1</c:v>
                </c:pt>
                <c:pt idx="3" formatCode="0.0">
                  <c:v>3</c:v>
                </c:pt>
                <c:pt idx="4" formatCode="0.0">
                  <c:v>14.6</c:v>
                </c:pt>
                <c:pt idx="5" formatCode="0.0">
                  <c:v>2.2999999999999998</c:v>
                </c:pt>
                <c:pt idx="6" formatCode="0.0">
                  <c:v>17.5</c:v>
                </c:pt>
                <c:pt idx="7" formatCode="0.0">
                  <c:v>6.5</c:v>
                </c:pt>
                <c:pt idx="8" formatCode="0.0">
                  <c:v>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26-481B-91E5-9B1C7F66FD10}"/>
            </c:ext>
          </c:extLst>
        </c:ser>
        <c:ser>
          <c:idx val="2"/>
          <c:order val="2"/>
          <c:tx>
            <c:strRef>
              <c:f>Working!$D$61</c:f>
              <c:strCache>
                <c:ptCount val="1"/>
                <c:pt idx="0">
                  <c:v>2019-20</c:v>
                </c:pt>
              </c:strCache>
            </c:strRef>
          </c:tx>
          <c:spPr>
            <a:solidFill>
              <a:srgbClr val="646464"/>
            </a:solidFill>
            <a:ln>
              <a:solidFill>
                <a:srgbClr val="646464"/>
              </a:solidFill>
            </a:ln>
            <a:effectLst/>
          </c:spPr>
          <c:invertIfNegative val="0"/>
          <c:cat>
            <c:strRef>
              <c:f>Working!$A$62:$A$70</c:f>
              <c:strCache>
                <c:ptCount val="9"/>
                <c:pt idx="0">
                  <c:v>Arts administration</c:v>
                </c:pt>
                <c:pt idx="1">
                  <c:v>Community arts &amp; cultural development</c:v>
                </c:pt>
                <c:pt idx="2">
                  <c:v>Arts education</c:v>
                </c:pt>
                <c:pt idx="3">
                  <c:v>Visual arts &amp; crafts</c:v>
                </c:pt>
                <c:pt idx="4">
                  <c:v>Performing arts venues</c:v>
                </c:pt>
                <c:pt idx="5">
                  <c:v>Music </c:v>
                </c:pt>
                <c:pt idx="6">
                  <c:v>Libraries</c:v>
                </c:pt>
                <c:pt idx="7">
                  <c:v>Other museums &amp; cultural heritage</c:v>
                </c:pt>
                <c:pt idx="8">
                  <c:v>Art museums</c:v>
                </c:pt>
              </c:strCache>
            </c:strRef>
          </c:cat>
          <c:val>
            <c:numRef>
              <c:f>Working!$D$62:$D$70</c:f>
              <c:numCache>
                <c:formatCode>#,##0.0</c:formatCode>
                <c:ptCount val="9"/>
                <c:pt idx="0">
                  <c:v>4.0410000000000004</c:v>
                </c:pt>
                <c:pt idx="1">
                  <c:v>3.93</c:v>
                </c:pt>
                <c:pt idx="2" formatCode="0.0">
                  <c:v>3.2879999999999998</c:v>
                </c:pt>
                <c:pt idx="3" formatCode="0.0">
                  <c:v>3.633</c:v>
                </c:pt>
                <c:pt idx="4" formatCode="0.0">
                  <c:v>14.53</c:v>
                </c:pt>
                <c:pt idx="5" formatCode="0.0">
                  <c:v>1.7609999999999999</c:v>
                </c:pt>
                <c:pt idx="6" formatCode="0.0">
                  <c:v>17.629000000000001</c:v>
                </c:pt>
                <c:pt idx="7" formatCode="0.0">
                  <c:v>6.8150000000000004</c:v>
                </c:pt>
                <c:pt idx="8" formatCode="0.0">
                  <c:v>6.0069999999999997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E26-481B-91E5-9B1C7F66FD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32960000"/>
        <c:axId val="232961536"/>
      </c:barChart>
      <c:catAx>
        <c:axId val="232960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4646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2961536"/>
        <c:crosses val="autoZero"/>
        <c:auto val="1"/>
        <c:lblAlgn val="ctr"/>
        <c:lblOffset val="100"/>
        <c:noMultiLvlLbl val="0"/>
      </c:catAx>
      <c:valAx>
        <c:axId val="232961536"/>
        <c:scaling>
          <c:orientation val="minMax"/>
          <c:max val="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>
                    <a:latin typeface="+mn-lt"/>
                  </a:rPr>
                  <a:t>$m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solidFill>
              <a:srgbClr val="646464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2960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8798485051753864"/>
          <c:y val="0.64752701445068406"/>
          <c:w val="9.6833813204542096E-2"/>
          <c:h val="0.16162456083831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203CC-543D-4B99-BBB0-02BC694D62B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 Funding by Government — 2021–22 — Australian Capital Territory Government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Funding by Government — 2021–22 — Australian Capital Territory Government</dc:title>
  <dc:subject/>
  <dc:creator/>
  <cp:keywords/>
  <dc:description/>
  <cp:lastModifiedBy/>
  <cp:revision>1</cp:revision>
  <dcterms:created xsi:type="dcterms:W3CDTF">2023-08-14T06:28:00Z</dcterms:created>
  <dcterms:modified xsi:type="dcterms:W3CDTF">2023-08-14T06:34:00Z</dcterms:modified>
</cp:coreProperties>
</file>