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237CF" w14:textId="07871BF3" w:rsidR="0094124E" w:rsidRDefault="00CD5C1E" w:rsidP="0094124E">
      <w:pPr>
        <w:ind w:left="-1418"/>
      </w:pPr>
      <w:r>
        <w:rPr>
          <w:noProof/>
        </w:rPr>
        <w:drawing>
          <wp:inline distT="0" distB="0" distL="0" distR="0" wp14:anchorId="0B2096A5" wp14:editId="3B4B25A2">
            <wp:extent cx="7645481" cy="1400175"/>
            <wp:effectExtent l="0" t="0" r="0" b="0"/>
            <wp:docPr id="11" name="Picture 11" descr="Cultural and Creative Statistics Working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 rectangle&#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7726221" cy="1414962"/>
                    </a:xfrm>
                    <a:prstGeom prst="rect">
                      <a:avLst/>
                    </a:prstGeom>
                    <a:noFill/>
                    <a:ln>
                      <a:noFill/>
                    </a:ln>
                  </pic:spPr>
                </pic:pic>
              </a:graphicData>
            </a:graphic>
          </wp:inline>
        </w:drawing>
      </w:r>
    </w:p>
    <w:p w14:paraId="2AD3B10E" w14:textId="77777777" w:rsidR="00FC16F3" w:rsidRDefault="00FC16F3" w:rsidP="0094124E">
      <w:pPr>
        <w:ind w:left="-1418"/>
        <w:sectPr w:rsidR="00FC16F3" w:rsidSect="00477982">
          <w:headerReference w:type="default" r:id="rId13"/>
          <w:footerReference w:type="default" r:id="rId14"/>
          <w:footerReference w:type="first" r:id="rId15"/>
          <w:type w:val="continuous"/>
          <w:pgSz w:w="11906" w:h="16838"/>
          <w:pgMar w:top="0" w:right="1440" w:bottom="1440" w:left="1440" w:header="0" w:footer="0" w:gutter="0"/>
          <w:cols w:space="708"/>
          <w:titlePg/>
          <w:docGrid w:linePitch="360"/>
        </w:sectPr>
      </w:pPr>
    </w:p>
    <w:p w14:paraId="163C2A0C" w14:textId="38B4E85A" w:rsidR="002117E6" w:rsidRDefault="001D64AC" w:rsidP="00477982">
      <w:pPr>
        <w:pStyle w:val="Heading1"/>
      </w:pPr>
      <w:bookmarkStart w:id="0" w:name="_Hlk115943978"/>
      <w:r>
        <w:t>Cultural Funding by Government—</w:t>
      </w:r>
      <w:r w:rsidR="0070126E">
        <w:t>2020–21</w:t>
      </w:r>
    </w:p>
    <w:p w14:paraId="5B4DE371" w14:textId="77777777" w:rsidR="004C3CEC" w:rsidRDefault="004C3CEC" w:rsidP="004C3CEC">
      <w:pPr>
        <w:pStyle w:val="Heading2"/>
      </w:pPr>
      <w:r>
        <w:rPr>
          <w:szCs w:val="36"/>
        </w:rPr>
        <w:t xml:space="preserve">Australian </w:t>
      </w:r>
      <w:r w:rsidRPr="00527D9C">
        <w:rPr>
          <w:szCs w:val="36"/>
        </w:rPr>
        <w:t>Government</w:t>
      </w:r>
    </w:p>
    <w:bookmarkEnd w:id="0"/>
    <w:p w14:paraId="561B41E9" w14:textId="694A95D4" w:rsidR="004C3CEC" w:rsidRPr="000A6DCC" w:rsidRDefault="004C3CEC" w:rsidP="004C3CEC">
      <w:r w:rsidRPr="00651A81">
        <w:t>In 20</w:t>
      </w:r>
      <w:r w:rsidR="00505EC6">
        <w:t>20</w:t>
      </w:r>
      <w:r w:rsidRPr="00651A81">
        <w:t>–2</w:t>
      </w:r>
      <w:r w:rsidR="00505EC6">
        <w:t>1</w:t>
      </w:r>
      <w:r w:rsidRPr="00651A81">
        <w:t xml:space="preserve"> the estimate of expenditure on cultural activities, funded by the Australian Government, </w:t>
      </w:r>
      <w:r w:rsidRPr="00AC2444">
        <w:t xml:space="preserve">was </w:t>
      </w:r>
      <w:r w:rsidRPr="00AC2444">
        <w:rPr>
          <w:b/>
        </w:rPr>
        <w:t>$</w:t>
      </w:r>
      <w:r w:rsidR="00390081">
        <w:rPr>
          <w:b/>
        </w:rPr>
        <w:t>2,967.</w:t>
      </w:r>
      <w:r w:rsidR="002522D3">
        <w:rPr>
          <w:b/>
        </w:rPr>
        <w:t>0</w:t>
      </w:r>
      <w:r w:rsidRPr="00AC2444">
        <w:rPr>
          <w:b/>
        </w:rPr>
        <w:t>m</w:t>
      </w:r>
      <w:r w:rsidRPr="00AC2444">
        <w:t xml:space="preserve"> representing </w:t>
      </w:r>
      <w:r w:rsidRPr="00651A81">
        <w:t xml:space="preserve">a </w:t>
      </w:r>
      <w:r w:rsidRPr="00B26799">
        <w:t xml:space="preserve">rise of </w:t>
      </w:r>
      <w:r w:rsidR="002522D3">
        <w:t>8</w:t>
      </w:r>
      <w:r w:rsidRPr="00B26799">
        <w:t xml:space="preserve">% </w:t>
      </w:r>
      <w:r w:rsidRPr="00AC2444">
        <w:t xml:space="preserve">or </w:t>
      </w:r>
      <w:r w:rsidRPr="00AC2444">
        <w:rPr>
          <w:b/>
        </w:rPr>
        <w:t>$</w:t>
      </w:r>
      <w:r w:rsidR="002522D3">
        <w:rPr>
          <w:b/>
        </w:rPr>
        <w:t>223.2</w:t>
      </w:r>
      <w:r w:rsidRPr="00AC2444">
        <w:rPr>
          <w:b/>
        </w:rPr>
        <w:t>m</w:t>
      </w:r>
      <w:r w:rsidRPr="00AC2444">
        <w:t xml:space="preserve"> </w:t>
      </w:r>
      <w:r w:rsidRPr="00651A81">
        <w:t>from 201</w:t>
      </w:r>
      <w:r w:rsidR="00505EC6">
        <w:t>9</w:t>
      </w:r>
      <w:r w:rsidRPr="00651A81">
        <w:t>–</w:t>
      </w:r>
      <w:r w:rsidR="00505EC6">
        <w:t>20</w:t>
      </w:r>
      <w:r w:rsidRPr="00651A81">
        <w:t xml:space="preserve">. </w:t>
      </w:r>
      <w:r w:rsidRPr="000A6DCC">
        <w:t>This amount include</w:t>
      </w:r>
      <w:r w:rsidR="00965FD9" w:rsidRPr="000A6DCC">
        <w:t>s</w:t>
      </w:r>
      <w:r w:rsidRPr="000A6DCC">
        <w:t xml:space="preserve"> </w:t>
      </w:r>
      <w:r w:rsidR="00C61213" w:rsidRPr="000A6DCC">
        <w:rPr>
          <w:b/>
        </w:rPr>
        <w:t>$23</w:t>
      </w:r>
      <w:r w:rsidR="002522D3" w:rsidRPr="000A6DCC">
        <w:rPr>
          <w:b/>
        </w:rPr>
        <w:t>2.</w:t>
      </w:r>
      <w:r w:rsidR="00F10884">
        <w:rPr>
          <w:b/>
        </w:rPr>
        <w:t>6</w:t>
      </w:r>
      <w:r w:rsidR="00C61213" w:rsidRPr="000A6DCC">
        <w:rPr>
          <w:b/>
        </w:rPr>
        <w:t>m</w:t>
      </w:r>
      <w:r w:rsidR="00C61213" w:rsidRPr="000A6DCC">
        <w:t xml:space="preserve"> </w:t>
      </w:r>
      <w:r w:rsidR="00543FBB" w:rsidRPr="000A6DCC">
        <w:t xml:space="preserve">targeted </w:t>
      </w:r>
      <w:r w:rsidR="00C61213" w:rsidRPr="000A6DCC">
        <w:t>COVID support</w:t>
      </w:r>
      <w:r w:rsidR="000A6DCC" w:rsidRPr="000A6DCC">
        <w:t xml:space="preserve"> </w:t>
      </w:r>
      <w:r w:rsidR="00C61213" w:rsidRPr="000A6DCC">
        <w:t>funding</w:t>
      </w:r>
      <w:r w:rsidR="00543FBB" w:rsidRPr="000A6DCC">
        <w:t xml:space="preserve"> </w:t>
      </w:r>
      <w:r w:rsidR="000A6DCC" w:rsidRPr="000A6DCC">
        <w:t>for</w:t>
      </w:r>
      <w:r w:rsidR="00543FBB" w:rsidRPr="000A6DCC">
        <w:t xml:space="preserve"> cultural and creative organisations and infrastructure, businesses, individuals</w:t>
      </w:r>
      <w:r w:rsidR="000A6DCC" w:rsidRPr="000A6DCC">
        <w:t xml:space="preserve"> support programs and initiatives</w:t>
      </w:r>
      <w:r w:rsidR="00183C8A" w:rsidRPr="000A6DCC">
        <w:rPr>
          <w:rStyle w:val="FootnoteReference"/>
        </w:rPr>
        <w:footnoteReference w:id="1"/>
      </w:r>
      <w:r w:rsidRPr="000A6DCC">
        <w:t>.</w:t>
      </w:r>
    </w:p>
    <w:p w14:paraId="4FEE35F0" w14:textId="39636757" w:rsidR="004C3CEC" w:rsidRDefault="004C3CEC" w:rsidP="004C3CEC">
      <w:pPr>
        <w:pStyle w:val="Tablefigureheading"/>
      </w:pPr>
      <w:r>
        <w:t>Table 1. Australian Government cultural expenditure, 201</w:t>
      </w:r>
      <w:r w:rsidR="00505EC6">
        <w:t>7</w:t>
      </w:r>
      <w:r>
        <w:t>–1</w:t>
      </w:r>
      <w:r w:rsidR="00505EC6">
        <w:t>8</w:t>
      </w:r>
      <w:r>
        <w:t xml:space="preserve"> to 20</w:t>
      </w:r>
      <w:r w:rsidR="00505EC6">
        <w:t>20</w:t>
      </w:r>
      <w:r>
        <w:t>–2</w:t>
      </w:r>
      <w:r w:rsidR="00505EC6">
        <w:t>1</w:t>
      </w:r>
      <w:r w:rsidR="00505EC6" w:rsidRPr="00651A81">
        <w:rPr>
          <w:rStyle w:val="FootnoteReference"/>
        </w:rPr>
        <w:footnoteReference w:id="2"/>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Caption w:val="Table 1—Australian Government cultural expenditure, 2017–18 to 2020–21"/>
        <w:tblDescription w:val="Table 1—Australian Government cultural expenditure, 2017–18 to 2020–21"/>
      </w:tblPr>
      <w:tblGrid>
        <w:gridCol w:w="1204"/>
        <w:gridCol w:w="1985"/>
        <w:gridCol w:w="1985"/>
      </w:tblGrid>
      <w:tr w:rsidR="00505EC6" w14:paraId="5F3BD8A0" w14:textId="77777777" w:rsidTr="00505EC6">
        <w:trPr>
          <w:cantSplit/>
          <w:trHeight w:val="308"/>
          <w:tblHeader/>
        </w:trPr>
        <w:tc>
          <w:tcPr>
            <w:tcW w:w="1204" w:type="dxa"/>
            <w:tcBorders>
              <w:top w:val="nil"/>
              <w:left w:val="nil"/>
              <w:bottom w:val="thickThinLargeGap" w:sz="24" w:space="0" w:color="auto"/>
              <w:right w:val="nil"/>
            </w:tcBorders>
            <w:shd w:val="clear" w:color="auto" w:fill="C3AFF7"/>
          </w:tcPr>
          <w:p w14:paraId="00981088" w14:textId="31F8924B" w:rsidR="00505EC6" w:rsidRDefault="00505EC6" w:rsidP="004879F3">
            <w:pPr>
              <w:pStyle w:val="Tablerowcolumnheadingcentred"/>
            </w:pPr>
            <w:r>
              <w:t>2017–18</w:t>
            </w:r>
          </w:p>
        </w:tc>
        <w:tc>
          <w:tcPr>
            <w:tcW w:w="1985" w:type="dxa"/>
            <w:tcBorders>
              <w:top w:val="nil"/>
              <w:left w:val="nil"/>
              <w:bottom w:val="thickThinLargeGap" w:sz="24" w:space="0" w:color="auto"/>
              <w:right w:val="nil"/>
            </w:tcBorders>
            <w:shd w:val="clear" w:color="auto" w:fill="C3AFF7"/>
          </w:tcPr>
          <w:p w14:paraId="64BEEACD" w14:textId="35E6EA49" w:rsidR="00505EC6" w:rsidRDefault="00505EC6" w:rsidP="004879F3">
            <w:pPr>
              <w:pStyle w:val="Tablerowcolumnheadingcentred"/>
            </w:pPr>
            <w:r>
              <w:t>2019–20</w:t>
            </w:r>
            <w:r w:rsidR="00034098">
              <w:rPr>
                <w:rStyle w:val="FootnoteReference"/>
              </w:rPr>
              <w:footnoteReference w:id="3"/>
            </w:r>
          </w:p>
        </w:tc>
        <w:tc>
          <w:tcPr>
            <w:tcW w:w="1985" w:type="dxa"/>
            <w:tcBorders>
              <w:top w:val="nil"/>
              <w:left w:val="nil"/>
              <w:bottom w:val="thickThinLargeGap" w:sz="24" w:space="0" w:color="auto"/>
              <w:right w:val="nil"/>
            </w:tcBorders>
            <w:shd w:val="clear" w:color="auto" w:fill="C3AFF7"/>
          </w:tcPr>
          <w:p w14:paraId="0B429990" w14:textId="2D61E450" w:rsidR="00505EC6" w:rsidRDefault="00505EC6" w:rsidP="004879F3">
            <w:pPr>
              <w:pStyle w:val="Tablerowcolumnheadingcentred"/>
            </w:pPr>
            <w:r>
              <w:t>2020–21</w:t>
            </w:r>
            <w:r w:rsidR="00543FBB">
              <w:rPr>
                <w:rStyle w:val="FootnoteReference"/>
              </w:rPr>
              <w:footnoteReference w:id="4"/>
            </w:r>
          </w:p>
        </w:tc>
      </w:tr>
      <w:tr w:rsidR="00505EC6" w14:paraId="75A2B9D1" w14:textId="77777777" w:rsidTr="004879F3">
        <w:trPr>
          <w:cantSplit/>
          <w:trHeight w:val="227"/>
        </w:trPr>
        <w:tc>
          <w:tcPr>
            <w:tcW w:w="1204" w:type="dxa"/>
            <w:tcBorders>
              <w:top w:val="single" w:sz="4" w:space="0" w:color="auto"/>
              <w:left w:val="nil"/>
              <w:bottom w:val="single" w:sz="12" w:space="0" w:color="auto"/>
              <w:right w:val="nil"/>
            </w:tcBorders>
          </w:tcPr>
          <w:p w14:paraId="15F266DE" w14:textId="679AA2C9" w:rsidR="00505EC6" w:rsidRPr="00303AC1" w:rsidRDefault="00505EC6" w:rsidP="004879F3">
            <w:pPr>
              <w:pStyle w:val="Tabletextcentred"/>
            </w:pPr>
            <w:r w:rsidRPr="00303AC1">
              <w:t>$</w:t>
            </w:r>
            <w:r>
              <w:t>2,</w:t>
            </w:r>
            <w:r w:rsidR="009C205D">
              <w:t>674.9</w:t>
            </w:r>
            <w:r>
              <w:t xml:space="preserve">m </w:t>
            </w:r>
          </w:p>
        </w:tc>
        <w:tc>
          <w:tcPr>
            <w:tcW w:w="1985" w:type="dxa"/>
            <w:tcBorders>
              <w:top w:val="single" w:sz="4" w:space="0" w:color="auto"/>
              <w:left w:val="nil"/>
              <w:bottom w:val="single" w:sz="12" w:space="0" w:color="auto"/>
              <w:right w:val="nil"/>
            </w:tcBorders>
          </w:tcPr>
          <w:p w14:paraId="0F6105FA" w14:textId="2517DE7E" w:rsidR="00505EC6" w:rsidRPr="00303AC1" w:rsidRDefault="00505EC6" w:rsidP="004879F3">
            <w:pPr>
              <w:pStyle w:val="Tabletextcentred"/>
            </w:pPr>
            <w:r w:rsidRPr="00303AC1">
              <w:t>$</w:t>
            </w:r>
            <w:r>
              <w:t>2,</w:t>
            </w:r>
            <w:r w:rsidR="009C205D">
              <w:t>7</w:t>
            </w:r>
            <w:r w:rsidR="002522D3">
              <w:t>43.8</w:t>
            </w:r>
            <w:r w:rsidRPr="00303AC1">
              <w:t>m ↑</w:t>
            </w:r>
            <w:r w:rsidR="002522D3">
              <w:t>3</w:t>
            </w:r>
            <w:r w:rsidRPr="00303AC1">
              <w:t>%</w:t>
            </w:r>
          </w:p>
        </w:tc>
        <w:tc>
          <w:tcPr>
            <w:tcW w:w="1985" w:type="dxa"/>
            <w:tcBorders>
              <w:top w:val="single" w:sz="4" w:space="0" w:color="auto"/>
              <w:left w:val="nil"/>
              <w:bottom w:val="single" w:sz="12" w:space="0" w:color="auto"/>
              <w:right w:val="nil"/>
            </w:tcBorders>
          </w:tcPr>
          <w:p w14:paraId="182F0B8F" w14:textId="3B8EC7E7" w:rsidR="00505EC6" w:rsidRPr="00303AC1" w:rsidRDefault="00505EC6" w:rsidP="004879F3">
            <w:pPr>
              <w:pStyle w:val="Tabletextcentred"/>
            </w:pPr>
            <w:r w:rsidRPr="00303AC1">
              <w:t>$</w:t>
            </w:r>
            <w:r w:rsidR="00390081">
              <w:t>2,967.</w:t>
            </w:r>
            <w:r w:rsidR="002522D3">
              <w:t>0</w:t>
            </w:r>
            <w:r w:rsidRPr="00AC2444">
              <w:t xml:space="preserve">m </w:t>
            </w:r>
            <w:r w:rsidRPr="00B26799">
              <w:t>↑</w:t>
            </w:r>
            <w:r w:rsidR="002522D3">
              <w:t>8</w:t>
            </w:r>
            <w:r w:rsidRPr="00B26799">
              <w:t>%</w:t>
            </w:r>
          </w:p>
        </w:tc>
      </w:tr>
    </w:tbl>
    <w:p w14:paraId="13A19AE5" w14:textId="7014D69D" w:rsidR="004C3CEC" w:rsidRPr="00FD1F4F" w:rsidRDefault="004C3CEC" w:rsidP="00FD1F4F">
      <w:pPr>
        <w:spacing w:before="240"/>
      </w:pPr>
      <w:r w:rsidRPr="00287F8A">
        <w:t xml:space="preserve">The estimate of per person cultural funding </w:t>
      </w:r>
      <w:r w:rsidRPr="00CB7065">
        <w:t>was $</w:t>
      </w:r>
      <w:r w:rsidR="00CB7065" w:rsidRPr="00174FA3">
        <w:t>115.5</w:t>
      </w:r>
      <w:r w:rsidR="00174FA3" w:rsidRPr="00174FA3">
        <w:t>2</w:t>
      </w:r>
      <w:r w:rsidR="00CB7065" w:rsidRPr="00174FA3">
        <w:t>.</w:t>
      </w:r>
    </w:p>
    <w:p w14:paraId="39C00102" w14:textId="77777777" w:rsidR="004C3CEC" w:rsidRDefault="004C3CEC" w:rsidP="004C3CEC">
      <w:pPr>
        <w:pStyle w:val="Heading3"/>
      </w:pPr>
      <w:bookmarkStart w:id="1" w:name="_Toc524532894"/>
      <w:bookmarkStart w:id="2" w:name="_Toc521427133"/>
      <w:bookmarkStart w:id="3" w:name="_Toc521318947"/>
      <w:r>
        <w:t>Heritage</w:t>
      </w:r>
      <w:bookmarkEnd w:id="1"/>
      <w:bookmarkEnd w:id="2"/>
      <w:bookmarkEnd w:id="3"/>
    </w:p>
    <w:p w14:paraId="15F37DF3" w14:textId="77990CE3" w:rsidR="004C3CEC" w:rsidRPr="0056100A" w:rsidRDefault="004C3CEC" w:rsidP="004C3CEC">
      <w:r w:rsidRPr="00651A81">
        <w:t xml:space="preserve">Funds </w:t>
      </w:r>
      <w:r w:rsidR="00702240">
        <w:t>for Total</w:t>
      </w:r>
      <w:r w:rsidRPr="00651A81">
        <w:t xml:space="preserve"> </w:t>
      </w:r>
      <w:r w:rsidRPr="00651A81">
        <w:rPr>
          <w:i/>
        </w:rPr>
        <w:t>Heritage</w:t>
      </w:r>
      <w:r w:rsidRPr="00651A81">
        <w:t xml:space="preserve"> activities</w:t>
      </w:r>
      <w:r w:rsidR="00702240">
        <w:t xml:space="preserve"> (recurrent and capital)</w:t>
      </w:r>
      <w:r w:rsidRPr="00651A81">
        <w:t xml:space="preserve"> </w:t>
      </w:r>
      <w:r w:rsidR="002C2915">
        <w:t>increased 6</w:t>
      </w:r>
      <w:r w:rsidRPr="00651A81">
        <w:t>% (or $</w:t>
      </w:r>
      <w:r w:rsidR="002C2915">
        <w:t>49.6</w:t>
      </w:r>
      <w:r w:rsidRPr="00651A81">
        <w:t>m) to $</w:t>
      </w:r>
      <w:r>
        <w:t>83</w:t>
      </w:r>
      <w:r w:rsidR="00E05547">
        <w:t>6.</w:t>
      </w:r>
      <w:r w:rsidR="00E05547" w:rsidRPr="0056100A">
        <w:t>0</w:t>
      </w:r>
      <w:r w:rsidRPr="0056100A">
        <w:t>m</w:t>
      </w:r>
      <w:r w:rsidR="0042200C" w:rsidRPr="0056100A">
        <w:t xml:space="preserve">, </w:t>
      </w:r>
      <w:r w:rsidR="0042200C" w:rsidRPr="00927616">
        <w:t>including $63.</w:t>
      </w:r>
      <w:r w:rsidR="00F10884">
        <w:t>7</w:t>
      </w:r>
      <w:r w:rsidR="0042200C" w:rsidRPr="00927616">
        <w:t xml:space="preserve">m </w:t>
      </w:r>
      <w:r w:rsidR="00543FBB" w:rsidRPr="00927616">
        <w:t>targeted</w:t>
      </w:r>
      <w:r w:rsidR="00543FBB" w:rsidRPr="0056100A">
        <w:t xml:space="preserve"> </w:t>
      </w:r>
      <w:r w:rsidR="0042200C" w:rsidRPr="0056100A">
        <w:t>COVID support funding.</w:t>
      </w:r>
    </w:p>
    <w:p w14:paraId="39338D0C" w14:textId="7E5C96C2" w:rsidR="004C3CEC" w:rsidRDefault="00E05547" w:rsidP="004C3CEC">
      <w:r>
        <w:t xml:space="preserve">Expenditure on the categories of </w:t>
      </w:r>
      <w:r w:rsidR="004C3CEC" w:rsidRPr="00651A81">
        <w:rPr>
          <w:i/>
        </w:rPr>
        <w:t>Other museums and cultural heritage</w:t>
      </w:r>
      <w:r w:rsidR="004C3CEC" w:rsidRPr="00651A81">
        <w:t xml:space="preserve"> and </w:t>
      </w:r>
      <w:r w:rsidR="004C3CEC" w:rsidRPr="00651A81">
        <w:rPr>
          <w:i/>
        </w:rPr>
        <w:t>Art museums</w:t>
      </w:r>
      <w:r w:rsidR="004C3CEC" w:rsidRPr="00651A81">
        <w:t xml:space="preserve"> </w:t>
      </w:r>
      <w:r>
        <w:t>increased $30.1m and $17.9m respectively.</w:t>
      </w:r>
      <w:r w:rsidR="004C3CEC">
        <w:t xml:space="preserve"> </w:t>
      </w:r>
      <w:r w:rsidR="00702240">
        <w:t>F</w:t>
      </w:r>
      <w:r w:rsidR="004C3CEC">
        <w:t xml:space="preserve">unding for </w:t>
      </w:r>
      <w:r>
        <w:rPr>
          <w:i/>
          <w:iCs/>
        </w:rPr>
        <w:t>Archives</w:t>
      </w:r>
      <w:r w:rsidR="004C3CEC">
        <w:rPr>
          <w:i/>
          <w:iCs/>
        </w:rPr>
        <w:t xml:space="preserve"> </w:t>
      </w:r>
      <w:r w:rsidR="004C3CEC">
        <w:t>dropped $</w:t>
      </w:r>
      <w:r w:rsidR="002C2915">
        <w:t>3.2</w:t>
      </w:r>
      <w:r w:rsidR="004C3CEC">
        <w:t>m.</w:t>
      </w:r>
    </w:p>
    <w:p w14:paraId="09B6E0ED" w14:textId="5803C7D0" w:rsidR="004C3CEC" w:rsidRPr="00651A81" w:rsidRDefault="004C3CEC" w:rsidP="004C3CEC">
      <w:r w:rsidRPr="00651A81">
        <w:t>The categories</w:t>
      </w:r>
      <w:r>
        <w:t xml:space="preserve"> with the highest levels</w:t>
      </w:r>
      <w:r w:rsidRPr="00651A81">
        <w:t xml:space="preserve"> of </w:t>
      </w:r>
      <w:r w:rsidRPr="00651A81">
        <w:rPr>
          <w:i/>
        </w:rPr>
        <w:t>Heritage</w:t>
      </w:r>
      <w:r w:rsidRPr="00651A81">
        <w:t xml:space="preserve"> expenditure were </w:t>
      </w:r>
      <w:r w:rsidRPr="00651A81">
        <w:rPr>
          <w:i/>
        </w:rPr>
        <w:t>Other museums and cultural heritage</w:t>
      </w:r>
      <w:r w:rsidRPr="00651A81">
        <w:t xml:space="preserve"> with $4</w:t>
      </w:r>
      <w:r w:rsidR="00D85D65">
        <w:t>82.9</w:t>
      </w:r>
      <w:r w:rsidRPr="00651A81">
        <w:t>m</w:t>
      </w:r>
      <w:r>
        <w:t xml:space="preserve">, </w:t>
      </w:r>
      <w:r w:rsidRPr="00651A81">
        <w:t xml:space="preserve">followed by </w:t>
      </w:r>
      <w:r w:rsidRPr="00651A81">
        <w:rPr>
          <w:i/>
        </w:rPr>
        <w:t>Archives</w:t>
      </w:r>
      <w:r w:rsidRPr="00651A81">
        <w:t xml:space="preserve"> with $1</w:t>
      </w:r>
      <w:r w:rsidR="00D85D65">
        <w:t>40.7</w:t>
      </w:r>
      <w:r w:rsidRPr="00651A81">
        <w:t xml:space="preserve">m. </w:t>
      </w:r>
      <w:bookmarkStart w:id="4" w:name="_Hlk115943991"/>
    </w:p>
    <w:p w14:paraId="47DF9639" w14:textId="77777777" w:rsidR="004C3CEC" w:rsidRPr="00303AC1" w:rsidRDefault="004C3CEC" w:rsidP="004C3CEC">
      <w:pPr>
        <w:pStyle w:val="Tablefigureheading"/>
      </w:pPr>
      <w:bookmarkStart w:id="5" w:name="_Toc524533023"/>
      <w:r w:rsidRPr="00303AC1">
        <w:t xml:space="preserve">Figure 1. </w:t>
      </w:r>
      <w:r>
        <w:t>Australian</w:t>
      </w:r>
      <w:r w:rsidRPr="00303AC1">
        <w:t xml:space="preserve"> Government heritage expenditure</w:t>
      </w:r>
      <w:bookmarkEnd w:id="5"/>
    </w:p>
    <w:p w14:paraId="6792F666" w14:textId="32F2509A" w:rsidR="004C3CEC" w:rsidRDefault="004C3CEC" w:rsidP="004C3CEC">
      <w:r w:rsidRPr="005A3BC5">
        <w:t xml:space="preserve"> </w:t>
      </w:r>
      <w:r w:rsidR="00A35033">
        <w:rPr>
          <w:noProof/>
        </w:rPr>
        <w:drawing>
          <wp:inline distT="0" distB="0" distL="0" distR="0" wp14:anchorId="1C38C925" wp14:editId="5151CEED">
            <wp:extent cx="3968222" cy="1981200"/>
            <wp:effectExtent l="0" t="0" r="0" b="0"/>
            <wp:docPr id="2" name="Picture 2" descr="Figure 1. Australian Government heritage expenditure.&#10;A column graph compares expenditure across the heritage categories of Art museums, Other museums and cultural heritage, Libraries and Archives between the financial years of 2017-18, 2019-20, and 2020-21 for the Australian Government.&#10;2017-18: Art museums $88.0m, Other museums &amp; cultural heritage $290.3m, Libraries $110.8m, Archives $122.1m.&#10;2019-20: Art museums $93.9m, Other museums &amp; cultural heritage $452.8m, Libraries $95.8m, Archives $143.9m.&#10;2020-21: Art museums $111.8m, Other museums &amp; cultural heritage $482.9m, Libraries $100.7m, Archives $140.7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13243" cy="2003678"/>
                    </a:xfrm>
                    <a:prstGeom prst="rect">
                      <a:avLst/>
                    </a:prstGeom>
                    <a:noFill/>
                  </pic:spPr>
                </pic:pic>
              </a:graphicData>
            </a:graphic>
          </wp:inline>
        </w:drawing>
      </w:r>
    </w:p>
    <w:p w14:paraId="0C03A443" w14:textId="77777777" w:rsidR="004C3CEC" w:rsidRDefault="004C3CEC" w:rsidP="004C3CEC">
      <w:pPr>
        <w:pStyle w:val="Heading3"/>
      </w:pPr>
      <w:bookmarkStart w:id="6" w:name="_Toc524532895"/>
      <w:bookmarkStart w:id="7" w:name="_Toc521427134"/>
      <w:bookmarkStart w:id="8" w:name="_Toc521318948"/>
      <w:bookmarkEnd w:id="4"/>
      <w:r>
        <w:lastRenderedPageBreak/>
        <w:t>Arts</w:t>
      </w:r>
      <w:bookmarkEnd w:id="6"/>
      <w:bookmarkEnd w:id="7"/>
      <w:bookmarkEnd w:id="8"/>
    </w:p>
    <w:p w14:paraId="02C165D3" w14:textId="386E6742" w:rsidR="004C3CEC" w:rsidRDefault="004C3CEC" w:rsidP="00FD1F4F">
      <w:r>
        <w:t>T</w:t>
      </w:r>
      <w:r w:rsidRPr="009D2D80">
        <w:t xml:space="preserve">he Australian Government </w:t>
      </w:r>
      <w:r>
        <w:t xml:space="preserve">allocated </w:t>
      </w:r>
      <w:r w:rsidR="00793983">
        <w:t xml:space="preserve">more than </w:t>
      </w:r>
      <w:r>
        <w:t xml:space="preserve">double the funding </w:t>
      </w:r>
      <w:r w:rsidRPr="009D2D80">
        <w:t xml:space="preserve">to </w:t>
      </w:r>
      <w:r w:rsidRPr="009D2D80">
        <w:rPr>
          <w:i/>
        </w:rPr>
        <w:t>Arts</w:t>
      </w:r>
      <w:r w:rsidRPr="009D2D80">
        <w:t xml:space="preserve"> activities</w:t>
      </w:r>
      <w:r>
        <w:t xml:space="preserve">, compared to </w:t>
      </w:r>
      <w:r w:rsidRPr="00C85FB6">
        <w:rPr>
          <w:i/>
          <w:iCs/>
        </w:rPr>
        <w:t>Heritage</w:t>
      </w:r>
      <w:r>
        <w:t xml:space="preserve"> activities (</w:t>
      </w:r>
      <w:r w:rsidR="00793983">
        <w:t>72</w:t>
      </w:r>
      <w:r>
        <w:t xml:space="preserve">% and </w:t>
      </w:r>
      <w:r w:rsidR="00793983">
        <w:t>28</w:t>
      </w:r>
      <w:r>
        <w:t>% respectively).</w:t>
      </w:r>
    </w:p>
    <w:p w14:paraId="506C0E11" w14:textId="7E36FFB4" w:rsidR="004C3CEC" w:rsidRPr="0056100A" w:rsidRDefault="004C3CEC" w:rsidP="00FD1F4F">
      <w:r w:rsidRPr="00EA4516">
        <w:t>Funds for</w:t>
      </w:r>
      <w:r w:rsidR="00702240">
        <w:t xml:space="preserve"> Total</w:t>
      </w:r>
      <w:r w:rsidRPr="00EA4516">
        <w:t xml:space="preserve"> </w:t>
      </w:r>
      <w:r w:rsidRPr="00EA4516">
        <w:rPr>
          <w:i/>
        </w:rPr>
        <w:t>Arts</w:t>
      </w:r>
      <w:r w:rsidRPr="00EA4516">
        <w:t xml:space="preserve"> activities</w:t>
      </w:r>
      <w:r w:rsidR="00702240">
        <w:t xml:space="preserve"> (recurrent and capital)</w:t>
      </w:r>
      <w:r>
        <w:t xml:space="preserve"> </w:t>
      </w:r>
      <w:r w:rsidR="006E76A7">
        <w:t>in</w:t>
      </w:r>
      <w:r w:rsidRPr="00EA4516">
        <w:t xml:space="preserve">creased </w:t>
      </w:r>
      <w:r w:rsidR="006E76A7">
        <w:t>11</w:t>
      </w:r>
      <w:r w:rsidRPr="00EA4516">
        <w:t>% (or $</w:t>
      </w:r>
      <w:r w:rsidR="006E76A7">
        <w:t>2</w:t>
      </w:r>
      <w:r w:rsidR="00874BC2">
        <w:t>11.9</w:t>
      </w:r>
      <w:r w:rsidRPr="00EA4516">
        <w:t>m) to $</w:t>
      </w:r>
      <w:r w:rsidR="006E76A7" w:rsidRPr="0056100A">
        <w:t>2,131.</w:t>
      </w:r>
      <w:r w:rsidR="00874BC2" w:rsidRPr="0056100A">
        <w:t>0</w:t>
      </w:r>
      <w:r w:rsidRPr="0056100A">
        <w:t>m</w:t>
      </w:r>
      <w:r w:rsidR="002F56C6" w:rsidRPr="0056100A">
        <w:t>, including $</w:t>
      </w:r>
      <w:r w:rsidR="002F56C6" w:rsidRPr="00927616">
        <w:t>16</w:t>
      </w:r>
      <w:r w:rsidR="00927616">
        <w:t>9.</w:t>
      </w:r>
      <w:r w:rsidR="00F10884">
        <w:t>0</w:t>
      </w:r>
      <w:r w:rsidR="002F56C6" w:rsidRPr="00927616">
        <w:t>m</w:t>
      </w:r>
      <w:r w:rsidR="002F56C6" w:rsidRPr="0056100A">
        <w:t xml:space="preserve"> </w:t>
      </w:r>
      <w:r w:rsidR="006F139D" w:rsidRPr="0056100A">
        <w:t xml:space="preserve">targeted </w:t>
      </w:r>
      <w:r w:rsidR="002F56C6" w:rsidRPr="0056100A">
        <w:t>COVID support funding.</w:t>
      </w:r>
    </w:p>
    <w:p w14:paraId="5C6487C8" w14:textId="30165095" w:rsidR="004C3CEC" w:rsidRDefault="004C3CEC" w:rsidP="004C3CEC">
      <w:r w:rsidRPr="00EA4516">
        <w:t xml:space="preserve">The main contributors to this </w:t>
      </w:r>
      <w:r w:rsidR="00702240">
        <w:t xml:space="preserve">increase </w:t>
      </w:r>
      <w:r w:rsidRPr="00EA4516">
        <w:t xml:space="preserve">were </w:t>
      </w:r>
      <w:r w:rsidR="00584977" w:rsidRPr="00584977">
        <w:rPr>
          <w:i/>
          <w:iCs/>
        </w:rPr>
        <w:t>Music</w:t>
      </w:r>
      <w:r w:rsidR="00584977">
        <w:t xml:space="preserve"> (</w:t>
      </w:r>
      <w:r w:rsidR="00584977" w:rsidRPr="00303AC1">
        <w:t>↑</w:t>
      </w:r>
      <w:r w:rsidR="00584977">
        <w:t>$53.8m)</w:t>
      </w:r>
      <w:r w:rsidRPr="00EA4516">
        <w:t xml:space="preserve">, </w:t>
      </w:r>
      <w:r w:rsidR="00584977" w:rsidRPr="00A24E3C">
        <w:rPr>
          <w:i/>
          <w:iCs/>
        </w:rPr>
        <w:t xml:space="preserve">Film and video production and </w:t>
      </w:r>
      <w:r w:rsidR="00A24E3C">
        <w:rPr>
          <w:i/>
          <w:iCs/>
        </w:rPr>
        <w:t xml:space="preserve">distribution </w:t>
      </w:r>
      <w:r w:rsidR="00A24E3C">
        <w:t>(</w:t>
      </w:r>
      <w:r w:rsidR="00A24E3C" w:rsidRPr="00303AC1">
        <w:t>↑</w:t>
      </w:r>
      <w:r w:rsidR="00A24E3C">
        <w:t>$40.3m)</w:t>
      </w:r>
      <w:r w:rsidR="00A24E3C" w:rsidRPr="00EA4516">
        <w:t xml:space="preserve">, </w:t>
      </w:r>
      <w:r w:rsidR="00A24E3C" w:rsidRPr="00EA4516">
        <w:rPr>
          <w:i/>
        </w:rPr>
        <w:t>Radio and television services</w:t>
      </w:r>
      <w:r w:rsidR="00A24E3C" w:rsidRPr="00EA4516">
        <w:t xml:space="preserve"> </w:t>
      </w:r>
      <w:r w:rsidR="00A24E3C">
        <w:t>(</w:t>
      </w:r>
      <w:r w:rsidR="00A24E3C" w:rsidRPr="00303AC1">
        <w:t>↑</w:t>
      </w:r>
      <w:r w:rsidR="00A24E3C" w:rsidRPr="00EA4516">
        <w:t>$</w:t>
      </w:r>
      <w:r w:rsidR="00A24E3C">
        <w:t>3</w:t>
      </w:r>
      <w:r w:rsidR="00DB7707">
        <w:t>3.8</w:t>
      </w:r>
      <w:r w:rsidR="00A24E3C" w:rsidRPr="00EA4516">
        <w:t>m</w:t>
      </w:r>
      <w:r w:rsidR="00A24E3C">
        <w:t>), and</w:t>
      </w:r>
      <w:r w:rsidR="00A24E3C">
        <w:rPr>
          <w:i/>
        </w:rPr>
        <w:t xml:space="preserve"> </w:t>
      </w:r>
      <w:r w:rsidRPr="00EA4516">
        <w:rPr>
          <w:i/>
        </w:rPr>
        <w:t>Theatre</w:t>
      </w:r>
      <w:r w:rsidRPr="00EA4516">
        <w:t xml:space="preserve"> </w:t>
      </w:r>
      <w:r>
        <w:t>(</w:t>
      </w:r>
      <w:r w:rsidR="00A24E3C" w:rsidRPr="00303AC1">
        <w:t>↑</w:t>
      </w:r>
      <w:r w:rsidRPr="00EA4516">
        <w:t>$</w:t>
      </w:r>
      <w:r w:rsidR="00A24E3C">
        <w:t>25.8</w:t>
      </w:r>
      <w:r w:rsidRPr="00EA4516">
        <w:t>m</w:t>
      </w:r>
      <w:r>
        <w:t>)</w:t>
      </w:r>
      <w:r w:rsidR="00A24E3C">
        <w:t>.</w:t>
      </w:r>
    </w:p>
    <w:p w14:paraId="4FE64925" w14:textId="49F16895" w:rsidR="004C3CEC" w:rsidRPr="00EA4516" w:rsidRDefault="004C3CEC" w:rsidP="004C3CEC">
      <w:r w:rsidRPr="00EA4516">
        <w:t>Funding for</w:t>
      </w:r>
      <w:r w:rsidRPr="00EA4516">
        <w:rPr>
          <w:i/>
        </w:rPr>
        <w:t xml:space="preserve"> Radio and television services</w:t>
      </w:r>
      <w:r w:rsidRPr="00EA4516">
        <w:t xml:space="preserve"> ($</w:t>
      </w:r>
      <w:r>
        <w:t>1,</w:t>
      </w:r>
      <w:r w:rsidR="00C90C5B">
        <w:t>418.</w:t>
      </w:r>
      <w:r w:rsidR="005B0A5C">
        <w:t>1</w:t>
      </w:r>
      <w:r w:rsidRPr="00EA4516">
        <w:t>m)</w:t>
      </w:r>
      <w:r w:rsidR="00702240">
        <w:t xml:space="preserve"> </w:t>
      </w:r>
      <w:r w:rsidRPr="00EA4516">
        <w:t xml:space="preserve">accounted </w:t>
      </w:r>
      <w:r w:rsidRPr="00AC5D78">
        <w:t xml:space="preserve">for </w:t>
      </w:r>
      <w:r w:rsidR="00C90C5B">
        <w:t>two-thirds</w:t>
      </w:r>
      <w:r w:rsidRPr="00EA4516">
        <w:t xml:space="preserve"> (or </w:t>
      </w:r>
      <w:r w:rsidR="00C90C5B">
        <w:t>67</w:t>
      </w:r>
      <w:r w:rsidRPr="00EA4516">
        <w:t xml:space="preserve">%) of all expenditure by the Australian Government on </w:t>
      </w:r>
      <w:r w:rsidRPr="00EA4516">
        <w:rPr>
          <w:i/>
        </w:rPr>
        <w:t>Arts</w:t>
      </w:r>
      <w:r w:rsidRPr="00EA4516">
        <w:t xml:space="preserve"> activities.</w:t>
      </w:r>
    </w:p>
    <w:p w14:paraId="5090F3F2" w14:textId="4261E9A7" w:rsidR="004C3CEC" w:rsidRPr="00EA4516" w:rsidRDefault="004C3CEC" w:rsidP="001427BB">
      <w:r w:rsidRPr="00EA4516">
        <w:t xml:space="preserve">Other main categories of </w:t>
      </w:r>
      <w:r w:rsidRPr="00EA4516">
        <w:rPr>
          <w:i/>
        </w:rPr>
        <w:t>Arts</w:t>
      </w:r>
      <w:r w:rsidRPr="00EA4516">
        <w:t xml:space="preserve"> funding were:</w:t>
      </w:r>
    </w:p>
    <w:p w14:paraId="63EB6D25" w14:textId="4FAEC811" w:rsidR="004C3CEC" w:rsidRPr="00BD7E2E" w:rsidRDefault="004C3CEC" w:rsidP="004C3CEC">
      <w:pPr>
        <w:pStyle w:val="Bulletlevel1"/>
      </w:pPr>
      <w:r w:rsidRPr="00BD7E2E">
        <w:rPr>
          <w:i/>
        </w:rPr>
        <w:t>Film and video production and distribution</w:t>
      </w:r>
      <w:r w:rsidRPr="00BD7E2E">
        <w:t>—$1</w:t>
      </w:r>
      <w:r w:rsidR="00C90C5B">
        <w:t>59.8</w:t>
      </w:r>
      <w:r w:rsidRPr="00BD7E2E">
        <w:t>m</w:t>
      </w:r>
    </w:p>
    <w:p w14:paraId="5DE9005D" w14:textId="67A64109" w:rsidR="006121CD" w:rsidRDefault="004C3CEC" w:rsidP="00894003">
      <w:pPr>
        <w:pStyle w:val="Bulletlevel1"/>
      </w:pPr>
      <w:r w:rsidRPr="00BD7E2E">
        <w:rPr>
          <w:i/>
        </w:rPr>
        <w:t>Music</w:t>
      </w:r>
      <w:r w:rsidRPr="00BD7E2E">
        <w:t>—$</w:t>
      </w:r>
      <w:r w:rsidR="00C90C5B">
        <w:t>132.4</w:t>
      </w:r>
      <w:r w:rsidRPr="00BD7E2E">
        <w:t>m</w:t>
      </w:r>
    </w:p>
    <w:p w14:paraId="7019E89C" w14:textId="2CFD898E" w:rsidR="00C52AC3" w:rsidRPr="00C52AC3" w:rsidRDefault="00C52AC3" w:rsidP="00894003">
      <w:pPr>
        <w:pStyle w:val="Bulletlevel1"/>
      </w:pPr>
      <w:r w:rsidRPr="00C52AC3">
        <w:rPr>
          <w:i/>
          <w:iCs/>
        </w:rPr>
        <w:t>Arts administration</w:t>
      </w:r>
      <w:r w:rsidRPr="00C52AC3">
        <w:t>—$68.4m</w:t>
      </w:r>
    </w:p>
    <w:p w14:paraId="42D6792A" w14:textId="6658FC3A" w:rsidR="004C3CEC" w:rsidRPr="00BD7E2E" w:rsidRDefault="00C90C5B" w:rsidP="00C90C5B">
      <w:pPr>
        <w:pStyle w:val="Bulletlevel1"/>
      </w:pPr>
      <w:r w:rsidRPr="00EA4516">
        <w:rPr>
          <w:i/>
        </w:rPr>
        <w:t>Visual arts and crafts</w:t>
      </w:r>
      <w:r w:rsidRPr="00EA4516">
        <w:t>—$</w:t>
      </w:r>
      <w:r>
        <w:t>60.0</w:t>
      </w:r>
      <w:r w:rsidRPr="00EA4516">
        <w:t>m</w:t>
      </w:r>
    </w:p>
    <w:p w14:paraId="38F31215" w14:textId="3BCC7BA6" w:rsidR="004C3CEC" w:rsidRPr="00EA4516" w:rsidRDefault="004C3CEC" w:rsidP="004C3CEC">
      <w:pPr>
        <w:pStyle w:val="Bulletlevel1"/>
      </w:pPr>
      <w:r w:rsidRPr="00EA4516">
        <w:rPr>
          <w:i/>
        </w:rPr>
        <w:t>Arts education</w:t>
      </w:r>
      <w:r w:rsidRPr="00EA4516">
        <w:t>—$5</w:t>
      </w:r>
      <w:r w:rsidR="00C90C5B">
        <w:t>4.5</w:t>
      </w:r>
      <w:r w:rsidRPr="00EA4516">
        <w:t>m</w:t>
      </w:r>
    </w:p>
    <w:p w14:paraId="65313D33" w14:textId="061623D9" w:rsidR="004C3CEC" w:rsidRDefault="00C90C5B" w:rsidP="004C3CEC">
      <w:pPr>
        <w:pStyle w:val="Bulletlevel1"/>
      </w:pPr>
      <w:r>
        <w:rPr>
          <w:i/>
        </w:rPr>
        <w:t>Theatre</w:t>
      </w:r>
      <w:r w:rsidR="004C3CEC" w:rsidRPr="00EA4516">
        <w:t>—$</w:t>
      </w:r>
      <w:r>
        <w:t>51.2</w:t>
      </w:r>
      <w:r w:rsidR="004C3CEC" w:rsidRPr="00EA4516">
        <w:t>m</w:t>
      </w:r>
      <w:r w:rsidR="004C3CEC">
        <w:t>.</w:t>
      </w:r>
    </w:p>
    <w:p w14:paraId="4719D424" w14:textId="5B857B9C" w:rsidR="009C0F82" w:rsidRDefault="004C3CEC" w:rsidP="009C205D">
      <w:pPr>
        <w:pStyle w:val="Tablefigureheading"/>
      </w:pPr>
      <w:bookmarkStart w:id="9" w:name="_Toc524533024"/>
      <w:bookmarkStart w:id="10" w:name="_Hlk115944066"/>
      <w:r w:rsidRPr="00303AC1">
        <w:t xml:space="preserve">Figure 2. </w:t>
      </w:r>
      <w:r>
        <w:t>Australian</w:t>
      </w:r>
      <w:r w:rsidRPr="00303AC1">
        <w:t xml:space="preserve"> Government</w:t>
      </w:r>
      <w:r>
        <w:t xml:space="preserve"> </w:t>
      </w:r>
      <w:r w:rsidRPr="00303AC1">
        <w:t>arts expenditure</w:t>
      </w:r>
      <w:bookmarkEnd w:id="9"/>
      <w:r w:rsidR="009C205D" w:rsidRPr="00303AC1">
        <w:t>,</w:t>
      </w:r>
      <w:r w:rsidR="009C205D">
        <w:t xml:space="preserve"> </w:t>
      </w:r>
      <w:r w:rsidR="009C205D" w:rsidRPr="00303AC1">
        <w:t>by selected categories</w:t>
      </w:r>
    </w:p>
    <w:p w14:paraId="50B2A7A0" w14:textId="31F7810E" w:rsidR="004C3CEC" w:rsidRDefault="00003F14" w:rsidP="007B213D">
      <w:pPr>
        <w:rPr>
          <w:lang w:eastAsia="en-US"/>
        </w:rPr>
      </w:pPr>
      <w:r>
        <w:rPr>
          <w:noProof/>
          <w:lang w:eastAsia="en-US"/>
        </w:rPr>
        <w:drawing>
          <wp:inline distT="0" distB="0" distL="0" distR="0" wp14:anchorId="4BEFB687" wp14:editId="64B81C1C">
            <wp:extent cx="4676140" cy="2554605"/>
            <wp:effectExtent l="0" t="0" r="0" b="0"/>
            <wp:docPr id="3" name="Picture 3" descr="Figure 2. Australian Government arts expenditure, by selected categories.&#10;A column graph compares expenditure across selected arts categories of Music, Theatre, Visual arts and crafts, Radio and television services, Film and video production and distribution, Arts education and Arts administration between the financial years of 2017-18, 2019-20, and 2020-21 for the Australian Government.&#10;2017-18: Music $74.8m, Theatre $70.3m, Visual arts &amp; crafts $50.3m, Radio &amp; television services $1,418.5m, Film &amp; video production &amp; distribution $110.9m, Arts education $50.0m, Arts administration $59.1m. &#10;2019-20: Music $78.6m, Theatre $25.4m, Visual arts &amp; crafts $42.9m, Radio &amp; television services $1,384.3m, Film &amp; video production &amp; distribution $119.5m, Arts education $50.7m, Arts administration $68.1m.  &#10;2020-21: Music $132.4m, Theatre $51.2m, Visual arts &amp; crafts $60.0m, Radio &amp; television services $1,418.1m, Film &amp; video production &amp; distribution $159.8m, Arts education $54.5m, Arts administration $68.4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76140" cy="2554605"/>
                    </a:xfrm>
                    <a:prstGeom prst="rect">
                      <a:avLst/>
                    </a:prstGeom>
                    <a:noFill/>
                  </pic:spPr>
                </pic:pic>
              </a:graphicData>
            </a:graphic>
          </wp:inline>
        </w:drawing>
      </w:r>
    </w:p>
    <w:p w14:paraId="5C6B1850" w14:textId="77777777" w:rsidR="004C3CEC" w:rsidRPr="00EB294E" w:rsidRDefault="004C3CEC" w:rsidP="004C3CEC">
      <w:pPr>
        <w:pStyle w:val="Heading3"/>
        <w:rPr>
          <w:color w:val="auto"/>
        </w:rPr>
      </w:pPr>
      <w:bookmarkStart w:id="11" w:name="_Toc524532902"/>
      <w:bookmarkStart w:id="12" w:name="_Toc521427141"/>
      <w:bookmarkEnd w:id="10"/>
      <w:r>
        <w:t>Recurrent expenditure</w:t>
      </w:r>
      <w:bookmarkEnd w:id="11"/>
      <w:bookmarkEnd w:id="12"/>
    </w:p>
    <w:p w14:paraId="13909A25" w14:textId="7D300B97" w:rsidR="004C3CEC" w:rsidRPr="00AC5D78" w:rsidRDefault="004C3CEC" w:rsidP="00FD1F4F">
      <w:r w:rsidRPr="00EB294E">
        <w:t xml:space="preserve">Total recurrent expenditure rose </w:t>
      </w:r>
      <w:r w:rsidR="002445E8">
        <w:t>9</w:t>
      </w:r>
      <w:r w:rsidRPr="00EB294E">
        <w:t>% (or $</w:t>
      </w:r>
      <w:r w:rsidR="002445E8">
        <w:t>227.2</w:t>
      </w:r>
      <w:r w:rsidRPr="00EB294E">
        <w:t>m) to $</w:t>
      </w:r>
      <w:r w:rsidR="006121CD">
        <w:t>2,709.</w:t>
      </w:r>
      <w:r w:rsidR="002445E8">
        <w:t>5</w:t>
      </w:r>
      <w:r w:rsidRPr="00EB294E">
        <w:t>m and accounted for 9</w:t>
      </w:r>
      <w:r w:rsidR="006121CD">
        <w:t>1</w:t>
      </w:r>
      <w:r w:rsidRPr="00EB294E">
        <w:t xml:space="preserve">% of </w:t>
      </w:r>
      <w:r>
        <w:t xml:space="preserve">total </w:t>
      </w:r>
      <w:r w:rsidRPr="00EB294E">
        <w:t xml:space="preserve">funded </w:t>
      </w:r>
      <w:r w:rsidRPr="002454AC">
        <w:t>cultural expenditure.</w:t>
      </w:r>
      <w:r>
        <w:t xml:space="preserve"> </w:t>
      </w:r>
    </w:p>
    <w:p w14:paraId="2D763231" w14:textId="6F780996" w:rsidR="004C3CEC" w:rsidRPr="00EA4516" w:rsidRDefault="004C3CEC" w:rsidP="00FD1F4F">
      <w:r w:rsidRPr="00EA4516">
        <w:t xml:space="preserve">The </w:t>
      </w:r>
      <w:r>
        <w:t>highest</w:t>
      </w:r>
      <w:r w:rsidRPr="00EA4516">
        <w:t xml:space="preserve"> recurrent expenditure was for </w:t>
      </w:r>
      <w:r w:rsidRPr="00EA4516">
        <w:rPr>
          <w:i/>
        </w:rPr>
        <w:t>Radio and television services</w:t>
      </w:r>
      <w:r>
        <w:t xml:space="preserve"> </w:t>
      </w:r>
      <w:r w:rsidRPr="009A77C4">
        <w:t>($1</w:t>
      </w:r>
      <w:r>
        <w:t>,3</w:t>
      </w:r>
      <w:r w:rsidR="006121CD">
        <w:t>42.</w:t>
      </w:r>
      <w:r w:rsidR="009F3241">
        <w:t>5</w:t>
      </w:r>
      <w:r w:rsidRPr="00EA4516">
        <w:t>m</w:t>
      </w:r>
      <w:r>
        <w:t>),</w:t>
      </w:r>
      <w:r w:rsidRPr="00EA4516">
        <w:t xml:space="preserve"> followed by</w:t>
      </w:r>
      <w:r w:rsidRPr="00EA4516">
        <w:rPr>
          <w:i/>
        </w:rPr>
        <w:t xml:space="preserve"> Other museums and cultural heritage</w:t>
      </w:r>
      <w:r w:rsidRPr="00EA4516">
        <w:t xml:space="preserve"> ($</w:t>
      </w:r>
      <w:r>
        <w:t>3</w:t>
      </w:r>
      <w:r w:rsidR="008806F7">
        <w:t>59.7</w:t>
      </w:r>
      <w:r w:rsidRPr="00EA4516">
        <w:t>m).</w:t>
      </w:r>
    </w:p>
    <w:p w14:paraId="2A7056D9" w14:textId="77777777" w:rsidR="004C3CEC" w:rsidRPr="00EA4516" w:rsidRDefault="004C3CEC" w:rsidP="00FD1F4F">
      <w:pPr>
        <w:keepNext/>
      </w:pPr>
      <w:bookmarkStart w:id="13" w:name="_GoBack"/>
      <w:r w:rsidRPr="00EA4516">
        <w:lastRenderedPageBreak/>
        <w:t>Other main categories of recurrent expenditure were:</w:t>
      </w:r>
    </w:p>
    <w:bookmarkEnd w:id="13"/>
    <w:p w14:paraId="32C07C87" w14:textId="6A23B313" w:rsidR="004C3CEC" w:rsidRPr="00EA4516" w:rsidRDefault="008806F7" w:rsidP="00FD1F4F">
      <w:pPr>
        <w:pStyle w:val="Bulletlevel1"/>
        <w:keepNext/>
        <w:numPr>
          <w:ilvl w:val="0"/>
          <w:numId w:val="9"/>
        </w:numPr>
        <w:ind w:left="567" w:hanging="567"/>
      </w:pPr>
      <w:r w:rsidRPr="00EA4516">
        <w:rPr>
          <w:i/>
        </w:rPr>
        <w:t>Film and video production and distribution</w:t>
      </w:r>
      <w:r w:rsidR="004C3CEC" w:rsidRPr="00EA4516">
        <w:t>—$</w:t>
      </w:r>
      <w:r>
        <w:t>159.8</w:t>
      </w:r>
      <w:r w:rsidR="004C3CEC" w:rsidRPr="00EA4516">
        <w:t>m</w:t>
      </w:r>
    </w:p>
    <w:p w14:paraId="1D761BA4" w14:textId="40E6BDC2" w:rsidR="004C3CEC" w:rsidRDefault="008806F7" w:rsidP="00FD1F4F">
      <w:pPr>
        <w:pStyle w:val="Bulletlevel1"/>
        <w:keepNext/>
        <w:numPr>
          <w:ilvl w:val="0"/>
          <w:numId w:val="9"/>
        </w:numPr>
        <w:spacing w:before="240"/>
        <w:ind w:left="567" w:hanging="567"/>
      </w:pPr>
      <w:r w:rsidRPr="00EA4516">
        <w:rPr>
          <w:i/>
        </w:rPr>
        <w:t>Music</w:t>
      </w:r>
      <w:r w:rsidR="004C3CEC" w:rsidRPr="00EA4516">
        <w:t>—$</w:t>
      </w:r>
      <w:r>
        <w:t>132.2</w:t>
      </w:r>
      <w:r w:rsidR="004C3CEC" w:rsidRPr="00EA4516">
        <w:t>m</w:t>
      </w:r>
    </w:p>
    <w:p w14:paraId="570F18D3" w14:textId="4D703E68" w:rsidR="004C3CEC" w:rsidRPr="00EA4516" w:rsidRDefault="008806F7" w:rsidP="00FD1F4F">
      <w:pPr>
        <w:pStyle w:val="Bulletlevel1"/>
        <w:keepNext/>
        <w:numPr>
          <w:ilvl w:val="0"/>
          <w:numId w:val="9"/>
        </w:numPr>
        <w:spacing w:before="240"/>
        <w:ind w:left="567" w:hanging="567"/>
      </w:pPr>
      <w:r w:rsidRPr="00EA4516">
        <w:rPr>
          <w:i/>
        </w:rPr>
        <w:t>Archives</w:t>
      </w:r>
      <w:r w:rsidR="004C3CEC" w:rsidRPr="00EA4516">
        <w:t>—$</w:t>
      </w:r>
      <w:r>
        <w:t>130.9</w:t>
      </w:r>
      <w:r w:rsidR="004C3CEC" w:rsidRPr="00EA4516">
        <w:t>m</w:t>
      </w:r>
    </w:p>
    <w:p w14:paraId="793843F8" w14:textId="3DA8E453" w:rsidR="004C3CEC" w:rsidRDefault="008806F7" w:rsidP="00FD1F4F">
      <w:pPr>
        <w:pStyle w:val="Bulletlevel1"/>
        <w:keepNext/>
        <w:numPr>
          <w:ilvl w:val="0"/>
          <w:numId w:val="9"/>
        </w:numPr>
        <w:spacing w:before="240"/>
        <w:ind w:left="567" w:hanging="567"/>
      </w:pPr>
      <w:r w:rsidRPr="00EA4516">
        <w:rPr>
          <w:i/>
        </w:rPr>
        <w:t>Libraries</w:t>
      </w:r>
      <w:r w:rsidR="004C3CEC" w:rsidRPr="00EA4516">
        <w:t>—$</w:t>
      </w:r>
      <w:r>
        <w:t>89.0</w:t>
      </w:r>
      <w:r w:rsidR="004C3CEC" w:rsidRPr="00EA4516">
        <w:t>m</w:t>
      </w:r>
    </w:p>
    <w:p w14:paraId="7E9481D1" w14:textId="22D42A32" w:rsidR="004C3CEC" w:rsidRPr="00BD7E2E" w:rsidRDefault="008806F7" w:rsidP="004C3CEC">
      <w:pPr>
        <w:pStyle w:val="Bulletlevel1"/>
        <w:numPr>
          <w:ilvl w:val="0"/>
          <w:numId w:val="9"/>
        </w:numPr>
        <w:spacing w:before="240"/>
        <w:ind w:left="567" w:hanging="567"/>
      </w:pPr>
      <w:r w:rsidRPr="00BD7E2E">
        <w:rPr>
          <w:i/>
        </w:rPr>
        <w:t>Art museums</w:t>
      </w:r>
      <w:r w:rsidR="004C3CEC" w:rsidRPr="00BD7E2E">
        <w:t>—$</w:t>
      </w:r>
      <w:r w:rsidR="006C0F02">
        <w:t>82.8</w:t>
      </w:r>
      <w:r w:rsidR="004C3CEC" w:rsidRPr="00BD7E2E">
        <w:t>m</w:t>
      </w:r>
    </w:p>
    <w:p w14:paraId="22453187" w14:textId="134C06EB" w:rsidR="004C3CEC" w:rsidRPr="00BD7E2E" w:rsidRDefault="008806F7" w:rsidP="004C3CEC">
      <w:pPr>
        <w:pStyle w:val="Bulletlevel1"/>
        <w:numPr>
          <w:ilvl w:val="0"/>
          <w:numId w:val="9"/>
        </w:numPr>
        <w:spacing w:before="240"/>
        <w:ind w:left="567" w:hanging="567"/>
      </w:pPr>
      <w:r w:rsidRPr="00BD7E2E">
        <w:rPr>
          <w:i/>
        </w:rPr>
        <w:t>Arts administration</w:t>
      </w:r>
      <w:r w:rsidR="004C3CEC" w:rsidRPr="00BD7E2E">
        <w:t>—$</w:t>
      </w:r>
      <w:r w:rsidR="006C0F02">
        <w:t>64.4</w:t>
      </w:r>
      <w:r w:rsidR="004C3CEC" w:rsidRPr="00BD7E2E">
        <w:t>m</w:t>
      </w:r>
    </w:p>
    <w:p w14:paraId="5389D299" w14:textId="2700317B" w:rsidR="004C3CEC" w:rsidRPr="00BD7E2E" w:rsidRDefault="008806F7" w:rsidP="004C3CEC">
      <w:pPr>
        <w:pStyle w:val="Bulletlevel1"/>
        <w:numPr>
          <w:ilvl w:val="0"/>
          <w:numId w:val="9"/>
        </w:numPr>
        <w:spacing w:before="240"/>
        <w:ind w:left="567" w:hanging="567"/>
      </w:pPr>
      <w:r>
        <w:rPr>
          <w:i/>
        </w:rPr>
        <w:t>Visual arts and crafts</w:t>
      </w:r>
      <w:r w:rsidR="004C3CEC" w:rsidRPr="00BD7E2E">
        <w:t>—$</w:t>
      </w:r>
      <w:r>
        <w:t>57.9</w:t>
      </w:r>
      <w:r w:rsidR="004C3CEC" w:rsidRPr="00BD7E2E">
        <w:t>m.</w:t>
      </w:r>
    </w:p>
    <w:p w14:paraId="69610727" w14:textId="77777777" w:rsidR="004C3CEC" w:rsidRPr="00303AC1" w:rsidRDefault="004C3CEC" w:rsidP="004C3CEC">
      <w:pPr>
        <w:pStyle w:val="Tablefigureheading"/>
      </w:pPr>
      <w:bookmarkStart w:id="14" w:name="_Hlk115944108"/>
      <w:r w:rsidRPr="00303AC1">
        <w:t xml:space="preserve">Figure 3. </w:t>
      </w:r>
      <w:r>
        <w:t>Australian</w:t>
      </w:r>
      <w:r w:rsidRPr="00303AC1">
        <w:t xml:space="preserve"> Government recurrent cultural expenditure, by selected categories</w:t>
      </w:r>
    </w:p>
    <w:p w14:paraId="4A5C5FA0" w14:textId="173A4A95" w:rsidR="004C3CEC" w:rsidRDefault="00433E5D" w:rsidP="004C3CEC">
      <w:r>
        <w:rPr>
          <w:noProof/>
        </w:rPr>
        <w:drawing>
          <wp:inline distT="0" distB="0" distL="0" distR="0" wp14:anchorId="175C5BE5" wp14:editId="4440F3D3">
            <wp:extent cx="4627245" cy="2268220"/>
            <wp:effectExtent l="0" t="0" r="1905" b="0"/>
            <wp:docPr id="10" name="Picture 10" descr="Figure 3. Australian Government recurrent cultural expenditure, by selected categories.&#10;A bar chart compares recurrent expenditure across selected categories of Art museums, Other museums and cultural heritage, Libraries, Archives, Music, Visual arts and crafts, Radio and television services, Film and video production and distribution and Arts administration between the financial years of 2017-18, 2019-20 and 2020-21 for the Australian Government.&#10;2017-18: Arts administration $59.1m, Film &amp; video production &amp; distribution $110.9m, Radio &amp; television services $1,356.7m, Visual arts &amp; crafts $39.3m, Music $74.3m, Archives $114.6m, Libraries $68.6m, Other museums &amp; cultural heritage $228.4m, Art museums $50.8m. &#10;2019-20: Arts administration $67.8m, Film &amp; video production &amp; distribution $119.4m, Radio &amp; television services $1,315.8m, Visual arts &amp; crafts $41.6m, Music $77.9m, Archives $134.7m, Libraries $81.1m, Other museums &amp; cultural heritage $328.3m, Art museums $62.4m.&#10;2020-21: Arts administration $64.4m, Film &amp; video production &amp; distribution $159.8m, Radio &amp; television services $1,342.5m, Visual arts &amp; crafts $57.9m, Music $132.2m, Archives $130.9m, Libraries $89.0m, Other museums &amp; cultural heritage $359.7m, Art museums $82.8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27245" cy="2268220"/>
                    </a:xfrm>
                    <a:prstGeom prst="rect">
                      <a:avLst/>
                    </a:prstGeom>
                    <a:noFill/>
                  </pic:spPr>
                </pic:pic>
              </a:graphicData>
            </a:graphic>
          </wp:inline>
        </w:drawing>
      </w:r>
    </w:p>
    <w:bookmarkEnd w:id="14"/>
    <w:p w14:paraId="54CD4BA6" w14:textId="77777777" w:rsidR="004C3CEC" w:rsidRDefault="004C3CEC" w:rsidP="004C3CEC">
      <w:pPr>
        <w:pStyle w:val="Heading3"/>
      </w:pPr>
      <w:r>
        <w:t>Capital expenditure</w:t>
      </w:r>
    </w:p>
    <w:p w14:paraId="62DC06EE" w14:textId="572F8AD3" w:rsidR="004C3CEC" w:rsidRPr="000C04DD" w:rsidRDefault="00702240" w:rsidP="00FD1F4F">
      <w:r>
        <w:t>Total c</w:t>
      </w:r>
      <w:r w:rsidR="004C3CEC" w:rsidRPr="000C04DD">
        <w:t>apital expenditure decr</w:t>
      </w:r>
      <w:r w:rsidR="004C3CEC">
        <w:t xml:space="preserve">eased </w:t>
      </w:r>
      <w:r w:rsidR="00A116C6">
        <w:t>2</w:t>
      </w:r>
      <w:r w:rsidR="004C3CEC">
        <w:t>% (or $</w:t>
      </w:r>
      <w:r w:rsidR="00A116C6">
        <w:t>4.1</w:t>
      </w:r>
      <w:r w:rsidR="004C3CEC">
        <w:t>m) to $</w:t>
      </w:r>
      <w:r w:rsidR="00A116C6">
        <w:t>257.5</w:t>
      </w:r>
      <w:r w:rsidR="004C3CEC" w:rsidRPr="000C04DD">
        <w:t xml:space="preserve">m in </w:t>
      </w:r>
      <w:r w:rsidR="004C3CEC" w:rsidRPr="00651A81">
        <w:t>20</w:t>
      </w:r>
      <w:r w:rsidR="00A116C6">
        <w:t>20</w:t>
      </w:r>
      <w:r w:rsidR="004C3CEC" w:rsidRPr="00651A81">
        <w:t>–2</w:t>
      </w:r>
      <w:r w:rsidR="00A116C6">
        <w:t>1</w:t>
      </w:r>
      <w:r w:rsidR="004C3CEC" w:rsidRPr="00651A81">
        <w:t xml:space="preserve"> </w:t>
      </w:r>
      <w:r w:rsidR="004C3CEC" w:rsidRPr="000C04DD">
        <w:t xml:space="preserve">and accounted for </w:t>
      </w:r>
      <w:r w:rsidR="00A116C6">
        <w:t>9</w:t>
      </w:r>
      <w:r w:rsidR="004C3CEC" w:rsidRPr="000C04DD">
        <w:t xml:space="preserve">% of Australian Government cultural spending. </w:t>
      </w:r>
    </w:p>
    <w:p w14:paraId="1F0DF4AE" w14:textId="6DAFC197" w:rsidR="00A116C6" w:rsidRDefault="004C3CEC" w:rsidP="00FD1F4F">
      <w:r w:rsidRPr="000C04DD">
        <w:t xml:space="preserve">The </w:t>
      </w:r>
      <w:r>
        <w:t>highes</w:t>
      </w:r>
      <w:r w:rsidRPr="000C04DD">
        <w:t>t capital expenditure was for</w:t>
      </w:r>
      <w:r w:rsidR="00A116C6">
        <w:t xml:space="preserve"> </w:t>
      </w:r>
      <w:r w:rsidRPr="000C04DD">
        <w:rPr>
          <w:i/>
        </w:rPr>
        <w:t xml:space="preserve">Other museums and cultural heritage </w:t>
      </w:r>
      <w:r w:rsidRPr="000C04DD">
        <w:t>($12</w:t>
      </w:r>
      <w:r w:rsidR="00A116C6">
        <w:t>3.2</w:t>
      </w:r>
      <w:r w:rsidRPr="000C04DD">
        <w:t xml:space="preserve">m), followed by </w:t>
      </w:r>
      <w:r w:rsidRPr="000C04DD">
        <w:rPr>
          <w:i/>
        </w:rPr>
        <w:t>Radio and television services</w:t>
      </w:r>
      <w:r w:rsidRPr="000C04DD">
        <w:t xml:space="preserve"> ($</w:t>
      </w:r>
      <w:r w:rsidR="00A116C6">
        <w:t>75.6</w:t>
      </w:r>
      <w:r w:rsidRPr="000C04DD">
        <w:t>m).</w:t>
      </w:r>
      <w:r>
        <w:t xml:space="preserve"> </w:t>
      </w:r>
    </w:p>
    <w:p w14:paraId="38F6D711" w14:textId="38BBF6C3" w:rsidR="00954FC7" w:rsidRDefault="004C3CEC" w:rsidP="00FD1F4F">
      <w:r w:rsidRPr="000C04DD">
        <w:t xml:space="preserve">Other main categories of capital </w:t>
      </w:r>
      <w:r>
        <w:t xml:space="preserve">investment </w:t>
      </w:r>
      <w:r w:rsidRPr="000C04DD">
        <w:t>were</w:t>
      </w:r>
      <w:r w:rsidR="00954FC7">
        <w:t>:</w:t>
      </w:r>
    </w:p>
    <w:p w14:paraId="0EE3BC33" w14:textId="3FD21EEB" w:rsidR="00954FC7" w:rsidRPr="00EA4516" w:rsidRDefault="00954FC7" w:rsidP="00954FC7">
      <w:pPr>
        <w:pStyle w:val="Bulletlevel1"/>
        <w:numPr>
          <w:ilvl w:val="0"/>
          <w:numId w:val="9"/>
        </w:numPr>
        <w:ind w:left="567" w:hanging="567"/>
      </w:pPr>
      <w:r w:rsidRPr="000C04DD">
        <w:rPr>
          <w:i/>
        </w:rPr>
        <w:t>Art museum</w:t>
      </w:r>
      <w:r>
        <w:rPr>
          <w:i/>
        </w:rPr>
        <w:t>s</w:t>
      </w:r>
      <w:r w:rsidRPr="00EA4516">
        <w:t>—$</w:t>
      </w:r>
      <w:r>
        <w:t>29.0</w:t>
      </w:r>
      <w:r w:rsidRPr="00EA4516">
        <w:t>m</w:t>
      </w:r>
    </w:p>
    <w:p w14:paraId="51B7BCBB" w14:textId="68ED5051" w:rsidR="00954FC7" w:rsidRDefault="00954FC7" w:rsidP="00954FC7">
      <w:pPr>
        <w:pStyle w:val="Bulletlevel1"/>
        <w:numPr>
          <w:ilvl w:val="0"/>
          <w:numId w:val="9"/>
        </w:numPr>
        <w:spacing w:before="240"/>
        <w:ind w:left="567" w:hanging="567"/>
      </w:pPr>
      <w:r w:rsidRPr="000C04DD">
        <w:rPr>
          <w:i/>
        </w:rPr>
        <w:t>Librarie</w:t>
      </w:r>
      <w:r>
        <w:rPr>
          <w:i/>
        </w:rPr>
        <w:t>s</w:t>
      </w:r>
      <w:r w:rsidRPr="00EA4516">
        <w:t>—$</w:t>
      </w:r>
      <w:r>
        <w:t>11.6</w:t>
      </w:r>
      <w:r w:rsidRPr="00EA4516">
        <w:t>m</w:t>
      </w:r>
    </w:p>
    <w:p w14:paraId="10D0215C" w14:textId="2D98B7E7" w:rsidR="00954FC7" w:rsidRPr="00EA4516" w:rsidRDefault="00954FC7" w:rsidP="00954FC7">
      <w:pPr>
        <w:pStyle w:val="Bulletlevel1"/>
        <w:numPr>
          <w:ilvl w:val="0"/>
          <w:numId w:val="9"/>
        </w:numPr>
        <w:spacing w:before="240"/>
        <w:ind w:left="567" w:hanging="567"/>
      </w:pPr>
      <w:r w:rsidRPr="00EA4516">
        <w:rPr>
          <w:i/>
        </w:rPr>
        <w:t>Archives</w:t>
      </w:r>
      <w:r w:rsidRPr="00EA4516">
        <w:t>—$</w:t>
      </w:r>
      <w:r>
        <w:t>9.8</w:t>
      </w:r>
      <w:r w:rsidRPr="00EA4516">
        <w:t>m</w:t>
      </w:r>
      <w:r>
        <w:t>.</w:t>
      </w:r>
    </w:p>
    <w:p w14:paraId="39B297CF" w14:textId="0AD8F198" w:rsidR="004C3CEC" w:rsidRDefault="004C3CEC" w:rsidP="004C3CEC">
      <w:pPr>
        <w:pStyle w:val="Tablefigureheading"/>
      </w:pPr>
      <w:bookmarkStart w:id="15" w:name="_Hlk115944158"/>
      <w:r>
        <w:t>Figure 4. Australian Government capital cultural expenditure, by selected categories</w:t>
      </w:r>
    </w:p>
    <w:p w14:paraId="3FB91050" w14:textId="156C6C3A" w:rsidR="00801346" w:rsidRPr="00801346" w:rsidRDefault="00DB4827" w:rsidP="00801346">
      <w:pPr>
        <w:rPr>
          <w:lang w:eastAsia="en-US"/>
        </w:rPr>
      </w:pPr>
      <w:r>
        <w:rPr>
          <w:noProof/>
          <w:lang w:eastAsia="en-US"/>
        </w:rPr>
        <w:drawing>
          <wp:inline distT="0" distB="0" distL="0" distR="0" wp14:anchorId="7F797392" wp14:editId="323A8B26">
            <wp:extent cx="4712335" cy="2048510"/>
            <wp:effectExtent l="0" t="0" r="0" b="8890"/>
            <wp:docPr id="12" name="Picture 12" descr="Figure 4. Australian Government capital cultural expenditure, by selected categories.&#10;A bar chart compares capital expenditure across selected categories of Art museums, Other museums and cultural heritage, Libraries, Archives, Visual arts and crafts, Radio and television services and Arts administration between the financial years of 2017-18, 2019-20, and 2020-21 for the Australian Government.&#10;2017-18: Arts administration $0.0m, Radio &amp; television services $61.8m, Visual arts &amp; crafts $11.0m, Archives $7.5m, Libraries $42.2m, Other museums &amp; cultural heritage $61.9m, Art museums $37.2m.&#10;2019-20: Arts administration $0.4m, Radio &amp; television services $68.6m, Visual arts &amp; crafts $1.3m, Archives $9.1m, Libraries $14.6m, Other museums &amp; cultural heritage $124.5m, Art museums $31.5m.&#10;2020-21: Arts administration $4.0m, Radio &amp; television services $75.6m, Visual arts &amp; crafts $2.1m, Archives $9.8m, Libraries $11.6m, Other museums &amp; cultural heritage $123.2m, Art museums $29.0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12335" cy="2048510"/>
                    </a:xfrm>
                    <a:prstGeom prst="rect">
                      <a:avLst/>
                    </a:prstGeom>
                    <a:noFill/>
                  </pic:spPr>
                </pic:pic>
              </a:graphicData>
            </a:graphic>
          </wp:inline>
        </w:drawing>
      </w:r>
    </w:p>
    <w:bookmarkEnd w:id="15"/>
    <w:sectPr w:rsidR="00801346" w:rsidRPr="00801346" w:rsidSect="00842CA0">
      <w:type w:val="continuous"/>
      <w:pgSz w:w="11906" w:h="16838"/>
      <w:pgMar w:top="1418" w:right="1133"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97DD8" w14:textId="77777777" w:rsidR="00B54081" w:rsidRDefault="00B54081" w:rsidP="002117E6">
      <w:pPr>
        <w:spacing w:after="0"/>
      </w:pPr>
      <w:r>
        <w:separator/>
      </w:r>
    </w:p>
  </w:endnote>
  <w:endnote w:type="continuationSeparator" w:id="0">
    <w:p w14:paraId="290CF2DD" w14:textId="77777777" w:rsidR="00B54081" w:rsidRDefault="00B54081"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5D076" w14:textId="35127E91" w:rsidR="00FC0C98" w:rsidRPr="002454AC" w:rsidRDefault="00FC0C98" w:rsidP="00842CA0">
    <w:pPr>
      <w:pStyle w:val="Footer"/>
      <w:tabs>
        <w:tab w:val="clear" w:pos="9026"/>
        <w:tab w:val="right" w:pos="9333"/>
      </w:tabs>
      <w:rPr>
        <w:rStyle w:val="Hyperlink"/>
        <w:b w:val="0"/>
        <w:color w:val="auto"/>
        <w:sz w:val="18"/>
        <w:szCs w:val="18"/>
        <w:u w:val="none"/>
      </w:rPr>
    </w:pPr>
    <w:r w:rsidRPr="00CC4247">
      <w:rPr>
        <w:sz w:val="18"/>
        <w:szCs w:val="18"/>
      </w:rPr>
      <w:t>Cultural</w:t>
    </w:r>
    <w:r>
      <w:rPr>
        <w:sz w:val="18"/>
        <w:szCs w:val="18"/>
      </w:rPr>
      <w:t xml:space="preserve"> Funding by Government—20</w:t>
    </w:r>
    <w:r w:rsidR="006970A6">
      <w:rPr>
        <w:sz w:val="18"/>
        <w:szCs w:val="18"/>
      </w:rPr>
      <w:t>20</w:t>
    </w:r>
    <w:r>
      <w:t>–</w:t>
    </w:r>
    <w:r>
      <w:rPr>
        <w:sz w:val="18"/>
        <w:szCs w:val="18"/>
      </w:rPr>
      <w:t>2</w:t>
    </w:r>
    <w:r w:rsidR="006970A6">
      <w:rPr>
        <w:sz w:val="18"/>
        <w:szCs w:val="18"/>
      </w:rPr>
      <w:t>1</w:t>
    </w:r>
    <w:r w:rsidRPr="00CC4247">
      <w:rPr>
        <w:sz w:val="18"/>
        <w:szCs w:val="18"/>
      </w:rPr>
      <w:t>—Australian</w:t>
    </w:r>
    <w:r w:rsidR="004C3CEC">
      <w:rPr>
        <w:sz w:val="18"/>
        <w:szCs w:val="18"/>
      </w:rPr>
      <w:t xml:space="preserve"> </w:t>
    </w:r>
    <w:r w:rsidRPr="00CC4247">
      <w:rPr>
        <w:sz w:val="18"/>
        <w:szCs w:val="18"/>
      </w:rPr>
      <w:t>Government</w:t>
    </w:r>
    <w:r w:rsidRPr="0037566A">
      <w:rPr>
        <w:sz w:val="18"/>
        <w:szCs w:val="18"/>
      </w:rPr>
      <w:tab/>
    </w:r>
    <w:sdt>
      <w:sdtPr>
        <w:rPr>
          <w:sz w:val="18"/>
          <w:szCs w:val="18"/>
        </w:rPr>
        <w:id w:val="-92402875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F9394E">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F9394E">
          <w:rPr>
            <w:bCs/>
            <w:noProof/>
            <w:sz w:val="18"/>
            <w:szCs w:val="18"/>
          </w:rPr>
          <w:t>2</w:t>
        </w:r>
        <w:r w:rsidRPr="0037566A">
          <w:rPr>
            <w:bCs/>
            <w:sz w:val="18"/>
            <w:szCs w:val="18"/>
          </w:rPr>
          <w:fldChar w:fldCharType="end"/>
        </w:r>
      </w:sdtContent>
    </w:sdt>
  </w:p>
  <w:p w14:paraId="7A8AEEF8" w14:textId="77777777" w:rsidR="00FC0C98" w:rsidRDefault="00FC0C98" w:rsidP="00842CA0">
    <w:pPr>
      <w:spacing w:after="0"/>
      <w:ind w:left="-1418"/>
    </w:pPr>
    <w:r>
      <w:rPr>
        <w:noProof/>
        <w:lang w:eastAsia="en-AU"/>
      </w:rPr>
      <w:drawing>
        <wp:inline distT="0" distB="0" distL="0" distR="0" wp14:anchorId="22C413FE" wp14:editId="573FC905">
          <wp:extent cx="7560000" cy="358181"/>
          <wp:effectExtent l="0" t="0" r="3175" b="3810"/>
          <wp:docPr id="7" name="Picture 7" descr="Purple Border " title="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l="1935" t="-12324" r="1078" b="19102"/>
                  <a:stretch/>
                </pic:blipFill>
                <pic:spPr bwMode="auto">
                  <a:xfrm>
                    <a:off x="0" y="0"/>
                    <a:ext cx="7560000" cy="358181"/>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8BC86" w14:textId="0FE3ED7D" w:rsidR="00E23218" w:rsidRPr="00CD5C1E" w:rsidRDefault="00CD5C1E" w:rsidP="00CD5C1E">
    <w:pPr>
      <w:pStyle w:val="Footer"/>
      <w:rPr>
        <w:i/>
        <w:iCs/>
        <w:sz w:val="18"/>
        <w:szCs w:val="18"/>
      </w:rPr>
    </w:pPr>
    <w:r w:rsidRPr="00CD5C1E">
      <w:rPr>
        <w:i/>
        <w:iCs/>
        <w:sz w:val="18"/>
        <w:szCs w:val="18"/>
      </w:rPr>
      <w:t xml:space="preserve">Source: Cultural Funding by Government </w:t>
    </w:r>
    <w:r>
      <w:rPr>
        <w:i/>
        <w:iCs/>
        <w:noProof/>
        <w:sz w:val="18"/>
        <w:szCs w:val="18"/>
        <w:lang w:eastAsia="en-AU"/>
      </w:rPr>
      <w:t>2020</w:t>
    </w:r>
    <w:r>
      <w:t>–</w:t>
    </w:r>
    <w:r>
      <w:rPr>
        <w:i/>
        <w:iCs/>
        <w:noProof/>
        <w:sz w:val="18"/>
        <w:szCs w:val="18"/>
        <w:lang w:eastAsia="en-AU"/>
      </w:rPr>
      <w:t>21</w:t>
    </w:r>
    <w:r>
      <w:rPr>
        <w:noProof/>
        <w:sz w:val="18"/>
        <w:szCs w:val="18"/>
        <w:lang w:eastAsia="en-AU"/>
      </w:rPr>
      <w:t xml:space="preserve"> </w:t>
    </w:r>
    <w:r w:rsidRPr="00CD5C1E">
      <w:rPr>
        <w:i/>
        <w:iCs/>
        <w:sz w:val="18"/>
        <w:szCs w:val="18"/>
      </w:rPr>
      <w:t>survey</w:t>
    </w:r>
  </w:p>
  <w:p w14:paraId="471F2EF6" w14:textId="0E44F1C9" w:rsidR="00FC0C98" w:rsidRPr="00477982" w:rsidRDefault="00DD4ACA" w:rsidP="00477982">
    <w:pPr>
      <w:pStyle w:val="Footer"/>
      <w:ind w:left="-1418"/>
      <w:rPr>
        <w:rStyle w:val="Hyperlink"/>
        <w:color w:val="auto"/>
        <w:u w:val="none"/>
      </w:rPr>
    </w:pPr>
    <w:r>
      <w:rPr>
        <w:noProof/>
        <w:lang w:eastAsia="en-AU"/>
      </w:rPr>
      <w:drawing>
        <wp:inline distT="0" distB="0" distL="0" distR="0" wp14:anchorId="05FC6D49" wp14:editId="5F8C6415">
          <wp:extent cx="9511794" cy="334010"/>
          <wp:effectExtent l="0" t="0" r="0" b="8890"/>
          <wp:docPr id="5" name="Picture 5" descr="Purple Border " title="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l="1935" t="-12324" r="1078" b="19102"/>
                  <a:stretch/>
                </pic:blipFill>
                <pic:spPr bwMode="auto">
                  <a:xfrm>
                    <a:off x="0" y="0"/>
                    <a:ext cx="10076050" cy="353824"/>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80252" w14:textId="77777777" w:rsidR="00B54081" w:rsidRDefault="00B54081" w:rsidP="002117E6">
      <w:pPr>
        <w:spacing w:after="0"/>
      </w:pPr>
      <w:r>
        <w:separator/>
      </w:r>
    </w:p>
  </w:footnote>
  <w:footnote w:type="continuationSeparator" w:id="0">
    <w:p w14:paraId="0E558D11" w14:textId="77777777" w:rsidR="00B54081" w:rsidRDefault="00B54081" w:rsidP="002117E6">
      <w:pPr>
        <w:spacing w:after="0"/>
      </w:pPr>
      <w:r>
        <w:continuationSeparator/>
      </w:r>
    </w:p>
  </w:footnote>
  <w:footnote w:id="1">
    <w:p w14:paraId="6241177A" w14:textId="6365ACA3" w:rsidR="00183C8A" w:rsidRPr="0056100A" w:rsidRDefault="00183C8A">
      <w:pPr>
        <w:pStyle w:val="FootnoteText"/>
      </w:pPr>
      <w:r>
        <w:rPr>
          <w:rStyle w:val="FootnoteReference"/>
        </w:rPr>
        <w:footnoteRef/>
      </w:r>
      <w:r>
        <w:t xml:space="preserve"> </w:t>
      </w:r>
      <w:r w:rsidRPr="00AE07A3">
        <w:rPr>
          <w:sz w:val="18"/>
          <w:szCs w:val="18"/>
        </w:rPr>
        <w:t>In 2020</w:t>
      </w:r>
      <w:r w:rsidR="00C61213" w:rsidRPr="00AE07A3">
        <w:rPr>
          <w:sz w:val="18"/>
          <w:szCs w:val="18"/>
        </w:rPr>
        <w:t>–</w:t>
      </w:r>
      <w:r w:rsidRPr="00AE07A3">
        <w:rPr>
          <w:sz w:val="18"/>
          <w:szCs w:val="18"/>
        </w:rPr>
        <w:t xml:space="preserve">21 the Australian Government also </w:t>
      </w:r>
      <w:r w:rsidRPr="0056100A">
        <w:rPr>
          <w:sz w:val="18"/>
          <w:szCs w:val="18"/>
        </w:rPr>
        <w:t xml:space="preserve">provided </w:t>
      </w:r>
      <w:r w:rsidR="006F139D" w:rsidRPr="0056100A">
        <w:rPr>
          <w:sz w:val="18"/>
          <w:szCs w:val="18"/>
        </w:rPr>
        <w:t xml:space="preserve">wider economy </w:t>
      </w:r>
      <w:r w:rsidRPr="0056100A">
        <w:rPr>
          <w:sz w:val="18"/>
          <w:szCs w:val="18"/>
        </w:rPr>
        <w:t>COVID</w:t>
      </w:r>
      <w:r w:rsidR="006F139D" w:rsidRPr="0056100A">
        <w:rPr>
          <w:sz w:val="18"/>
          <w:szCs w:val="18"/>
        </w:rPr>
        <w:t xml:space="preserve"> </w:t>
      </w:r>
      <w:r w:rsidRPr="0056100A">
        <w:rPr>
          <w:sz w:val="18"/>
          <w:szCs w:val="18"/>
        </w:rPr>
        <w:t xml:space="preserve">support funding of $7,456.9m ($5,732.1m </w:t>
      </w:r>
      <w:proofErr w:type="spellStart"/>
      <w:r w:rsidRPr="0056100A">
        <w:rPr>
          <w:sz w:val="18"/>
          <w:szCs w:val="18"/>
        </w:rPr>
        <w:t>JobKeeper</w:t>
      </w:r>
      <w:proofErr w:type="spellEnd"/>
      <w:r w:rsidRPr="0056100A">
        <w:rPr>
          <w:sz w:val="18"/>
          <w:szCs w:val="18"/>
        </w:rPr>
        <w:t xml:space="preserve"> payments, and $1,724.8m Boosting Cash Flow for Employers) for eligible</w:t>
      </w:r>
      <w:r w:rsidR="0059752C" w:rsidRPr="0056100A">
        <w:rPr>
          <w:sz w:val="18"/>
          <w:szCs w:val="18"/>
        </w:rPr>
        <w:t xml:space="preserve"> </w:t>
      </w:r>
      <w:r w:rsidRPr="0056100A">
        <w:rPr>
          <w:sz w:val="18"/>
          <w:szCs w:val="18"/>
        </w:rPr>
        <w:t>businesses</w:t>
      </w:r>
      <w:r w:rsidR="0059752C" w:rsidRPr="0056100A">
        <w:rPr>
          <w:sz w:val="18"/>
          <w:szCs w:val="18"/>
        </w:rPr>
        <w:t xml:space="preserve"> </w:t>
      </w:r>
      <w:r w:rsidR="00A63853">
        <w:rPr>
          <w:sz w:val="18"/>
          <w:szCs w:val="18"/>
        </w:rPr>
        <w:t xml:space="preserve">and individuals </w:t>
      </w:r>
      <w:r w:rsidRPr="0056100A">
        <w:rPr>
          <w:sz w:val="18"/>
          <w:szCs w:val="18"/>
        </w:rPr>
        <w:t>in cultural</w:t>
      </w:r>
      <w:r w:rsidR="00C40675" w:rsidRPr="0056100A">
        <w:rPr>
          <w:sz w:val="18"/>
          <w:szCs w:val="18"/>
        </w:rPr>
        <w:t xml:space="preserve"> and creative</w:t>
      </w:r>
      <w:r w:rsidRPr="0056100A">
        <w:rPr>
          <w:sz w:val="18"/>
          <w:szCs w:val="18"/>
        </w:rPr>
        <w:t xml:space="preserve"> industries.</w:t>
      </w:r>
      <w:r w:rsidR="006F139D" w:rsidRPr="0056100A">
        <w:rPr>
          <w:sz w:val="18"/>
          <w:szCs w:val="18"/>
        </w:rPr>
        <w:t xml:space="preserve"> </w:t>
      </w:r>
    </w:p>
  </w:footnote>
  <w:footnote w:id="2">
    <w:p w14:paraId="358045FB" w14:textId="77777777" w:rsidR="00505EC6" w:rsidRPr="0056100A" w:rsidRDefault="00505EC6" w:rsidP="00505EC6">
      <w:pPr>
        <w:pStyle w:val="FootnoteText"/>
      </w:pPr>
      <w:r w:rsidRPr="0056100A">
        <w:rPr>
          <w:rStyle w:val="FootnoteReference"/>
        </w:rPr>
        <w:footnoteRef/>
      </w:r>
      <w:r w:rsidRPr="0056100A">
        <w:t xml:space="preserve"> </w:t>
      </w:r>
      <w:r w:rsidRPr="0056100A">
        <w:rPr>
          <w:i/>
          <w:iCs/>
          <w:sz w:val="18"/>
          <w:szCs w:val="18"/>
        </w:rPr>
        <w:t>Cultural Funding by Government</w:t>
      </w:r>
      <w:r w:rsidRPr="0056100A">
        <w:rPr>
          <w:sz w:val="18"/>
          <w:szCs w:val="18"/>
        </w:rPr>
        <w:t xml:space="preserve"> survey not conducted in 2018–19.</w:t>
      </w:r>
    </w:p>
  </w:footnote>
  <w:footnote w:id="3">
    <w:p w14:paraId="76B6D45F" w14:textId="591F118E" w:rsidR="00034098" w:rsidRPr="0056100A" w:rsidRDefault="00034098">
      <w:pPr>
        <w:pStyle w:val="FootnoteText"/>
        <w:rPr>
          <w:sz w:val="18"/>
          <w:szCs w:val="18"/>
        </w:rPr>
      </w:pPr>
      <w:r w:rsidRPr="0056100A">
        <w:rPr>
          <w:rStyle w:val="FootnoteReference"/>
        </w:rPr>
        <w:footnoteRef/>
      </w:r>
      <w:r w:rsidRPr="0056100A">
        <w:t xml:space="preserve"> </w:t>
      </w:r>
      <w:r w:rsidRPr="0056100A">
        <w:rPr>
          <w:sz w:val="18"/>
          <w:szCs w:val="18"/>
        </w:rPr>
        <w:t xml:space="preserve">Includes </w:t>
      </w:r>
      <w:r w:rsidRPr="00A63853">
        <w:rPr>
          <w:bCs/>
          <w:sz w:val="18"/>
          <w:szCs w:val="18"/>
        </w:rPr>
        <w:t>$</w:t>
      </w:r>
      <w:r w:rsidRPr="0056100A">
        <w:rPr>
          <w:sz w:val="18"/>
          <w:szCs w:val="18"/>
        </w:rPr>
        <w:t xml:space="preserve">38.4m </w:t>
      </w:r>
      <w:r w:rsidR="00C36E8D">
        <w:rPr>
          <w:sz w:val="18"/>
          <w:szCs w:val="18"/>
        </w:rPr>
        <w:t>targeted</w:t>
      </w:r>
      <w:r w:rsidR="00543FBB" w:rsidRPr="0056100A">
        <w:rPr>
          <w:sz w:val="18"/>
          <w:szCs w:val="18"/>
        </w:rPr>
        <w:t xml:space="preserve"> cultural and creative sector </w:t>
      </w:r>
      <w:r w:rsidRPr="0056100A">
        <w:rPr>
          <w:sz w:val="18"/>
          <w:szCs w:val="18"/>
        </w:rPr>
        <w:t>COVID support funding</w:t>
      </w:r>
      <w:r w:rsidR="00ED43A3">
        <w:rPr>
          <w:sz w:val="18"/>
          <w:szCs w:val="18"/>
        </w:rPr>
        <w:t>,</w:t>
      </w:r>
      <w:r w:rsidR="003E7C1A">
        <w:rPr>
          <w:sz w:val="18"/>
          <w:szCs w:val="18"/>
        </w:rPr>
        <w:t xml:space="preserve"> reported</w:t>
      </w:r>
      <w:r w:rsidRPr="0056100A">
        <w:rPr>
          <w:sz w:val="18"/>
          <w:szCs w:val="18"/>
        </w:rPr>
        <w:t xml:space="preserve"> in Total figures only.</w:t>
      </w:r>
      <w:r w:rsidR="00ED43A3">
        <w:rPr>
          <w:sz w:val="18"/>
          <w:szCs w:val="18"/>
        </w:rPr>
        <w:t xml:space="preserve"> Data has been revised.</w:t>
      </w:r>
    </w:p>
  </w:footnote>
  <w:footnote w:id="4">
    <w:p w14:paraId="1F80AD30" w14:textId="70EAFE92" w:rsidR="00543FBB" w:rsidRPr="0056100A" w:rsidRDefault="00543FBB">
      <w:pPr>
        <w:pStyle w:val="FootnoteText"/>
      </w:pPr>
      <w:r w:rsidRPr="0056100A">
        <w:rPr>
          <w:rStyle w:val="FootnoteReference"/>
        </w:rPr>
        <w:footnoteRef/>
      </w:r>
      <w:r w:rsidRPr="0056100A">
        <w:t xml:space="preserve"> </w:t>
      </w:r>
      <w:r w:rsidRPr="0056100A">
        <w:rPr>
          <w:sz w:val="18"/>
          <w:szCs w:val="18"/>
        </w:rPr>
        <w:t>Includes $</w:t>
      </w:r>
      <w:r w:rsidR="006F139D" w:rsidRPr="0056100A">
        <w:rPr>
          <w:sz w:val="18"/>
          <w:szCs w:val="18"/>
        </w:rPr>
        <w:t>2</w:t>
      </w:r>
      <w:r w:rsidR="00927616">
        <w:rPr>
          <w:sz w:val="18"/>
          <w:szCs w:val="18"/>
        </w:rPr>
        <w:t>32.</w:t>
      </w:r>
      <w:r w:rsidR="00F10884">
        <w:rPr>
          <w:sz w:val="18"/>
          <w:szCs w:val="18"/>
        </w:rPr>
        <w:t>6</w:t>
      </w:r>
      <w:r w:rsidRPr="0056100A">
        <w:rPr>
          <w:sz w:val="18"/>
          <w:szCs w:val="18"/>
        </w:rPr>
        <w:t>m targeted cultural and creative sector COVID support funding, reported across categories and totals.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8BF70" w14:textId="2B7FDB89" w:rsidR="00FC0C98" w:rsidRDefault="00FC0C98" w:rsidP="00477982">
    <w:pPr>
      <w:pStyle w:val="Header"/>
      <w:ind w:left="-1418"/>
    </w:pPr>
    <w:r>
      <w:rPr>
        <w:noProof/>
        <w:lang w:eastAsia="en-AU"/>
      </w:rPr>
      <w:drawing>
        <wp:inline distT="0" distB="0" distL="0" distR="0" wp14:anchorId="33197DE3" wp14:editId="73FF4341">
          <wp:extent cx="7560000" cy="544479"/>
          <wp:effectExtent l="0" t="0" r="3175" b="8255"/>
          <wp:docPr id="6" name="Picture 6" descr="Purple Border" title="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1654" t="19214" r="1857"/>
                  <a:stretch/>
                </pic:blipFill>
                <pic:spPr bwMode="auto">
                  <a:xfrm>
                    <a:off x="0" y="0"/>
                    <a:ext cx="7560000" cy="544479"/>
                  </a:xfrm>
                  <a:prstGeom prst="rect">
                    <a:avLst/>
                  </a:prstGeom>
                  <a:noFill/>
                  <a:ln>
                    <a:noFill/>
                  </a:ln>
                  <a:extLst>
                    <a:ext uri="{53640926-AAD7-44D8-BBD7-CCE9431645EC}">
                      <a14:shadowObscured xmlns:a14="http://schemas.microsoft.com/office/drawing/2010/main"/>
                    </a:ext>
                  </a:extLst>
                </pic:spPr>
              </pic:pic>
            </a:graphicData>
          </a:graphic>
        </wp:inline>
      </w:drawing>
    </w:r>
  </w:p>
  <w:p w14:paraId="7D05254B" w14:textId="62ECDD5E" w:rsidR="00FC0C98" w:rsidRDefault="00CD5C1E" w:rsidP="00A0554C">
    <w:pPr>
      <w:pStyle w:val="Header"/>
      <w:tabs>
        <w:tab w:val="clear" w:pos="9026"/>
        <w:tab w:val="right" w:pos="9333"/>
      </w:tabs>
    </w:pPr>
    <w:r>
      <w:t xml:space="preserve">Cultural and Creative </w:t>
    </w:r>
    <w:r w:rsidR="0070126E" w:rsidRPr="00CD5C1E">
      <w:t>Statistics Working Group</w:t>
    </w:r>
    <w:r w:rsidR="00FC0C98" w:rsidRPr="00A96536">
      <w:tab/>
    </w:r>
    <w:r w:rsidR="00FC0C98" w:rsidRPr="00A96536">
      <w:tab/>
    </w:r>
    <w:r w:rsidR="0056100A">
      <w:t>August</w:t>
    </w:r>
    <w:r w:rsidR="00FC0C98">
      <w:t xml:space="preserve"> 202</w:t>
    </w:r>
    <w:r w:rsidR="0070126E">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12D9E"/>
    <w:multiLevelType w:val="hybridMultilevel"/>
    <w:tmpl w:val="7900756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17C6A73"/>
    <w:multiLevelType w:val="hybridMultilevel"/>
    <w:tmpl w:val="528A0CE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AE015F"/>
    <w:multiLevelType w:val="hybridMultilevel"/>
    <w:tmpl w:val="04A4442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0E34F0"/>
    <w:multiLevelType w:val="hybridMultilevel"/>
    <w:tmpl w:val="14EAD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F7139D"/>
    <w:multiLevelType w:val="hybridMultilevel"/>
    <w:tmpl w:val="5B38CF7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4B3F70"/>
    <w:multiLevelType w:val="hybridMultilevel"/>
    <w:tmpl w:val="2EB41F5A"/>
    <w:lvl w:ilvl="0" w:tplc="43C08D6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68EE3604"/>
    <w:multiLevelType w:val="hybridMultilevel"/>
    <w:tmpl w:val="F0940C1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793E1F26"/>
    <w:multiLevelType w:val="hybridMultilevel"/>
    <w:tmpl w:val="1A685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
  </w:num>
  <w:num w:numId="4">
    <w:abstractNumId w:val="10"/>
  </w:num>
  <w:num w:numId="5">
    <w:abstractNumId w:val="2"/>
  </w:num>
  <w:num w:numId="6">
    <w:abstractNumId w:val="6"/>
  </w:num>
  <w:num w:numId="7">
    <w:abstractNumId w:val="0"/>
  </w:num>
  <w:num w:numId="8">
    <w:abstractNumId w:val="3"/>
  </w:num>
  <w:num w:numId="9">
    <w:abstractNumId w:val="7"/>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13E"/>
    <w:rsid w:val="00003F14"/>
    <w:rsid w:val="00024E6D"/>
    <w:rsid w:val="00024EAC"/>
    <w:rsid w:val="00034098"/>
    <w:rsid w:val="00050447"/>
    <w:rsid w:val="00066DCE"/>
    <w:rsid w:val="000A6DCC"/>
    <w:rsid w:val="000B27A8"/>
    <w:rsid w:val="0010221F"/>
    <w:rsid w:val="0010452B"/>
    <w:rsid w:val="00111A64"/>
    <w:rsid w:val="001427BB"/>
    <w:rsid w:val="001471EA"/>
    <w:rsid w:val="001472FC"/>
    <w:rsid w:val="00152150"/>
    <w:rsid w:val="001715EF"/>
    <w:rsid w:val="001736CC"/>
    <w:rsid w:val="00174FA3"/>
    <w:rsid w:val="00183C8A"/>
    <w:rsid w:val="00185E9F"/>
    <w:rsid w:val="0019701B"/>
    <w:rsid w:val="001C7827"/>
    <w:rsid w:val="001D64AC"/>
    <w:rsid w:val="001D7905"/>
    <w:rsid w:val="001E21FD"/>
    <w:rsid w:val="002117E6"/>
    <w:rsid w:val="0023201F"/>
    <w:rsid w:val="00233C13"/>
    <w:rsid w:val="00234C00"/>
    <w:rsid w:val="002352F9"/>
    <w:rsid w:val="0024033A"/>
    <w:rsid w:val="00242B78"/>
    <w:rsid w:val="002445E8"/>
    <w:rsid w:val="002454AC"/>
    <w:rsid w:val="002522D3"/>
    <w:rsid w:val="00265D2E"/>
    <w:rsid w:val="00290FEC"/>
    <w:rsid w:val="00293DD6"/>
    <w:rsid w:val="002966CA"/>
    <w:rsid w:val="002A3B4B"/>
    <w:rsid w:val="002A4338"/>
    <w:rsid w:val="002C0E94"/>
    <w:rsid w:val="002C2915"/>
    <w:rsid w:val="002C5369"/>
    <w:rsid w:val="002E2477"/>
    <w:rsid w:val="002E44C3"/>
    <w:rsid w:val="002E46A4"/>
    <w:rsid w:val="002F0402"/>
    <w:rsid w:val="002F3895"/>
    <w:rsid w:val="002F56C6"/>
    <w:rsid w:val="00302513"/>
    <w:rsid w:val="00303786"/>
    <w:rsid w:val="0031249E"/>
    <w:rsid w:val="003268F6"/>
    <w:rsid w:val="00327F06"/>
    <w:rsid w:val="00335334"/>
    <w:rsid w:val="00336DDD"/>
    <w:rsid w:val="0034581A"/>
    <w:rsid w:val="00363704"/>
    <w:rsid w:val="00381364"/>
    <w:rsid w:val="00382743"/>
    <w:rsid w:val="00390081"/>
    <w:rsid w:val="0039367A"/>
    <w:rsid w:val="003B5B1D"/>
    <w:rsid w:val="003C73DB"/>
    <w:rsid w:val="003D142F"/>
    <w:rsid w:val="003D636C"/>
    <w:rsid w:val="003E78EF"/>
    <w:rsid w:val="003E7C1A"/>
    <w:rsid w:val="003F495D"/>
    <w:rsid w:val="00400E77"/>
    <w:rsid w:val="0041185C"/>
    <w:rsid w:val="00420E56"/>
    <w:rsid w:val="0042200C"/>
    <w:rsid w:val="00423090"/>
    <w:rsid w:val="00426F0B"/>
    <w:rsid w:val="00433E5D"/>
    <w:rsid w:val="00433E7A"/>
    <w:rsid w:val="00436F4C"/>
    <w:rsid w:val="00450D6E"/>
    <w:rsid w:val="00456F44"/>
    <w:rsid w:val="00467552"/>
    <w:rsid w:val="00471330"/>
    <w:rsid w:val="004755A2"/>
    <w:rsid w:val="00477982"/>
    <w:rsid w:val="004819E5"/>
    <w:rsid w:val="00482543"/>
    <w:rsid w:val="0048626B"/>
    <w:rsid w:val="0048644E"/>
    <w:rsid w:val="004B5F0A"/>
    <w:rsid w:val="004C3CEC"/>
    <w:rsid w:val="004D0B6D"/>
    <w:rsid w:val="004E59C7"/>
    <w:rsid w:val="00505EC6"/>
    <w:rsid w:val="00506643"/>
    <w:rsid w:val="00514C96"/>
    <w:rsid w:val="00526687"/>
    <w:rsid w:val="005377F7"/>
    <w:rsid w:val="00542695"/>
    <w:rsid w:val="00543FBB"/>
    <w:rsid w:val="00544465"/>
    <w:rsid w:val="005579A8"/>
    <w:rsid w:val="0056100A"/>
    <w:rsid w:val="00561190"/>
    <w:rsid w:val="005658F1"/>
    <w:rsid w:val="00565B47"/>
    <w:rsid w:val="00565F34"/>
    <w:rsid w:val="005741CF"/>
    <w:rsid w:val="00575A5A"/>
    <w:rsid w:val="00584977"/>
    <w:rsid w:val="005932D0"/>
    <w:rsid w:val="0059752C"/>
    <w:rsid w:val="00597F9B"/>
    <w:rsid w:val="005B0A5C"/>
    <w:rsid w:val="005B3551"/>
    <w:rsid w:val="005C7C65"/>
    <w:rsid w:val="005F23E0"/>
    <w:rsid w:val="00605481"/>
    <w:rsid w:val="006121CD"/>
    <w:rsid w:val="0061446D"/>
    <w:rsid w:val="00625397"/>
    <w:rsid w:val="0064138E"/>
    <w:rsid w:val="00664138"/>
    <w:rsid w:val="00693994"/>
    <w:rsid w:val="006970A6"/>
    <w:rsid w:val="006A08AD"/>
    <w:rsid w:val="006A1787"/>
    <w:rsid w:val="006A2F0E"/>
    <w:rsid w:val="006A6500"/>
    <w:rsid w:val="006C0EA3"/>
    <w:rsid w:val="006C0F02"/>
    <w:rsid w:val="006C5A9D"/>
    <w:rsid w:val="006D0316"/>
    <w:rsid w:val="006D296E"/>
    <w:rsid w:val="006E76A7"/>
    <w:rsid w:val="006F06FD"/>
    <w:rsid w:val="006F139D"/>
    <w:rsid w:val="0070126E"/>
    <w:rsid w:val="00702240"/>
    <w:rsid w:val="00705B86"/>
    <w:rsid w:val="00705FA6"/>
    <w:rsid w:val="007260A2"/>
    <w:rsid w:val="007316EF"/>
    <w:rsid w:val="0074751D"/>
    <w:rsid w:val="00753BB6"/>
    <w:rsid w:val="00754A85"/>
    <w:rsid w:val="00784F67"/>
    <w:rsid w:val="00793983"/>
    <w:rsid w:val="007A4B0F"/>
    <w:rsid w:val="007A5DD1"/>
    <w:rsid w:val="007B213D"/>
    <w:rsid w:val="00801346"/>
    <w:rsid w:val="00802B44"/>
    <w:rsid w:val="00813AD2"/>
    <w:rsid w:val="008169A6"/>
    <w:rsid w:val="0082186E"/>
    <w:rsid w:val="008228E2"/>
    <w:rsid w:val="00834DE8"/>
    <w:rsid w:val="00842CA0"/>
    <w:rsid w:val="00860C86"/>
    <w:rsid w:val="008646E6"/>
    <w:rsid w:val="00866475"/>
    <w:rsid w:val="00867254"/>
    <w:rsid w:val="00874BC2"/>
    <w:rsid w:val="008806F7"/>
    <w:rsid w:val="00893360"/>
    <w:rsid w:val="00894003"/>
    <w:rsid w:val="008A4B1F"/>
    <w:rsid w:val="008B2A19"/>
    <w:rsid w:val="008B767F"/>
    <w:rsid w:val="008C0B20"/>
    <w:rsid w:val="008D4E53"/>
    <w:rsid w:val="008F7FA4"/>
    <w:rsid w:val="009009FE"/>
    <w:rsid w:val="00912280"/>
    <w:rsid w:val="00927616"/>
    <w:rsid w:val="00927FF3"/>
    <w:rsid w:val="009313D2"/>
    <w:rsid w:val="00937283"/>
    <w:rsid w:val="0094124E"/>
    <w:rsid w:val="00954FC7"/>
    <w:rsid w:val="00957422"/>
    <w:rsid w:val="009654E0"/>
    <w:rsid w:val="00965FD9"/>
    <w:rsid w:val="00966C24"/>
    <w:rsid w:val="009B6604"/>
    <w:rsid w:val="009B74C6"/>
    <w:rsid w:val="009B7EF0"/>
    <w:rsid w:val="009C01D1"/>
    <w:rsid w:val="009C0F82"/>
    <w:rsid w:val="009C205D"/>
    <w:rsid w:val="009C47F7"/>
    <w:rsid w:val="009C627D"/>
    <w:rsid w:val="009D0D57"/>
    <w:rsid w:val="009E12E4"/>
    <w:rsid w:val="009F3241"/>
    <w:rsid w:val="00A0554C"/>
    <w:rsid w:val="00A06663"/>
    <w:rsid w:val="00A116C6"/>
    <w:rsid w:val="00A150F0"/>
    <w:rsid w:val="00A22246"/>
    <w:rsid w:val="00A241FE"/>
    <w:rsid w:val="00A24E3C"/>
    <w:rsid w:val="00A35033"/>
    <w:rsid w:val="00A35CD0"/>
    <w:rsid w:val="00A44D6C"/>
    <w:rsid w:val="00A455AB"/>
    <w:rsid w:val="00A57B08"/>
    <w:rsid w:val="00A606B1"/>
    <w:rsid w:val="00A63853"/>
    <w:rsid w:val="00A66771"/>
    <w:rsid w:val="00A830DE"/>
    <w:rsid w:val="00A91A72"/>
    <w:rsid w:val="00AA38E6"/>
    <w:rsid w:val="00AC0B64"/>
    <w:rsid w:val="00AC1A69"/>
    <w:rsid w:val="00AE07A3"/>
    <w:rsid w:val="00AE4F02"/>
    <w:rsid w:val="00AF1636"/>
    <w:rsid w:val="00AF5FC0"/>
    <w:rsid w:val="00B049A4"/>
    <w:rsid w:val="00B04E5C"/>
    <w:rsid w:val="00B1045C"/>
    <w:rsid w:val="00B32DA1"/>
    <w:rsid w:val="00B403D4"/>
    <w:rsid w:val="00B43B95"/>
    <w:rsid w:val="00B43C56"/>
    <w:rsid w:val="00B54081"/>
    <w:rsid w:val="00B55747"/>
    <w:rsid w:val="00B704AE"/>
    <w:rsid w:val="00B723E4"/>
    <w:rsid w:val="00B93737"/>
    <w:rsid w:val="00B945EA"/>
    <w:rsid w:val="00B96893"/>
    <w:rsid w:val="00BA0A5A"/>
    <w:rsid w:val="00BC0D30"/>
    <w:rsid w:val="00BC2D75"/>
    <w:rsid w:val="00BC329E"/>
    <w:rsid w:val="00BC4BB1"/>
    <w:rsid w:val="00BC7D72"/>
    <w:rsid w:val="00BE1F34"/>
    <w:rsid w:val="00BE7E66"/>
    <w:rsid w:val="00C16794"/>
    <w:rsid w:val="00C240E2"/>
    <w:rsid w:val="00C318FB"/>
    <w:rsid w:val="00C339E2"/>
    <w:rsid w:val="00C3695F"/>
    <w:rsid w:val="00C36E8D"/>
    <w:rsid w:val="00C40675"/>
    <w:rsid w:val="00C451EE"/>
    <w:rsid w:val="00C52AC3"/>
    <w:rsid w:val="00C55F55"/>
    <w:rsid w:val="00C60631"/>
    <w:rsid w:val="00C61213"/>
    <w:rsid w:val="00C90C5B"/>
    <w:rsid w:val="00CB7065"/>
    <w:rsid w:val="00CC4247"/>
    <w:rsid w:val="00CC75CC"/>
    <w:rsid w:val="00CD0CB6"/>
    <w:rsid w:val="00CD5C1E"/>
    <w:rsid w:val="00CE07F2"/>
    <w:rsid w:val="00CE5C90"/>
    <w:rsid w:val="00D03AE2"/>
    <w:rsid w:val="00D14C03"/>
    <w:rsid w:val="00D44042"/>
    <w:rsid w:val="00D47936"/>
    <w:rsid w:val="00D521E7"/>
    <w:rsid w:val="00D528D0"/>
    <w:rsid w:val="00D746E5"/>
    <w:rsid w:val="00D85D65"/>
    <w:rsid w:val="00D86CAA"/>
    <w:rsid w:val="00D92957"/>
    <w:rsid w:val="00DB4827"/>
    <w:rsid w:val="00DB4FA3"/>
    <w:rsid w:val="00DB7707"/>
    <w:rsid w:val="00DB7840"/>
    <w:rsid w:val="00DB7EA9"/>
    <w:rsid w:val="00DC17B6"/>
    <w:rsid w:val="00DC2DFA"/>
    <w:rsid w:val="00DC6A98"/>
    <w:rsid w:val="00DD4ACA"/>
    <w:rsid w:val="00DD5D52"/>
    <w:rsid w:val="00E03DF5"/>
    <w:rsid w:val="00E05547"/>
    <w:rsid w:val="00E06D3D"/>
    <w:rsid w:val="00E23218"/>
    <w:rsid w:val="00E2673D"/>
    <w:rsid w:val="00E42F9F"/>
    <w:rsid w:val="00E51D5C"/>
    <w:rsid w:val="00E71039"/>
    <w:rsid w:val="00E72944"/>
    <w:rsid w:val="00E76886"/>
    <w:rsid w:val="00E819BF"/>
    <w:rsid w:val="00E85276"/>
    <w:rsid w:val="00E92EB5"/>
    <w:rsid w:val="00E97404"/>
    <w:rsid w:val="00EA0EC8"/>
    <w:rsid w:val="00EA2F26"/>
    <w:rsid w:val="00EA5BA4"/>
    <w:rsid w:val="00EA6D34"/>
    <w:rsid w:val="00EB40A5"/>
    <w:rsid w:val="00EC02A0"/>
    <w:rsid w:val="00ED43A3"/>
    <w:rsid w:val="00EE5043"/>
    <w:rsid w:val="00EE7759"/>
    <w:rsid w:val="00EF213E"/>
    <w:rsid w:val="00EF61B4"/>
    <w:rsid w:val="00F02CC1"/>
    <w:rsid w:val="00F10884"/>
    <w:rsid w:val="00F20D24"/>
    <w:rsid w:val="00F239E3"/>
    <w:rsid w:val="00F242E6"/>
    <w:rsid w:val="00F32DC3"/>
    <w:rsid w:val="00F3567E"/>
    <w:rsid w:val="00F408EE"/>
    <w:rsid w:val="00F56262"/>
    <w:rsid w:val="00F6395E"/>
    <w:rsid w:val="00F67604"/>
    <w:rsid w:val="00F701E3"/>
    <w:rsid w:val="00F7051B"/>
    <w:rsid w:val="00F86DEA"/>
    <w:rsid w:val="00F9394E"/>
    <w:rsid w:val="00F9793C"/>
    <w:rsid w:val="00FB5468"/>
    <w:rsid w:val="00FC0C98"/>
    <w:rsid w:val="00FC16F3"/>
    <w:rsid w:val="00FC2CDB"/>
    <w:rsid w:val="00FD1F4F"/>
    <w:rsid w:val="00FE6B97"/>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17295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7552"/>
    <w:pPr>
      <w:spacing w:after="200" w:line="240" w:lineRule="auto"/>
    </w:pPr>
  </w:style>
  <w:style w:type="paragraph" w:styleId="Heading1">
    <w:name w:val="heading 1"/>
    <w:basedOn w:val="Normal"/>
    <w:next w:val="Normal"/>
    <w:link w:val="Heading1Char"/>
    <w:uiPriority w:val="9"/>
    <w:qFormat/>
    <w:rsid w:val="00DC6A98"/>
    <w:pPr>
      <w:keepNext/>
      <w:spacing w:before="360" w:after="240"/>
      <w:outlineLvl w:val="0"/>
    </w:pPr>
    <w:rPr>
      <w:rFonts w:asciiTheme="majorHAnsi" w:eastAsiaTheme="majorEastAsia" w:hAnsiTheme="majorHAnsi" w:cstheme="majorBidi"/>
      <w:b/>
      <w:sz w:val="48"/>
      <w:szCs w:val="32"/>
      <w:lang w:eastAsia="en-US"/>
    </w:rPr>
  </w:style>
  <w:style w:type="paragraph" w:styleId="Heading2">
    <w:name w:val="heading 2"/>
    <w:basedOn w:val="Normal"/>
    <w:next w:val="Normal"/>
    <w:link w:val="Heading2Char"/>
    <w:uiPriority w:val="9"/>
    <w:unhideWhenUsed/>
    <w:qFormat/>
    <w:rsid w:val="00242B78"/>
    <w:pPr>
      <w:keepNext/>
      <w:outlineLvl w:val="1"/>
    </w:pPr>
    <w:rPr>
      <w:rFonts w:asciiTheme="majorHAnsi" w:eastAsiaTheme="majorEastAsia" w:hAnsiTheme="majorHAnsi" w:cstheme="majorBidi"/>
      <w:b/>
      <w:color w:val="554B87"/>
      <w:sz w:val="36"/>
      <w:szCs w:val="26"/>
      <w:lang w:eastAsia="en-US"/>
    </w:rPr>
  </w:style>
  <w:style w:type="paragraph" w:styleId="Heading3">
    <w:name w:val="heading 3"/>
    <w:basedOn w:val="Normal"/>
    <w:next w:val="Normal"/>
    <w:link w:val="Heading3Char"/>
    <w:uiPriority w:val="9"/>
    <w:unhideWhenUsed/>
    <w:qFormat/>
    <w:rsid w:val="00242B78"/>
    <w:pPr>
      <w:keepNext/>
      <w:spacing w:after="120"/>
      <w:outlineLvl w:val="2"/>
    </w:pPr>
    <w:rPr>
      <w:rFonts w:asciiTheme="majorHAnsi" w:eastAsiaTheme="majorEastAsia" w:hAnsiTheme="majorHAnsi" w:cstheme="majorBidi"/>
      <w:b/>
      <w:color w:val="554B87"/>
      <w:sz w:val="30"/>
      <w:szCs w:val="24"/>
      <w:lang w:eastAsia="en-US"/>
    </w:rPr>
  </w:style>
  <w:style w:type="paragraph" w:styleId="Heading4">
    <w:name w:val="heading 4"/>
    <w:basedOn w:val="Normal"/>
    <w:next w:val="Normal"/>
    <w:link w:val="Heading4Char"/>
    <w:uiPriority w:val="9"/>
    <w:unhideWhenUsed/>
    <w:qFormat/>
    <w:rsid w:val="00242B78"/>
    <w:pPr>
      <w:keepNext/>
      <w:keepLines/>
      <w:spacing w:after="120"/>
      <w:outlineLvl w:val="3"/>
    </w:pPr>
    <w:rPr>
      <w:rFonts w:asciiTheme="majorHAnsi" w:eastAsiaTheme="majorEastAsia" w:hAnsiTheme="majorHAnsi" w:cstheme="majorBidi"/>
      <w:b/>
      <w:bCs/>
      <w:color w:val="554B87"/>
      <w:sz w:val="24"/>
      <w:szCs w:val="24"/>
    </w:rPr>
  </w:style>
  <w:style w:type="paragraph" w:styleId="Heading5">
    <w:name w:val="heading 5"/>
    <w:basedOn w:val="Normal"/>
    <w:next w:val="Normal"/>
    <w:link w:val="Heading5Char"/>
    <w:uiPriority w:val="9"/>
    <w:unhideWhenUsed/>
    <w:qFormat/>
    <w:rsid w:val="00242B78"/>
    <w:pPr>
      <w:keepNext/>
      <w:keepLines/>
      <w:spacing w:after="60"/>
      <w:outlineLvl w:val="4"/>
    </w:pPr>
    <w:rPr>
      <w:rFonts w:asciiTheme="majorHAnsi" w:eastAsiaTheme="majorEastAsia" w:hAnsiTheme="majorHAnsi" w:cstheme="majorBidi"/>
      <w:b/>
      <w:color w:val="554B87"/>
    </w:rPr>
  </w:style>
  <w:style w:type="paragraph" w:styleId="Heading6">
    <w:name w:val="heading 6"/>
    <w:basedOn w:val="Normal"/>
    <w:next w:val="Normal"/>
    <w:link w:val="Heading6Char"/>
    <w:uiPriority w:val="9"/>
    <w:unhideWhenUsed/>
    <w:qFormat/>
    <w:rsid w:val="00242B78"/>
    <w:pPr>
      <w:keepNext/>
      <w:keepLines/>
      <w:spacing w:after="60"/>
      <w:outlineLvl w:val="5"/>
    </w:pPr>
    <w:rPr>
      <w:rFonts w:asciiTheme="majorHAnsi" w:eastAsiaTheme="majorEastAsia" w:hAnsiTheme="majorHAnsi" w:cstheme="majorBidi"/>
      <w:b/>
      <w:i/>
      <w:iCs/>
      <w:color w:val="554B87"/>
    </w:rPr>
  </w:style>
  <w:style w:type="paragraph" w:styleId="Heading7">
    <w:name w:val="heading 7"/>
    <w:basedOn w:val="Normal"/>
    <w:next w:val="Normal"/>
    <w:link w:val="Heading7Char"/>
    <w:uiPriority w:val="9"/>
    <w:unhideWhenUsed/>
    <w:qFormat/>
    <w:rsid w:val="00242B78"/>
    <w:pPr>
      <w:keepNext/>
      <w:keepLines/>
      <w:spacing w:before="40" w:after="0"/>
      <w:outlineLvl w:val="6"/>
    </w:pPr>
    <w:rPr>
      <w:rFonts w:asciiTheme="majorHAnsi" w:eastAsiaTheme="majorEastAsia" w:hAnsiTheme="majorHAnsi" w:cstheme="majorBidi"/>
      <w:b/>
      <w:i/>
      <w:iCs/>
      <w:color w:val="554B87"/>
    </w:rPr>
  </w:style>
  <w:style w:type="paragraph" w:styleId="Heading8">
    <w:name w:val="heading 8"/>
    <w:basedOn w:val="Normal"/>
    <w:next w:val="Normal"/>
    <w:link w:val="Heading8Char"/>
    <w:uiPriority w:val="9"/>
    <w:unhideWhenUsed/>
    <w:qFormat/>
    <w:rsid w:val="00242B78"/>
    <w:pPr>
      <w:keepNext/>
      <w:keepLines/>
      <w:spacing w:before="40" w:after="0"/>
      <w:outlineLvl w:val="7"/>
    </w:pPr>
    <w:rPr>
      <w:rFonts w:asciiTheme="majorHAnsi" w:eastAsiaTheme="majorEastAsia" w:hAnsiTheme="majorHAnsi" w:cstheme="majorBidi"/>
      <w:b/>
      <w:color w:val="554B87"/>
      <w:sz w:val="21"/>
      <w:szCs w:val="21"/>
    </w:rPr>
  </w:style>
  <w:style w:type="paragraph" w:styleId="Heading9">
    <w:name w:val="heading 9"/>
    <w:basedOn w:val="Normal"/>
    <w:next w:val="Normal"/>
    <w:link w:val="Heading9Char"/>
    <w:uiPriority w:val="9"/>
    <w:unhideWhenUsed/>
    <w:qFormat/>
    <w:rsid w:val="00242B78"/>
    <w:pPr>
      <w:keepNext/>
      <w:keepLines/>
      <w:spacing w:before="40" w:after="0"/>
      <w:outlineLvl w:val="8"/>
    </w:pPr>
    <w:rPr>
      <w:rFonts w:asciiTheme="majorHAnsi" w:eastAsiaTheme="majorEastAsia" w:hAnsiTheme="majorHAnsi" w:cstheme="majorBidi"/>
      <w:b/>
      <w:i/>
      <w:iCs/>
      <w:color w:val="554B87"/>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A98"/>
    <w:rPr>
      <w:rFonts w:asciiTheme="majorHAnsi" w:eastAsiaTheme="majorEastAsia" w:hAnsiTheme="majorHAnsi" w:cstheme="majorBidi"/>
      <w:b/>
      <w:sz w:val="48"/>
      <w:szCs w:val="32"/>
      <w:lang w:eastAsia="en-US"/>
    </w:rPr>
  </w:style>
  <w:style w:type="character" w:customStyle="1" w:styleId="Heading2Char">
    <w:name w:val="Heading 2 Char"/>
    <w:basedOn w:val="DefaultParagraphFont"/>
    <w:link w:val="Heading2"/>
    <w:uiPriority w:val="9"/>
    <w:rsid w:val="00242B78"/>
    <w:rPr>
      <w:rFonts w:asciiTheme="majorHAnsi" w:eastAsiaTheme="majorEastAsia" w:hAnsiTheme="majorHAnsi" w:cstheme="majorBidi"/>
      <w:b/>
      <w:color w:val="554B87"/>
      <w:sz w:val="36"/>
      <w:szCs w:val="26"/>
      <w:lang w:eastAsia="en-US"/>
    </w:rPr>
  </w:style>
  <w:style w:type="character" w:customStyle="1" w:styleId="Heading3Char">
    <w:name w:val="Heading 3 Char"/>
    <w:basedOn w:val="DefaultParagraphFont"/>
    <w:link w:val="Heading3"/>
    <w:uiPriority w:val="9"/>
    <w:rsid w:val="00242B78"/>
    <w:rPr>
      <w:rFonts w:asciiTheme="majorHAnsi" w:eastAsiaTheme="majorEastAsia" w:hAnsiTheme="majorHAnsi" w:cstheme="majorBidi"/>
      <w:b/>
      <w:color w:val="554B87"/>
      <w:sz w:val="30"/>
      <w:szCs w:val="24"/>
      <w:lang w:eastAsia="en-US"/>
    </w:rPr>
  </w:style>
  <w:style w:type="character" w:styleId="Hyperlink">
    <w:name w:val="Hyperlink"/>
    <w:basedOn w:val="DefaultParagraphFont"/>
    <w:uiPriority w:val="99"/>
    <w:unhideWhenUsed/>
    <w:rsid w:val="00F56262"/>
    <w:rPr>
      <w:b/>
      <w:color w:val="554B87"/>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467552"/>
    <w:pPr>
      <w:ind w:left="567"/>
    </w:pPr>
    <w:rPr>
      <w:rFonts w:eastAsiaTheme="minorHAnsi"/>
      <w:b/>
      <w:i/>
      <w:iCs/>
      <w:color w:val="554B87"/>
      <w:lang w:eastAsia="en-US"/>
    </w:rPr>
  </w:style>
  <w:style w:type="character" w:customStyle="1" w:styleId="QuoteChar">
    <w:name w:val="Quote Char"/>
    <w:basedOn w:val="DefaultParagraphFont"/>
    <w:link w:val="Quote"/>
    <w:uiPriority w:val="29"/>
    <w:rsid w:val="00467552"/>
    <w:rPr>
      <w:rFonts w:eastAsiaTheme="minorHAnsi"/>
      <w:b/>
      <w:i/>
      <w:iCs/>
      <w:color w:val="554B87"/>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242B78"/>
    <w:rPr>
      <w:rFonts w:asciiTheme="majorHAnsi" w:eastAsiaTheme="majorEastAsia" w:hAnsiTheme="majorHAnsi" w:cstheme="majorBidi"/>
      <w:b/>
      <w:bCs/>
      <w:color w:val="554B87"/>
      <w:sz w:val="24"/>
      <w:szCs w:val="24"/>
    </w:rPr>
  </w:style>
  <w:style w:type="character" w:customStyle="1" w:styleId="Heading5Char">
    <w:name w:val="Heading 5 Char"/>
    <w:basedOn w:val="DefaultParagraphFont"/>
    <w:link w:val="Heading5"/>
    <w:uiPriority w:val="9"/>
    <w:rsid w:val="00242B78"/>
    <w:rPr>
      <w:rFonts w:asciiTheme="majorHAnsi" w:eastAsiaTheme="majorEastAsia" w:hAnsiTheme="majorHAnsi" w:cstheme="majorBidi"/>
      <w:b/>
      <w:color w:val="554B87"/>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8B767F"/>
    <w:pPr>
      <w:keepNext/>
      <w:spacing w:after="0"/>
    </w:pPr>
    <w:rPr>
      <w:rFonts w:asciiTheme="majorHAnsi" w:eastAsiaTheme="minorHAnsi" w:hAnsiTheme="majorHAnsi"/>
      <w:b/>
      <w:color w:val="554B87"/>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242B78"/>
    <w:rPr>
      <w:rFonts w:asciiTheme="majorHAnsi" w:eastAsiaTheme="majorEastAsia" w:hAnsiTheme="majorHAnsi" w:cstheme="majorBidi"/>
      <w:b/>
      <w:i/>
      <w:iCs/>
      <w:color w:val="554B87"/>
    </w:rPr>
  </w:style>
  <w:style w:type="character" w:customStyle="1" w:styleId="Heading7Char">
    <w:name w:val="Heading 7 Char"/>
    <w:basedOn w:val="DefaultParagraphFont"/>
    <w:link w:val="Heading7"/>
    <w:uiPriority w:val="9"/>
    <w:rsid w:val="00242B78"/>
    <w:rPr>
      <w:rFonts w:asciiTheme="majorHAnsi" w:eastAsiaTheme="majorEastAsia" w:hAnsiTheme="majorHAnsi" w:cstheme="majorBidi"/>
      <w:b/>
      <w:i/>
      <w:iCs/>
      <w:color w:val="554B87"/>
    </w:rPr>
  </w:style>
  <w:style w:type="character" w:customStyle="1" w:styleId="Heading8Char">
    <w:name w:val="Heading 8 Char"/>
    <w:basedOn w:val="DefaultParagraphFont"/>
    <w:link w:val="Heading8"/>
    <w:uiPriority w:val="9"/>
    <w:rsid w:val="00242B78"/>
    <w:rPr>
      <w:rFonts w:asciiTheme="majorHAnsi" w:eastAsiaTheme="majorEastAsia" w:hAnsiTheme="majorHAnsi" w:cstheme="majorBidi"/>
      <w:b/>
      <w:color w:val="554B87"/>
      <w:sz w:val="21"/>
      <w:szCs w:val="21"/>
    </w:rPr>
  </w:style>
  <w:style w:type="character" w:customStyle="1" w:styleId="Heading9Char">
    <w:name w:val="Heading 9 Char"/>
    <w:basedOn w:val="DefaultParagraphFont"/>
    <w:link w:val="Heading9"/>
    <w:uiPriority w:val="9"/>
    <w:rsid w:val="00242B78"/>
    <w:rPr>
      <w:rFonts w:asciiTheme="majorHAnsi" w:eastAsiaTheme="majorEastAsia" w:hAnsiTheme="majorHAnsi" w:cstheme="majorBidi"/>
      <w:b/>
      <w:i/>
      <w:iCs/>
      <w:color w:val="554B87"/>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1">
    <w:name w:val="Unresolved Mention1"/>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03AE2"/>
    <w:pPr>
      <w:spacing w:after="120"/>
    </w:pPr>
    <w:rPr>
      <w:sz w:val="32"/>
    </w:rPr>
  </w:style>
  <w:style w:type="paragraph" w:customStyle="1" w:styleId="Heading3-notshowing">
    <w:name w:val="Heading 3 - not showing"/>
    <w:basedOn w:val="Heading3"/>
    <w:qFormat/>
    <w:rsid w:val="00D03AE2"/>
    <w:rPr>
      <w:sz w:val="28"/>
    </w:rPr>
  </w:style>
  <w:style w:type="paragraph" w:styleId="TOC1">
    <w:name w:val="toc 1"/>
    <w:basedOn w:val="Normal"/>
    <w:next w:val="Normal"/>
    <w:autoRedefine/>
    <w:uiPriority w:val="39"/>
    <w:unhideWhenUsed/>
    <w:rsid w:val="004755A2"/>
    <w:pPr>
      <w:tabs>
        <w:tab w:val="right" w:leader="dot" w:pos="9072"/>
      </w:tabs>
      <w:spacing w:before="120" w:after="0"/>
    </w:pPr>
    <w:rPr>
      <w:b/>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paragraph" w:styleId="BalloonText">
    <w:name w:val="Balloon Text"/>
    <w:basedOn w:val="Normal"/>
    <w:link w:val="BalloonTextChar"/>
    <w:uiPriority w:val="99"/>
    <w:semiHidden/>
    <w:unhideWhenUsed/>
    <w:rsid w:val="0093728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283"/>
    <w:rPr>
      <w:rFonts w:ascii="Tahoma" w:hAnsi="Tahoma" w:cs="Tahoma"/>
      <w:sz w:val="16"/>
      <w:szCs w:val="16"/>
    </w:rPr>
  </w:style>
  <w:style w:type="paragraph" w:customStyle="1" w:styleId="bullet-arrow">
    <w:name w:val="bullet - arrow"/>
    <w:basedOn w:val="Bulletlevel1"/>
    <w:qFormat/>
    <w:rsid w:val="004C3CEC"/>
    <w:pPr>
      <w:numPr>
        <w:numId w:val="0"/>
      </w:numPr>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734609">
      <w:bodyDiv w:val="1"/>
      <w:marLeft w:val="0"/>
      <w:marRight w:val="0"/>
      <w:marTop w:val="0"/>
      <w:marBottom w:val="0"/>
      <w:divBdr>
        <w:top w:val="none" w:sz="0" w:space="0" w:color="auto"/>
        <w:left w:val="none" w:sz="0" w:space="0" w:color="auto"/>
        <w:bottom w:val="none" w:sz="0" w:space="0" w:color="auto"/>
        <w:right w:val="none" w:sz="0" w:space="0" w:color="auto"/>
      </w:divBdr>
    </w:div>
    <w:div w:id="163259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1.png@01D8701A.460DF4D0"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92D076D5FC414DB2EA38F1007F3DE7" ma:contentTypeVersion="0" ma:contentTypeDescription="Create a new document." ma:contentTypeScope="" ma:versionID="dbaca34d9c01037047263281d366c82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CC4F0-403A-413D-856A-BD6CE4B40D19}">
  <ds:schemaRefs>
    <ds:schemaRef ds:uri="http://schemas.microsoft.com/sharepoint/v3/contenttype/forms"/>
  </ds:schemaRefs>
</ds:datastoreItem>
</file>

<file path=customXml/itemProps2.xml><?xml version="1.0" encoding="utf-8"?>
<ds:datastoreItem xmlns:ds="http://schemas.openxmlformats.org/officeDocument/2006/customXml" ds:itemID="{2CCEF6FA-0FA6-489C-A34F-E7C9CCB265F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6437C07-E3C9-4FEB-AA4B-D80E17C57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487F5A9-BBFD-47B2-8EB7-2C06D8507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437</Words>
  <Characters>2701</Characters>
  <Application>Microsoft Office Word</Application>
  <DocSecurity>0</DocSecurity>
  <Lines>61</Lines>
  <Paragraphs>45</Paragraphs>
  <ScaleCrop>false</ScaleCrop>
  <HeadingPairs>
    <vt:vector size="2" baseType="variant">
      <vt:variant>
        <vt:lpstr>Title</vt:lpstr>
      </vt:variant>
      <vt:variant>
        <vt:i4>1</vt:i4>
      </vt:variant>
    </vt:vector>
  </HeadingPairs>
  <TitlesOfParts>
    <vt:vector size="1" baseType="lpstr">
      <vt:lpstr>Cultural Funding by Government—2020–21 - Australian Government</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Cultural Funding by Government—2020–21—Australian Government</dc:title>
  <dc:subject/>
  <dc:creator/>
  <cp:keywords/>
  <dc:description>Prepared by a consultant from the Australian Bureau of Statistics.</dc:description>
  <cp:lastModifiedBy/>
  <cp:revision>1</cp:revision>
  <dcterms:created xsi:type="dcterms:W3CDTF">2022-10-06T00:11:00Z</dcterms:created>
  <dcterms:modified xsi:type="dcterms:W3CDTF">2022-10-10T02:01:00Z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e5a7ee-c283-40b0-98eb-fa437df4c031_Name">
    <vt:lpwstr>OFFICIAL</vt:lpwstr>
  </property>
  <property fmtid="{D5CDD505-2E9C-101B-9397-08002B2CF9AE}" pid="3" name="MSIP_Label_c8e5a7ee-c283-40b0-98eb-fa437df4c031_ContentBits">
    <vt:lpwstr>0</vt:lpwstr>
  </property>
  <property fmtid="{D5CDD505-2E9C-101B-9397-08002B2CF9AE}" pid="4" name="ContentTypeId">
    <vt:lpwstr>0x0101005B92D076D5FC414DB2EA38F1007F3DE7</vt:lpwstr>
  </property>
  <property fmtid="{D5CDD505-2E9C-101B-9397-08002B2CF9AE}" pid="5" name="MSIP_Label_c8e5a7ee-c283-40b0-98eb-fa437df4c031_SetDate">
    <vt:lpwstr>2021-05-24T06:12:49Z</vt:lpwstr>
  </property>
  <property fmtid="{D5CDD505-2E9C-101B-9397-08002B2CF9AE}" pid="6" name="MSIP_Label_c8e5a7ee-c283-40b0-98eb-fa437df4c031_ActionId">
    <vt:lpwstr>36e9c0c6-e779-4b10-951d-afe6c3648178</vt:lpwstr>
  </property>
  <property fmtid="{D5CDD505-2E9C-101B-9397-08002B2CF9AE}" pid="7" name="TrimRevisionNumber">
    <vt:i4>11</vt:i4>
  </property>
  <property fmtid="{D5CDD505-2E9C-101B-9397-08002B2CF9AE}" pid="8" name="MSIP_Label_c8e5a7ee-c283-40b0-98eb-fa437df4c031_SiteId">
    <vt:lpwstr>34cdb737-c4fa-4c21-9a34-88ac2d721f88</vt:lpwstr>
  </property>
  <property fmtid="{D5CDD505-2E9C-101B-9397-08002B2CF9AE}" pid="9" name="MSIP_Label_c8e5a7ee-c283-40b0-98eb-fa437df4c031_Method">
    <vt:lpwstr>Privileged</vt:lpwstr>
  </property>
  <property fmtid="{D5CDD505-2E9C-101B-9397-08002B2CF9AE}" pid="10" name="MSIP_Label_c8e5a7ee-c283-40b0-98eb-fa437df4c031_Enabled">
    <vt:lpwstr>true</vt:lpwstr>
  </property>
</Properties>
</file>