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D0CDD" w14:textId="77777777" w:rsidR="003B07B6" w:rsidRPr="009951F1" w:rsidRDefault="003B07B6" w:rsidP="009951F1">
      <w:pPr>
        <w:pStyle w:val="Heading1"/>
      </w:pPr>
      <w:bookmarkStart w:id="0" w:name="_GoBack"/>
      <w:bookmarkEnd w:id="0"/>
      <w:r w:rsidRPr="009951F1">
        <w:t>Creative Economy Taskforce</w:t>
      </w:r>
    </w:p>
    <w:p w14:paraId="0B936DD4" w14:textId="05C22BD4" w:rsidR="003B07B6" w:rsidRPr="009951F1" w:rsidRDefault="003B07B6" w:rsidP="003B07B6">
      <w:pPr>
        <w:shd w:val="clear" w:color="auto" w:fill="44546A" w:themeFill="text2"/>
        <w:rPr>
          <w:rFonts w:cstheme="minorHAnsi"/>
          <w:color w:val="FFFFFF" w:themeColor="background1"/>
          <w:sz w:val="32"/>
          <w:szCs w:val="32"/>
        </w:rPr>
      </w:pPr>
      <w:r w:rsidRPr="009951F1">
        <w:rPr>
          <w:rFonts w:cstheme="minorHAnsi"/>
          <w:color w:val="FFFFFF" w:themeColor="background1"/>
          <w:sz w:val="32"/>
          <w:szCs w:val="32"/>
        </w:rPr>
        <w:t>Statement</w:t>
      </w:r>
      <w:r w:rsidR="009951F1">
        <w:rPr>
          <w:rFonts w:cstheme="minorHAnsi"/>
          <w:color w:val="FFFFFF" w:themeColor="background1"/>
          <w:sz w:val="32"/>
          <w:szCs w:val="32"/>
        </w:rPr>
        <w:t>—</w:t>
      </w:r>
      <w:r w:rsidR="003924BA" w:rsidRPr="009951F1">
        <w:rPr>
          <w:rFonts w:cstheme="minorHAnsi"/>
          <w:color w:val="FFFFFF" w:themeColor="background1"/>
          <w:sz w:val="32"/>
          <w:szCs w:val="32"/>
        </w:rPr>
        <w:t>10</w:t>
      </w:r>
      <w:r w:rsidR="0066621D" w:rsidRPr="009951F1">
        <w:rPr>
          <w:rFonts w:cstheme="minorHAnsi"/>
          <w:color w:val="FFFFFF" w:themeColor="background1"/>
          <w:sz w:val="32"/>
          <w:szCs w:val="32"/>
        </w:rPr>
        <w:t xml:space="preserve"> September 2021</w:t>
      </w:r>
    </w:p>
    <w:p w14:paraId="608BA4A1" w14:textId="60233560" w:rsidR="009D3FE5" w:rsidRPr="00572D48" w:rsidRDefault="008335FA" w:rsidP="009951F1">
      <w:r w:rsidRPr="00572D48">
        <w:t xml:space="preserve">The Creative Economy Taskforce strongly </w:t>
      </w:r>
      <w:r w:rsidR="009C61AD" w:rsidRPr="00572D48">
        <w:t>endorses the importance of</w:t>
      </w:r>
      <w:r w:rsidRPr="00572D48">
        <w:t xml:space="preserve"> </w:t>
      </w:r>
      <w:r w:rsidR="009C61AD" w:rsidRPr="00572D48">
        <w:t>vaccinations</w:t>
      </w:r>
      <w:r w:rsidR="00DD41F8" w:rsidRPr="00572D48">
        <w:t xml:space="preserve"> for Australia’s reopening. Vaccinations</w:t>
      </w:r>
      <w:r w:rsidR="009C61AD" w:rsidRPr="00572D48">
        <w:t xml:space="preserve"> a</w:t>
      </w:r>
      <w:r w:rsidR="00DD41F8" w:rsidRPr="00572D48">
        <w:t>re</w:t>
      </w:r>
      <w:r w:rsidRPr="00572D48">
        <w:t xml:space="preserve"> the pathway to getting shows back on</w:t>
      </w:r>
      <w:r w:rsidR="00651E0C">
        <w:t xml:space="preserve">, </w:t>
      </w:r>
      <w:r w:rsidRPr="00572D48">
        <w:t>workers back in jobs and communities enjoying the activities which lift our spirits</w:t>
      </w:r>
      <w:r w:rsidR="000B6449">
        <w:t>,</w:t>
      </w:r>
      <w:r w:rsidRPr="00572D48">
        <w:t xml:space="preserve"> keep us connected</w:t>
      </w:r>
      <w:r w:rsidR="00E947B5">
        <w:t xml:space="preserve"> and boost the economic recovery. </w:t>
      </w:r>
      <w:r w:rsidR="00881921" w:rsidRPr="00572D48">
        <w:t>In addition, n</w:t>
      </w:r>
      <w:r w:rsidR="00DD64F9" w:rsidRPr="00572D48">
        <w:t xml:space="preserve">ational consistency and clarity on when businesses will be able to resume operations is </w:t>
      </w:r>
      <w:r w:rsidR="00D80FB1" w:rsidRPr="00572D48">
        <w:t xml:space="preserve">urgently needed to retain </w:t>
      </w:r>
      <w:r w:rsidR="00881921" w:rsidRPr="00572D48">
        <w:t>skilled workers and to factor in the long lead-times for delivering live performances</w:t>
      </w:r>
      <w:r w:rsidR="009951F1">
        <w:t>.</w:t>
      </w:r>
    </w:p>
    <w:p w14:paraId="694AA1EB" w14:textId="77777777" w:rsidR="006E5AED" w:rsidRPr="00572D48" w:rsidRDefault="009D3FE5" w:rsidP="009951F1">
      <w:r w:rsidRPr="00572D48">
        <w:t>Australia’s</w:t>
      </w:r>
      <w:r w:rsidR="00803EB7" w:rsidRPr="00572D48">
        <w:t xml:space="preserve"> cultural and creative industries are critically important for the economy, contributing $115 billion and employing over 600,000 Australians.</w:t>
      </w:r>
      <w:r w:rsidR="00BA5047" w:rsidRPr="00572D48">
        <w:t xml:space="preserve"> The sector has</w:t>
      </w:r>
      <w:r w:rsidRPr="00572D48">
        <w:t xml:space="preserve"> been hit hard by COVID-19 impacts such as restrictions on mass gatherings and venue capacities, domestic and international border closures, and recurrent snap lockdowns. </w:t>
      </w:r>
    </w:p>
    <w:p w14:paraId="08A432AB" w14:textId="2EB60BB3" w:rsidR="00BA5047" w:rsidRPr="00572D48" w:rsidRDefault="006E5AED" w:rsidP="009951F1">
      <w:r w:rsidRPr="00572D48">
        <w:t xml:space="preserve">The Creative Economy Taskforce welcomes the Government’s additional investments in the cultural and creative sector and broader economy as being critical lifelines through this difficult period. </w:t>
      </w:r>
      <w:r w:rsidR="009D3FE5" w:rsidRPr="00572D48">
        <w:t>The</w:t>
      </w:r>
      <w:r w:rsidRPr="00572D48">
        <w:t xml:space="preserve"> </w:t>
      </w:r>
      <w:r w:rsidR="009D3FE5" w:rsidRPr="00572D48">
        <w:t xml:space="preserve">sector has innovated and </w:t>
      </w:r>
      <w:r w:rsidR="00803EB7" w:rsidRPr="00572D48">
        <w:t>adapted</w:t>
      </w:r>
      <w:r w:rsidR="009D3FE5" w:rsidRPr="00572D48">
        <w:t xml:space="preserve"> as much as possible within ongoing constraints, </w:t>
      </w:r>
      <w:r w:rsidRPr="00572D48">
        <w:t xml:space="preserve">and will be able to </w:t>
      </w:r>
      <w:r w:rsidR="00803EB7" w:rsidRPr="00572D48">
        <w:t xml:space="preserve">fully reopen </w:t>
      </w:r>
      <w:r w:rsidR="00BA5047" w:rsidRPr="00572D48">
        <w:t xml:space="preserve">in a viable manner </w:t>
      </w:r>
      <w:r w:rsidRPr="00572D48">
        <w:t>when</w:t>
      </w:r>
      <w:r w:rsidR="00803EB7" w:rsidRPr="00572D48">
        <w:t xml:space="preserve"> there is more widespread vaccination coverage. </w:t>
      </w:r>
    </w:p>
    <w:p w14:paraId="4765C752" w14:textId="66DB280F" w:rsidR="0035511B" w:rsidRPr="00572D48" w:rsidRDefault="00547B0B" w:rsidP="009951F1">
      <w:r w:rsidRPr="00572D48">
        <w:t>In accordance with the National Plan to transition Australia’s National COVID-19 Response, n</w:t>
      </w:r>
      <w:r w:rsidR="00BA5047" w:rsidRPr="00572D48">
        <w:t>ational agreement on reopening parameters</w:t>
      </w:r>
      <w:r w:rsidRPr="00572D48">
        <w:t xml:space="preserve"> </w:t>
      </w:r>
      <w:r w:rsidR="006952EF" w:rsidRPr="00572D48">
        <w:t>is</w:t>
      </w:r>
      <w:r w:rsidRPr="00572D48">
        <w:t xml:space="preserve"> essential to provide confidence and certainty for all businesses, including minimal restrictions on </w:t>
      </w:r>
      <w:r w:rsidR="002F1346">
        <w:t xml:space="preserve">capacity </w:t>
      </w:r>
      <w:r w:rsidRPr="00572D48">
        <w:t>that are consistent with other industries such as sport.</w:t>
      </w:r>
      <w:r w:rsidR="00DD64F9" w:rsidRPr="00572D48">
        <w:t xml:space="preserve"> </w:t>
      </w:r>
      <w:r w:rsidR="00EB7048" w:rsidRPr="00572D48">
        <w:t>A nationally consistent pathway for reopening</w:t>
      </w:r>
      <w:r w:rsidR="00DD64F9" w:rsidRPr="00572D48">
        <w:t xml:space="preserve"> is</w:t>
      </w:r>
      <w:r w:rsidRPr="00572D48">
        <w:t xml:space="preserve"> especially important for businesses involving tours and skilled workers from multiple jurisdictions.</w:t>
      </w:r>
      <w:r w:rsidR="00C06055" w:rsidRPr="00572D48">
        <w:t xml:space="preserve"> </w:t>
      </w:r>
    </w:p>
    <w:p w14:paraId="1030EBD5" w14:textId="168FCFC7" w:rsidR="00BA5047" w:rsidRPr="00572D48" w:rsidRDefault="0035511B" w:rsidP="009951F1">
      <w:r w:rsidRPr="00572D48">
        <w:t xml:space="preserve">Live performances are only financially viable at full capacities, which can be managed in a COVIDSafe manner as already demonstrated in various Australian locations. </w:t>
      </w:r>
      <w:r w:rsidR="00C06055" w:rsidRPr="00572D48">
        <w:t>The arts and ent</w:t>
      </w:r>
      <w:r w:rsidR="00770AB1" w:rsidRPr="00572D48">
        <w:t xml:space="preserve">ertainment sector </w:t>
      </w:r>
      <w:r w:rsidRPr="00572D48">
        <w:t xml:space="preserve">also </w:t>
      </w:r>
      <w:r w:rsidR="00770AB1" w:rsidRPr="00572D48">
        <w:t>has long lead</w:t>
      </w:r>
      <w:r w:rsidR="00770AB1" w:rsidRPr="00572D48">
        <w:noBreakHyphen/>
      </w:r>
      <w:r w:rsidR="00C06055" w:rsidRPr="00572D48">
        <w:t>times for planning</w:t>
      </w:r>
      <w:r w:rsidR="00881921" w:rsidRPr="00572D48">
        <w:t>, securing creative talent</w:t>
      </w:r>
      <w:r w:rsidR="00C06055" w:rsidRPr="00572D48">
        <w:t xml:space="preserve"> </w:t>
      </w:r>
      <w:r w:rsidR="00770AB1" w:rsidRPr="00572D48">
        <w:t xml:space="preserve">and creative </w:t>
      </w:r>
      <w:r w:rsidRPr="00572D48">
        <w:t>development such as rehearsals</w:t>
      </w:r>
      <w:r w:rsidR="00881921" w:rsidRPr="00572D48">
        <w:t xml:space="preserve">. The sector </w:t>
      </w:r>
      <w:r w:rsidRPr="00572D48">
        <w:t xml:space="preserve">therefore </w:t>
      </w:r>
      <w:r w:rsidR="00C06055" w:rsidRPr="00572D48">
        <w:t xml:space="preserve">requires certainty </w:t>
      </w:r>
      <w:r w:rsidR="008316D4" w:rsidRPr="00572D48">
        <w:t xml:space="preserve">about </w:t>
      </w:r>
      <w:r w:rsidR="000C32F2" w:rsidRPr="00572D48">
        <w:t xml:space="preserve">future </w:t>
      </w:r>
      <w:r w:rsidR="008316D4" w:rsidRPr="00572D48">
        <w:t xml:space="preserve">health settings </w:t>
      </w:r>
      <w:r w:rsidR="00C06055" w:rsidRPr="00572D48">
        <w:t xml:space="preserve">now to be ready to </w:t>
      </w:r>
      <w:r w:rsidR="003766A2" w:rsidRPr="00572D48">
        <w:t xml:space="preserve">launch events </w:t>
      </w:r>
      <w:r w:rsidR="008B7B49" w:rsidRPr="00572D48">
        <w:t>when</w:t>
      </w:r>
      <w:r w:rsidR="00941A65" w:rsidRPr="00572D48">
        <w:t xml:space="preserve"> higher</w:t>
      </w:r>
      <w:r w:rsidR="00C06055" w:rsidRPr="00572D48">
        <w:t xml:space="preserve"> vaccination </w:t>
      </w:r>
      <w:r w:rsidR="00941A65" w:rsidRPr="00572D48">
        <w:t xml:space="preserve">rates </w:t>
      </w:r>
      <w:r w:rsidR="00C06055" w:rsidRPr="00572D48">
        <w:t xml:space="preserve">are achieved. </w:t>
      </w:r>
    </w:p>
    <w:p w14:paraId="33DD0666" w14:textId="41F351DB" w:rsidR="0066621D" w:rsidRPr="00572D48" w:rsidRDefault="008E55EA" w:rsidP="009951F1">
      <w:r w:rsidRPr="00572D48">
        <w:t>Australia can lea</w:t>
      </w:r>
      <w:r w:rsidR="009D3FE5" w:rsidRPr="00572D48">
        <w:t xml:space="preserve">rn from best practice models </w:t>
      </w:r>
      <w:r w:rsidRPr="00572D48">
        <w:t>overseas,</w:t>
      </w:r>
      <w:r w:rsidR="00547B0B" w:rsidRPr="00572D48">
        <w:t xml:space="preserve"> especially in Europe and North </w:t>
      </w:r>
      <w:r w:rsidRPr="00572D48">
        <w:t xml:space="preserve">America, where many countries are </w:t>
      </w:r>
      <w:r w:rsidR="00547B0B" w:rsidRPr="00572D48">
        <w:t xml:space="preserve">normalising “living with COVID” and </w:t>
      </w:r>
      <w:r w:rsidRPr="00572D48">
        <w:t xml:space="preserve">reopening with full capacities at </w:t>
      </w:r>
      <w:r w:rsidR="00547B0B" w:rsidRPr="00572D48">
        <w:t>events</w:t>
      </w:r>
      <w:r w:rsidRPr="00572D48">
        <w:t xml:space="preserve"> and</w:t>
      </w:r>
      <w:r w:rsidR="00547B0B" w:rsidRPr="00572D48">
        <w:t xml:space="preserve"> minimal</w:t>
      </w:r>
      <w:r w:rsidRPr="00572D48">
        <w:t xml:space="preserve"> restrictions, such as face masks and proof of vaccination</w:t>
      </w:r>
      <w:r w:rsidR="00547B0B" w:rsidRPr="00572D48">
        <w:t xml:space="preserve"> upon entry</w:t>
      </w:r>
      <w:r w:rsidRPr="00572D48">
        <w:t>.</w:t>
      </w:r>
    </w:p>
    <w:p w14:paraId="40DB29AA" w14:textId="5AA027FE" w:rsidR="001E276A" w:rsidRDefault="00BA5047" w:rsidP="009951F1">
      <w:r w:rsidRPr="00572D48">
        <w:t xml:space="preserve">The Creative Economy Taskforce is encouraged by the take-up of vaccinations by people across Australia and urges those who are not yet vaccinated to consider doing so as soon as they are eligible. Once we reach the nationally agreed </w:t>
      </w:r>
      <w:r w:rsidR="00941A65" w:rsidRPr="00572D48">
        <w:t xml:space="preserve">rates </w:t>
      </w:r>
      <w:r w:rsidRPr="00572D48">
        <w:t>of vaccination coverage, we can all get back to doing the activities which bring us joy</w:t>
      </w:r>
      <w:r w:rsidR="00864F06" w:rsidRPr="00572D48">
        <w:t xml:space="preserve"> and contribute to our economy</w:t>
      </w:r>
      <w:r w:rsidRPr="00572D48">
        <w:t>.</w:t>
      </w:r>
      <w:r>
        <w:t xml:space="preserve"> </w:t>
      </w:r>
    </w:p>
    <w:p w14:paraId="40A093C4" w14:textId="0C74994D" w:rsidR="001E276A" w:rsidRDefault="009951F1" w:rsidP="009951F1">
      <w:r>
        <w:t>__________________________________________________________________________________</w:t>
      </w:r>
    </w:p>
    <w:p w14:paraId="568E0CCB" w14:textId="16968386" w:rsidR="003B07B6" w:rsidRPr="003B07B6" w:rsidRDefault="003B07B6" w:rsidP="009951F1">
      <w:r>
        <w:t xml:space="preserve">The Creative Economy Taskforce is composed of eminent leaders within Australia’s cultural and creative sector </w:t>
      </w:r>
      <w:r w:rsidR="006C426F">
        <w:t>who provide</w:t>
      </w:r>
      <w:r>
        <w:t xml:space="preserve"> advice and support to the Government on the creative economy</w:t>
      </w:r>
      <w:r w:rsidR="006C426F">
        <w:t>, particularly as Australia rebuilds from the effects of COVID-19</w:t>
      </w:r>
      <w:r>
        <w:t xml:space="preserve">. Further information is available at </w:t>
      </w:r>
      <w:hyperlink r:id="rId11" w:history="1">
        <w:r w:rsidRPr="001D3ECF">
          <w:rPr>
            <w:rStyle w:val="Hyperlink"/>
            <w:rFonts w:ascii="Times New Roman" w:hAnsi="Times New Roman" w:cs="Times New Roman"/>
            <w:sz w:val="24"/>
            <w:szCs w:val="24"/>
          </w:rPr>
          <w:t>www.arts.gov.au/covid-19-update/creative-economy-taskforce</w:t>
        </w:r>
      </w:hyperlink>
      <w:r>
        <w:t xml:space="preserve">. </w:t>
      </w:r>
    </w:p>
    <w:sectPr w:rsidR="003B07B6" w:rsidRPr="003B07B6" w:rsidSect="00941A65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82213" w14:textId="77777777" w:rsidR="00387F25" w:rsidRDefault="00387F25" w:rsidP="008E55EA">
      <w:pPr>
        <w:spacing w:after="0" w:line="240" w:lineRule="auto"/>
      </w:pPr>
      <w:r>
        <w:separator/>
      </w:r>
    </w:p>
  </w:endnote>
  <w:endnote w:type="continuationSeparator" w:id="0">
    <w:p w14:paraId="4A0B5F5E" w14:textId="77777777" w:rsidR="00387F25" w:rsidRDefault="00387F25" w:rsidP="008E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55713" w14:textId="77777777" w:rsidR="00387F25" w:rsidRDefault="00387F25" w:rsidP="008E55EA">
      <w:pPr>
        <w:spacing w:after="0" w:line="240" w:lineRule="auto"/>
      </w:pPr>
      <w:r>
        <w:separator/>
      </w:r>
    </w:p>
  </w:footnote>
  <w:footnote w:type="continuationSeparator" w:id="0">
    <w:p w14:paraId="6D8B21E2" w14:textId="77777777" w:rsidR="00387F25" w:rsidRDefault="00387F25" w:rsidP="008E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E540B"/>
    <w:multiLevelType w:val="hybridMultilevel"/>
    <w:tmpl w:val="3132B490"/>
    <w:lvl w:ilvl="0" w:tplc="A5563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2A8A9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108CD"/>
    <w:multiLevelType w:val="hybridMultilevel"/>
    <w:tmpl w:val="DD42C7BA"/>
    <w:lvl w:ilvl="0" w:tplc="393054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051FAF"/>
    <w:multiLevelType w:val="hybridMultilevel"/>
    <w:tmpl w:val="4A4EE7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B6"/>
    <w:rsid w:val="00013495"/>
    <w:rsid w:val="00071691"/>
    <w:rsid w:val="000B6449"/>
    <w:rsid w:val="000C32F2"/>
    <w:rsid w:val="001C72CF"/>
    <w:rsid w:val="001E276A"/>
    <w:rsid w:val="002F1346"/>
    <w:rsid w:val="0035511B"/>
    <w:rsid w:val="003766A2"/>
    <w:rsid w:val="00387F25"/>
    <w:rsid w:val="003924BA"/>
    <w:rsid w:val="003B07B6"/>
    <w:rsid w:val="00462A51"/>
    <w:rsid w:val="0052667E"/>
    <w:rsid w:val="00526CF5"/>
    <w:rsid w:val="00537154"/>
    <w:rsid w:val="00547B0B"/>
    <w:rsid w:val="00572D48"/>
    <w:rsid w:val="00651E0C"/>
    <w:rsid w:val="0066621D"/>
    <w:rsid w:val="00676867"/>
    <w:rsid w:val="00692F01"/>
    <w:rsid w:val="006952EF"/>
    <w:rsid w:val="006C320D"/>
    <w:rsid w:val="006C426F"/>
    <w:rsid w:val="006E5AED"/>
    <w:rsid w:val="00770AB1"/>
    <w:rsid w:val="00803EB7"/>
    <w:rsid w:val="008316D4"/>
    <w:rsid w:val="008335FA"/>
    <w:rsid w:val="00864F06"/>
    <w:rsid w:val="00870C37"/>
    <w:rsid w:val="00881921"/>
    <w:rsid w:val="008B7B49"/>
    <w:rsid w:val="008E55EA"/>
    <w:rsid w:val="008F3832"/>
    <w:rsid w:val="00913359"/>
    <w:rsid w:val="00941A65"/>
    <w:rsid w:val="009951F1"/>
    <w:rsid w:val="009B6F9F"/>
    <w:rsid w:val="009C61AD"/>
    <w:rsid w:val="009D3FE5"/>
    <w:rsid w:val="009E5AED"/>
    <w:rsid w:val="00AF4A3F"/>
    <w:rsid w:val="00B13ED3"/>
    <w:rsid w:val="00B91DBC"/>
    <w:rsid w:val="00BA5047"/>
    <w:rsid w:val="00C06055"/>
    <w:rsid w:val="00C76539"/>
    <w:rsid w:val="00D717E2"/>
    <w:rsid w:val="00D80FB1"/>
    <w:rsid w:val="00DD41F8"/>
    <w:rsid w:val="00DD64F9"/>
    <w:rsid w:val="00E41FA4"/>
    <w:rsid w:val="00E947B5"/>
    <w:rsid w:val="00EB7048"/>
    <w:rsid w:val="00F54F5F"/>
    <w:rsid w:val="00F83159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8FDDAC7"/>
  <w15:docId w15:val="{5554D4B1-E62E-4D72-AE46-1DAF945C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1F1"/>
  </w:style>
  <w:style w:type="paragraph" w:styleId="Heading1">
    <w:name w:val="heading 1"/>
    <w:basedOn w:val="Normal"/>
    <w:next w:val="Normal"/>
    <w:link w:val="Heading1Char"/>
    <w:uiPriority w:val="9"/>
    <w:qFormat/>
    <w:rsid w:val="009951F1"/>
    <w:pPr>
      <w:keepNext/>
      <w:keepLines/>
      <w:shd w:val="clear" w:color="auto" w:fill="44546A" w:themeFill="text2"/>
      <w:spacing w:after="120"/>
      <w:outlineLvl w:val="0"/>
    </w:pPr>
    <w:rPr>
      <w:rFonts w:eastAsiaTheme="majorEastAsia" w:cstheme="minorHAnsi"/>
      <w:b/>
      <w:color w:val="FFFFFF" w:themeColor="background1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1F1"/>
    <w:rPr>
      <w:rFonts w:eastAsiaTheme="majorEastAsia" w:cstheme="minorHAnsi"/>
      <w:b/>
      <w:color w:val="FFFFFF" w:themeColor="background1"/>
      <w:sz w:val="40"/>
      <w:szCs w:val="40"/>
      <w:shd w:val="clear" w:color="auto" w:fill="44546A" w:themeFill="text2"/>
    </w:rPr>
  </w:style>
  <w:style w:type="paragraph" w:customStyle="1" w:styleId="Default">
    <w:name w:val="Default"/>
    <w:rsid w:val="003B0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B07B6"/>
    <w:rPr>
      <w:b/>
      <w:bCs/>
    </w:rPr>
  </w:style>
  <w:style w:type="character" w:styleId="Hyperlink">
    <w:name w:val="Hyperlink"/>
    <w:basedOn w:val="DefaultParagraphFont"/>
    <w:uiPriority w:val="99"/>
    <w:unhideWhenUsed/>
    <w:rsid w:val="003B07B6"/>
    <w:rPr>
      <w:color w:val="0563C1" w:themeColor="hyperlink"/>
      <w:u w:val="single"/>
    </w:rPr>
  </w:style>
  <w:style w:type="paragraph" w:styleId="ListParagraph">
    <w:name w:val="List Paragraph"/>
    <w:aliases w:val="Bullet 1,Bullet Points,CV text,Dot pt,F5 List Paragraph,Indicator Text,L,List Paragraph Char Char Char,List Paragraph1,List Paragraph11,List Paragraph12,MAIN CONTENT,No Spacing1,Numbered Para 1,Recommendation,bullet point list,列出段,Main,列"/>
    <w:basedOn w:val="Normal"/>
    <w:link w:val="ListParagraphChar"/>
    <w:uiPriority w:val="34"/>
    <w:qFormat/>
    <w:rsid w:val="0066621D"/>
    <w:pPr>
      <w:ind w:left="720"/>
      <w:contextualSpacing/>
    </w:pPr>
  </w:style>
  <w:style w:type="character" w:customStyle="1" w:styleId="ListParagraphChar">
    <w:name w:val="List Paragraph Char"/>
    <w:aliases w:val="Bullet 1 Char,Bullet Points Char,CV text Char,Dot pt Char,F5 List Paragraph Char,Indicator Text Char,L Char,List Paragraph Char Char Char Char,List Paragraph1 Char,List Paragraph11 Char,List Paragraph12 Char,MAIN CONTENT Char,列 Char"/>
    <w:link w:val="ListParagraph"/>
    <w:uiPriority w:val="34"/>
    <w:qFormat/>
    <w:rsid w:val="0066621D"/>
  </w:style>
  <w:style w:type="character" w:styleId="Emphasis">
    <w:name w:val="Emphasis"/>
    <w:basedOn w:val="DefaultParagraphFont"/>
    <w:uiPriority w:val="20"/>
    <w:qFormat/>
    <w:rsid w:val="0066621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E5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EA"/>
  </w:style>
  <w:style w:type="paragraph" w:styleId="Footer">
    <w:name w:val="footer"/>
    <w:basedOn w:val="Normal"/>
    <w:link w:val="FooterChar"/>
    <w:uiPriority w:val="99"/>
    <w:unhideWhenUsed/>
    <w:rsid w:val="008E5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5EA"/>
  </w:style>
  <w:style w:type="paragraph" w:styleId="BalloonText">
    <w:name w:val="Balloon Text"/>
    <w:basedOn w:val="Normal"/>
    <w:link w:val="BalloonTextChar"/>
    <w:uiPriority w:val="99"/>
    <w:semiHidden/>
    <w:unhideWhenUsed/>
    <w:rsid w:val="00071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rts.gov.au/covid-19-update/creative-economy-taskforc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BA1D07FB34547B1CB41DECD234726" ma:contentTypeVersion="0" ma:contentTypeDescription="Create a new document." ma:contentTypeScope="" ma:versionID="5b855f94cf58c667d396fdb9013b67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7BCDC-B1A1-40E8-BFAA-82D3A6E4C5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F47BB-61C5-4539-A347-1493C50B6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E44332-FAC8-4564-B2D9-96FB768158E6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6FA6992-0400-49E3-8973-528AFB7C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470</Words>
  <Characters>2882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Creative Economy Taskforce—Statement—10 September 2021</vt:lpstr>
    </vt:vector>
  </TitlesOfParts>
  <Company>Department of Infrastructure, Transport, Regional Development and Communictions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Economy Taskforce—Statement—10 September 2021</dc:title>
  <dc:subject/>
  <dc:creator>Department of Infrastructure, Transport, Regional Development and Communictions</dc:creator>
  <cp:keywords/>
  <dc:description/>
  <cp:lastModifiedBy>Hall, Theresa</cp:lastModifiedBy>
  <cp:revision>3</cp:revision>
  <dcterms:created xsi:type="dcterms:W3CDTF">2021-09-10T04:52:00Z</dcterms:created>
  <dcterms:modified xsi:type="dcterms:W3CDTF">2021-09-10T04:55:00Z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0x010100A6ABA1D07FB34547B1CB41DECD234726</vt:lpwstr>
  </property>
  <property fmtid="{D5CDD505-2E9C-101B-9397-08002B2CF9AE}" pid="3" name="TrimRevisionNumber">
    <vt:i4>5</vt:i4>
  </property>
</Properties>
</file>