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B3785F" w:rsidP="00822DBF">
      <w:pPr>
        <w:spacing w:after="0"/>
        <w:ind w:left="-1418"/>
        <w:sectPr w:rsidR="00133A45" w:rsidSect="00EA415A">
          <w:headerReference w:type="default" r:id="rId8"/>
          <w:footerReference w:type="default" r:id="rId9"/>
          <w:footerReference w:type="first" r:id="rId10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bookmarkStart w:id="0" w:name="_Hlk110256738"/>
      <w:bookmarkEnd w:id="0"/>
      <w:r>
        <w:rPr>
          <w:noProof/>
        </w:rPr>
        <w:drawing>
          <wp:inline distT="0" distB="0" distL="0" distR="0" wp14:anchorId="1C04634D" wp14:editId="6F624F0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CB" w:rsidRPr="00C50C61" w:rsidRDefault="006635B3" w:rsidP="00DB7BCE">
      <w:pPr>
        <w:pStyle w:val="Heading1"/>
        <w:spacing w:before="240"/>
      </w:pPr>
      <w:r>
        <w:t>Buying legally—</w:t>
      </w:r>
      <w:r w:rsidRPr="006635B3">
        <w:t>making</w:t>
      </w:r>
      <w:r>
        <w:t xml:space="preserve"> sure it’s above board</w:t>
      </w:r>
    </w:p>
    <w:p w:rsidR="00B041CB" w:rsidRPr="00B041CB" w:rsidRDefault="00C50C61" w:rsidP="00B041CB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August</w:t>
      </w:r>
      <w:r w:rsidR="00B041CB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2022</w:t>
      </w:r>
    </w:p>
    <w:p w:rsidR="00B041CB" w:rsidRPr="00B041CB" w:rsidRDefault="00B041CB" w:rsidP="00DB7BCE">
      <w:pPr>
        <w:pBdr>
          <w:bottom w:val="single" w:sz="4" w:space="1" w:color="C0D48F"/>
        </w:pBdr>
        <w:suppressAutoHyphens/>
        <w:spacing w:before="160" w:after="240"/>
        <w:rPr>
          <w:rFonts w:eastAsia="Calibri" w:cs="Times New Roman"/>
          <w:color w:val="000000"/>
          <w:kern w:val="12"/>
          <w:sz w:val="20"/>
          <w:szCs w:val="20"/>
        </w:rPr>
      </w:pPr>
    </w:p>
    <w:p w:rsidR="006635B3" w:rsidRDefault="006635B3" w:rsidP="006635B3">
      <w:pPr>
        <w:rPr>
          <w:rFonts w:ascii="Segoe UI" w:hAnsi="Segoe UI"/>
        </w:rPr>
      </w:pPr>
      <w:r>
        <w:t>Before buying cultural property, do your research.</w:t>
      </w:r>
    </w:p>
    <w:p w:rsidR="006635B3" w:rsidRDefault="006635B3" w:rsidP="00DB7BCE">
      <w:pPr>
        <w:pStyle w:val="Heading2"/>
        <w:spacing w:before="240"/>
      </w:pPr>
      <w:r>
        <w:t xml:space="preserve">The </w:t>
      </w:r>
      <w:r w:rsidRPr="006635B3">
        <w:t>seller</w:t>
      </w:r>
    </w:p>
    <w:p w:rsidR="006635B3" w:rsidRDefault="006635B3" w:rsidP="006635B3">
      <w:pPr>
        <w:pStyle w:val="Bulletlevel1"/>
        <w:spacing w:line="276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Verify the identity of the seller.</w:t>
      </w:r>
      <w:bookmarkStart w:id="1" w:name="_GoBack"/>
      <w:bookmarkEnd w:id="1"/>
    </w:p>
    <w:p w:rsidR="006635B3" w:rsidRDefault="006635B3" w:rsidP="006635B3">
      <w:pPr>
        <w:pStyle w:val="Bulletlevel1"/>
        <w:spacing w:line="276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Buy from a member of a professional trade association.</w:t>
      </w:r>
    </w:p>
    <w:p w:rsidR="006635B3" w:rsidRDefault="006635B3" w:rsidP="00DB7BCE">
      <w:pPr>
        <w:pStyle w:val="Heading2"/>
        <w:spacing w:before="240"/>
      </w:pPr>
      <w:r>
        <w:t>The object</w:t>
      </w:r>
    </w:p>
    <w:p w:rsidR="006635B3" w:rsidRPr="00DB7BCE" w:rsidRDefault="006635B3" w:rsidP="00DB7BCE">
      <w:r w:rsidRPr="00DB7BCE">
        <w:t>Check the object against:</w:t>
      </w:r>
    </w:p>
    <w:p w:rsidR="006635B3" w:rsidRDefault="006635B3" w:rsidP="006635B3">
      <w:pPr>
        <w:pStyle w:val="Bulletlevel1"/>
        <w:spacing w:line="276" w:lineRule="auto"/>
        <w:rPr>
          <w:rFonts w:ascii="Segoe UI" w:hAnsi="Segoe UI"/>
          <w:sz w:val="21"/>
        </w:rPr>
      </w:pPr>
      <w:r>
        <w:rPr>
          <w:rFonts w:ascii="Segoe UI" w:hAnsi="Segoe UI"/>
          <w:sz w:val="21"/>
        </w:rPr>
        <w:t>The Movable Cultural Heritage Prohibited Exports Register.</w:t>
      </w:r>
    </w:p>
    <w:p w:rsidR="006635B3" w:rsidRDefault="006635B3" w:rsidP="006635B3">
      <w:pPr>
        <w:pStyle w:val="Bulletlevel1"/>
        <w:spacing w:line="276" w:lineRule="auto"/>
        <w:rPr>
          <w:rFonts w:ascii="Segoe UI" w:hAnsi="Segoe UI"/>
          <w:sz w:val="21"/>
        </w:rPr>
      </w:pPr>
      <w:r>
        <w:rPr>
          <w:rFonts w:ascii="Segoe UI" w:hAnsi="Segoe UI"/>
          <w:sz w:val="21"/>
        </w:rPr>
        <w:t>The databases of stolen art such as:</w:t>
      </w:r>
    </w:p>
    <w:p w:rsidR="006635B3" w:rsidRDefault="006635B3" w:rsidP="006635B3">
      <w:r>
        <w:rPr>
          <w:b/>
        </w:rPr>
        <w:t>The Art Loss Register</w:t>
      </w:r>
      <w:r>
        <w:br/>
      </w:r>
      <w:hyperlink r:id="rId12" w:history="1">
        <w:r w:rsidRPr="003B6222">
          <w:rPr>
            <w:rStyle w:val="Hyperlink"/>
          </w:rPr>
          <w:t>www.artloss.com</w:t>
        </w:r>
      </w:hyperlink>
    </w:p>
    <w:p w:rsidR="006635B3" w:rsidRDefault="006635B3" w:rsidP="006635B3">
      <w:r>
        <w:rPr>
          <w:b/>
        </w:rPr>
        <w:t>Nazi Looted Art</w:t>
      </w:r>
      <w:r>
        <w:br/>
      </w:r>
      <w:hyperlink r:id="rId13" w:history="1">
        <w:r w:rsidRPr="003B6222">
          <w:rPr>
            <w:rStyle w:val="Hyperlink"/>
          </w:rPr>
          <w:t>www.lootedart.com</w:t>
        </w:r>
      </w:hyperlink>
    </w:p>
    <w:p w:rsidR="006635B3" w:rsidRDefault="006635B3" w:rsidP="006635B3">
      <w:r>
        <w:rPr>
          <w:b/>
        </w:rPr>
        <w:t>INTERPOL’s Stolen Works of Art</w:t>
      </w:r>
      <w:r>
        <w:br/>
      </w:r>
      <w:hyperlink r:id="rId14" w:history="1">
        <w:r w:rsidRPr="003B6222">
          <w:rPr>
            <w:rStyle w:val="Hyperlink"/>
          </w:rPr>
          <w:t>https://www.interpol.int/en/Crimes/Cultural-heritage-crime/Stolen-Works-of-Art-Database/Application-form</w:t>
        </w:r>
      </w:hyperlink>
      <w:r>
        <w:t xml:space="preserve"> </w:t>
      </w:r>
      <w:r>
        <w:t>to-access-INTERPOL-s-Works-of-Art-Database</w:t>
      </w:r>
    </w:p>
    <w:p w:rsidR="006635B3" w:rsidRDefault="006635B3" w:rsidP="006635B3">
      <w:r>
        <w:rPr>
          <w:b/>
        </w:rPr>
        <w:t>ICOM Red Lists of cultural objects at risk</w:t>
      </w:r>
      <w:r>
        <w:br/>
      </w:r>
      <w:hyperlink r:id="rId15" w:history="1">
        <w:r w:rsidRPr="003B6222">
          <w:rPr>
            <w:rStyle w:val="Hyperlink"/>
          </w:rPr>
          <w:t>www.icom.museum/en/resources/red-lists</w:t>
        </w:r>
      </w:hyperlink>
    </w:p>
    <w:p w:rsidR="006635B3" w:rsidRDefault="006635B3" w:rsidP="00DB7BCE">
      <w:pPr>
        <w:pStyle w:val="Heading2"/>
        <w:spacing w:before="240"/>
      </w:pPr>
      <w:r>
        <w:t>Documentation</w:t>
      </w:r>
    </w:p>
    <w:p w:rsidR="006635B3" w:rsidRDefault="006635B3" w:rsidP="006635B3">
      <w:pPr>
        <w:rPr>
          <w:rFonts w:ascii="Segoe UI" w:hAnsi="Segoe UI"/>
          <w:sz w:val="21"/>
        </w:rPr>
      </w:pPr>
      <w:r>
        <w:t>Check any documentation about the history of the object, for example:</w:t>
      </w:r>
    </w:p>
    <w:p w:rsidR="006635B3" w:rsidRDefault="006635B3" w:rsidP="006635B3">
      <w:pPr>
        <w:pStyle w:val="Bulletlevel1"/>
        <w:spacing w:line="276" w:lineRule="auto"/>
        <w:rPr>
          <w:rFonts w:ascii="Segoe UI" w:hAnsi="Segoe UI"/>
          <w:sz w:val="21"/>
        </w:rPr>
      </w:pPr>
      <w:r>
        <w:rPr>
          <w:rFonts w:ascii="Segoe UI" w:hAnsi="Segoe UI"/>
          <w:sz w:val="21"/>
        </w:rPr>
        <w:t>Is there a history of ownership relating to the object?</w:t>
      </w:r>
    </w:p>
    <w:p w:rsidR="006635B3" w:rsidRDefault="006635B3" w:rsidP="006635B3">
      <w:pPr>
        <w:pStyle w:val="Bulletlevel1"/>
        <w:spacing w:line="276" w:lineRule="auto"/>
        <w:rPr>
          <w:rFonts w:ascii="Segoe UI" w:hAnsi="Segoe UI"/>
          <w:sz w:val="21"/>
        </w:rPr>
      </w:pPr>
      <w:r>
        <w:rPr>
          <w:rFonts w:ascii="Segoe UI" w:hAnsi="Segoe UI"/>
          <w:sz w:val="21"/>
        </w:rPr>
        <w:t>Is there a certificate of authenticity?</w:t>
      </w:r>
    </w:p>
    <w:p w:rsidR="006635B3" w:rsidRDefault="006635B3" w:rsidP="006635B3">
      <w:pPr>
        <w:pStyle w:val="Bulletlevel1"/>
        <w:spacing w:line="276" w:lineRule="auto"/>
        <w:rPr>
          <w:rFonts w:ascii="Segoe UI" w:hAnsi="Segoe UI"/>
          <w:sz w:val="21"/>
        </w:rPr>
      </w:pPr>
      <w:r>
        <w:rPr>
          <w:rFonts w:ascii="Segoe UI" w:hAnsi="Segoe UI"/>
          <w:sz w:val="21"/>
        </w:rPr>
        <w:t>Is there a condition report available?</w:t>
      </w:r>
    </w:p>
    <w:p w:rsidR="006635B3" w:rsidRDefault="006635B3" w:rsidP="006635B3">
      <w:pPr>
        <w:pStyle w:val="Bulletlevel1"/>
        <w:spacing w:line="276" w:lineRule="auto"/>
        <w:rPr>
          <w:rFonts w:ascii="Segoe UI" w:hAnsi="Segoe UI"/>
          <w:sz w:val="21"/>
        </w:rPr>
      </w:pPr>
      <w:r>
        <w:rPr>
          <w:rFonts w:ascii="Segoe UI" w:hAnsi="Segoe UI"/>
          <w:sz w:val="21"/>
        </w:rPr>
        <w:t>If the object comes from a foreign country is there an export permit?</w:t>
      </w:r>
    </w:p>
    <w:p w:rsidR="006635B3" w:rsidRDefault="006635B3" w:rsidP="006635B3">
      <w:pPr>
        <w:pStyle w:val="Bulletlevel1"/>
        <w:spacing w:line="276" w:lineRule="auto"/>
        <w:rPr>
          <w:rFonts w:ascii="Segoe UI" w:hAnsi="Segoe UI"/>
          <w:sz w:val="21"/>
        </w:rPr>
      </w:pPr>
      <w:r>
        <w:rPr>
          <w:rFonts w:ascii="Segoe UI" w:hAnsi="Segoe UI"/>
          <w:sz w:val="21"/>
        </w:rPr>
        <w:t>If you buy the object ensure that you have a written invoice, signed and dated by the seller, with their name, address and full details of the object.</w:t>
      </w:r>
    </w:p>
    <w:p w:rsidR="006635B3" w:rsidRPr="00DB7BCE" w:rsidRDefault="006635B3" w:rsidP="00DB7BCE">
      <w:pPr>
        <w:rPr>
          <w:rFonts w:ascii="Segoe UI Semibold" w:hAnsi="Segoe UI Semibold"/>
          <w:b/>
          <w:sz w:val="32"/>
          <w:szCs w:val="32"/>
        </w:rPr>
      </w:pPr>
      <w:r w:rsidRPr="00DB7BCE">
        <w:rPr>
          <w:b/>
          <w:sz w:val="32"/>
          <w:szCs w:val="32"/>
        </w:rPr>
        <w:lastRenderedPageBreak/>
        <w:t xml:space="preserve">Before buying </w:t>
      </w:r>
      <w:r w:rsidRPr="00DB7BCE">
        <w:rPr>
          <w:b/>
          <w:sz w:val="32"/>
          <w:szCs w:val="32"/>
        </w:rPr>
        <w:t>cultural</w:t>
      </w:r>
      <w:r w:rsidRPr="00DB7BCE">
        <w:rPr>
          <w:b/>
          <w:sz w:val="32"/>
          <w:szCs w:val="32"/>
        </w:rPr>
        <w:t xml:space="preserve"> property, do your research to make sure it’s above board.</w:t>
      </w:r>
    </w:p>
    <w:p w:rsidR="006635B3" w:rsidRDefault="006635B3" w:rsidP="006635B3">
      <w:pPr>
        <w:pStyle w:val="Heading2"/>
      </w:pPr>
      <w:r>
        <w:t xml:space="preserve">International cultural </w:t>
      </w:r>
      <w:r w:rsidRPr="006635B3">
        <w:t>heritage</w:t>
      </w:r>
      <w:r>
        <w:t xml:space="preserve"> laws</w:t>
      </w:r>
    </w:p>
    <w:p w:rsidR="006635B3" w:rsidRDefault="006635B3" w:rsidP="006635B3">
      <w:pPr>
        <w:pStyle w:val="Heading3"/>
      </w:pPr>
      <w:r>
        <w:t>UNESCO</w:t>
      </w:r>
    </w:p>
    <w:p w:rsidR="006635B3" w:rsidRDefault="006635B3" w:rsidP="006635B3">
      <w:pPr>
        <w:rPr>
          <w:rFonts w:ascii="Segoe UI" w:hAnsi="Segoe UI"/>
          <w:sz w:val="21"/>
        </w:rPr>
      </w:pPr>
      <w:r>
        <w:t>If the object comes from a foreign country check the relevant international cultural heritage law on the UNESCO website.</w:t>
      </w:r>
    </w:p>
    <w:p w:rsidR="006635B3" w:rsidRDefault="006635B3" w:rsidP="006635B3">
      <w:pPr>
        <w:autoSpaceDE w:val="0"/>
        <w:autoSpaceDN w:val="0"/>
        <w:adjustRightInd w:val="0"/>
        <w:spacing w:after="0" w:line="276" w:lineRule="auto"/>
      </w:pPr>
      <w:hyperlink r:id="rId16" w:history="1">
        <w:r w:rsidRPr="003B6222">
          <w:rPr>
            <w:rStyle w:val="Hyperlink"/>
          </w:rPr>
          <w:t>https://en.unesco.org/cultnatlaws</w:t>
        </w:r>
      </w:hyperlink>
    </w:p>
    <w:p w:rsidR="006635B3" w:rsidRDefault="006635B3" w:rsidP="006635B3">
      <w:pPr>
        <w:pStyle w:val="Heading2"/>
      </w:pPr>
      <w:r>
        <w:t>Reporting art crime</w:t>
      </w:r>
    </w:p>
    <w:p w:rsidR="006635B3" w:rsidRDefault="006635B3" w:rsidP="006635B3">
      <w:pPr>
        <w:pStyle w:val="Heading3"/>
      </w:pPr>
      <w:r>
        <w:t>Crime Stoppers Australia</w:t>
      </w:r>
    </w:p>
    <w:p w:rsidR="006635B3" w:rsidRDefault="006635B3" w:rsidP="006635B3">
      <w:r>
        <w:t>If you have any suspicions about an object and believe that a criminal offence has taken place, you can report it to your local police or Crime Stoppers.</w:t>
      </w:r>
    </w:p>
    <w:p w:rsidR="006635B3" w:rsidRDefault="006635B3" w:rsidP="006635B3">
      <w:r>
        <w:rPr>
          <w:b/>
        </w:rPr>
        <w:t xml:space="preserve">Phone: </w:t>
      </w:r>
      <w:r>
        <w:t>1800 333 000</w:t>
      </w:r>
    </w:p>
    <w:p w:rsidR="006635B3" w:rsidRDefault="006635B3" w:rsidP="006635B3">
      <w:r>
        <w:rPr>
          <w:b/>
        </w:rPr>
        <w:t>Website:</w:t>
      </w:r>
      <w:r>
        <w:t xml:space="preserve"> </w:t>
      </w:r>
      <w:hyperlink r:id="rId17" w:history="1">
        <w:r w:rsidRPr="003B6222">
          <w:rPr>
            <w:rStyle w:val="Hyperlink"/>
          </w:rPr>
          <w:t>www.crimestoppers.com.au</w:t>
        </w:r>
      </w:hyperlink>
    </w:p>
    <w:p w:rsidR="006635B3" w:rsidRDefault="006635B3" w:rsidP="006635B3">
      <w:pPr>
        <w:pStyle w:val="Heading2"/>
      </w:pPr>
      <w:r>
        <w:t>Contact us</w:t>
      </w:r>
    </w:p>
    <w:p w:rsidR="006635B3" w:rsidRDefault="006635B3" w:rsidP="00DB7BCE">
      <w:pPr>
        <w:pStyle w:val="Heading3"/>
        <w:rPr>
          <w:rFonts w:ascii="Segoe UI" w:eastAsiaTheme="minorHAnsi" w:hAnsi="Segoe UI" w:cstheme="minorBidi"/>
          <w:color w:val="auto"/>
          <w:sz w:val="21"/>
          <w:szCs w:val="22"/>
        </w:rPr>
      </w:pPr>
      <w:r>
        <w:t>Cultural Property Section</w:t>
      </w:r>
    </w:p>
    <w:p w:rsidR="006635B3" w:rsidRDefault="006635B3" w:rsidP="006635B3">
      <w:r>
        <w:t>Department of Infrastructure, Transport, Regional Development, Communications and the Arts</w:t>
      </w:r>
    </w:p>
    <w:p w:rsidR="006635B3" w:rsidRDefault="006635B3" w:rsidP="006635B3">
      <w:r>
        <w:rPr>
          <w:b/>
        </w:rPr>
        <w:t xml:space="preserve">Phone: </w:t>
      </w:r>
      <w:r>
        <w:t>1800 819 461</w:t>
      </w:r>
      <w:r>
        <w:br/>
      </w:r>
      <w:r>
        <w:rPr>
          <w:b/>
        </w:rPr>
        <w:t>Website:</w:t>
      </w:r>
      <w:r>
        <w:t xml:space="preserve"> arts.gov.au/movable</w:t>
      </w:r>
      <w:r>
        <w:br/>
      </w:r>
      <w:r>
        <w:rPr>
          <w:b/>
        </w:rPr>
        <w:t xml:space="preserve">Email: </w:t>
      </w:r>
      <w:hyperlink r:id="rId18" w:history="1">
        <w:r>
          <w:rPr>
            <w:rStyle w:val="Hyperlink"/>
            <w:color w:val="auto"/>
          </w:rPr>
          <w:t>movable.heritage@arts.gov.au</w:t>
        </w:r>
      </w:hyperlink>
      <w:r w:rsidR="00DB7BCE">
        <w:br/>
      </w:r>
      <w:r>
        <w:rPr>
          <w:b/>
        </w:rPr>
        <w:t xml:space="preserve">Post: </w:t>
      </w:r>
      <w:r>
        <w:t>GPO Box 2154 Canberra ACT 2601</w:t>
      </w:r>
    </w:p>
    <w:p w:rsidR="006635B3" w:rsidRDefault="006635B3" w:rsidP="006635B3">
      <w:pPr>
        <w:autoSpaceDE w:val="0"/>
        <w:autoSpaceDN w:val="0"/>
        <w:adjustRightInd w:val="0"/>
        <w:spacing w:after="0" w:line="276" w:lineRule="auto"/>
        <w:rPr>
          <w:rFonts w:ascii="Muli-Bold" w:hAnsi="Muli-Bold" w:cs="Muli-Bold"/>
          <w:b/>
          <w:bCs/>
          <w:color w:val="000000"/>
          <w:sz w:val="16"/>
          <w:szCs w:val="16"/>
        </w:rPr>
      </w:pPr>
      <w:r>
        <w:rPr>
          <w:noProof/>
          <w:lang w:eastAsia="en-AU"/>
        </w:rPr>
        <w:drawing>
          <wp:inline distT="0" distB="0" distL="0" distR="0">
            <wp:extent cx="2663825" cy="1772920"/>
            <wp:effectExtent l="0" t="0" r="3175" b="0"/>
            <wp:docPr id="3" name="Picture 3" descr="Two clay po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clay pots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62" w:rsidRDefault="006635B3" w:rsidP="00DB7BCE">
      <w:pPr>
        <w:autoSpaceDE w:val="0"/>
        <w:autoSpaceDN w:val="0"/>
        <w:adjustRightInd w:val="0"/>
        <w:spacing w:after="0" w:line="276" w:lineRule="auto"/>
      </w:pPr>
      <w:r>
        <w:rPr>
          <w:b/>
        </w:rPr>
        <w:t xml:space="preserve">Jordanian pots </w:t>
      </w:r>
      <w:r>
        <w:rPr>
          <w:b/>
        </w:rPr>
        <w:br/>
      </w:r>
      <w:proofErr w:type="spellStart"/>
      <w:r>
        <w:t>Hasemite</w:t>
      </w:r>
      <w:proofErr w:type="spellEnd"/>
      <w:r>
        <w:t xml:space="preserve"> Kingdom of Jordan</w:t>
      </w:r>
      <w:r>
        <w:br/>
        <w:t>Image courtesy © Department of the Prime Minister and Cabinet</w:t>
      </w:r>
    </w:p>
    <w:sectPr w:rsidR="008F7F62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Mul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DB7BCE">
      <w:rPr>
        <w:rFonts w:cs="Segoe UI"/>
        <w:noProof/>
        <w:szCs w:val="18"/>
      </w:rPr>
      <w:t>Buying legally—making sure it’s above board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DB7BCE">
      <w:rPr>
        <w:rFonts w:cs="Segoe UI"/>
        <w:noProof/>
        <w:szCs w:val="18"/>
      </w:rPr>
      <w:t>Buying legally—making sure it’s above board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C50C61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C50C61">
      <w:rPr>
        <w:rFonts w:cs="Segoe UI Light"/>
        <w:color w:val="001C40"/>
        <w:sz w:val="20"/>
        <w:szCs w:val="20"/>
      </w:rPr>
      <w:fldChar w:fldCharType="begin"/>
    </w:r>
    <w:r w:rsidRPr="00C50C61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="006C4EE3">
      <w:rPr>
        <w:rFonts w:cs="Segoe UI Light"/>
        <w:color w:val="001C40"/>
        <w:sz w:val="20"/>
        <w:szCs w:val="20"/>
      </w:rPr>
      <w:fldChar w:fldCharType="separate"/>
    </w:r>
    <w:r w:rsidR="00DB7BCE">
      <w:rPr>
        <w:rFonts w:cs="Segoe UI Light"/>
        <w:noProof/>
        <w:color w:val="001C40"/>
        <w:sz w:val="20"/>
        <w:szCs w:val="20"/>
      </w:rPr>
      <w:t>International cultural heritage laws</w:t>
    </w:r>
    <w:r w:rsidRPr="00C50C61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webHidden w:val="0"/>
        <w:color w:val="0F293A"/>
        <w:sz w:val="22"/>
        <w:szCs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A3276"/>
    <w:rsid w:val="000B1E86"/>
    <w:rsid w:val="000C0244"/>
    <w:rsid w:val="000C2895"/>
    <w:rsid w:val="000D4B3B"/>
    <w:rsid w:val="00105DA4"/>
    <w:rsid w:val="00113A03"/>
    <w:rsid w:val="00133A45"/>
    <w:rsid w:val="00143894"/>
    <w:rsid w:val="00190A0C"/>
    <w:rsid w:val="001B36F7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00D24"/>
    <w:rsid w:val="00416734"/>
    <w:rsid w:val="00445017"/>
    <w:rsid w:val="004524B2"/>
    <w:rsid w:val="004A3207"/>
    <w:rsid w:val="005413E7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635B3"/>
    <w:rsid w:val="00691FA2"/>
    <w:rsid w:val="006C4EE3"/>
    <w:rsid w:val="006D43C7"/>
    <w:rsid w:val="00731351"/>
    <w:rsid w:val="00744CD2"/>
    <w:rsid w:val="00772C27"/>
    <w:rsid w:val="00790F25"/>
    <w:rsid w:val="00793843"/>
    <w:rsid w:val="0079788A"/>
    <w:rsid w:val="007B68AB"/>
    <w:rsid w:val="00822DBF"/>
    <w:rsid w:val="008A7B93"/>
    <w:rsid w:val="008B7158"/>
    <w:rsid w:val="008D4156"/>
    <w:rsid w:val="008E534F"/>
    <w:rsid w:val="008E67E3"/>
    <w:rsid w:val="008F24DE"/>
    <w:rsid w:val="008F7F62"/>
    <w:rsid w:val="00912D17"/>
    <w:rsid w:val="009276A3"/>
    <w:rsid w:val="009279AE"/>
    <w:rsid w:val="0093356D"/>
    <w:rsid w:val="00935A30"/>
    <w:rsid w:val="00953CCD"/>
    <w:rsid w:val="00985DD5"/>
    <w:rsid w:val="009B0F7C"/>
    <w:rsid w:val="00A24200"/>
    <w:rsid w:val="00A44E4B"/>
    <w:rsid w:val="00A4759C"/>
    <w:rsid w:val="00A5600C"/>
    <w:rsid w:val="00A63390"/>
    <w:rsid w:val="00A82DAF"/>
    <w:rsid w:val="00A86AF3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0CD"/>
    <w:rsid w:val="00C02452"/>
    <w:rsid w:val="00C36E40"/>
    <w:rsid w:val="00C50C61"/>
    <w:rsid w:val="00C62177"/>
    <w:rsid w:val="00CA5147"/>
    <w:rsid w:val="00CD0046"/>
    <w:rsid w:val="00D47BFD"/>
    <w:rsid w:val="00D56936"/>
    <w:rsid w:val="00D64922"/>
    <w:rsid w:val="00DA60D8"/>
    <w:rsid w:val="00DB7BCE"/>
    <w:rsid w:val="00DC5DC8"/>
    <w:rsid w:val="00E7227D"/>
    <w:rsid w:val="00E76BC6"/>
    <w:rsid w:val="00E80E04"/>
    <w:rsid w:val="00EA415A"/>
    <w:rsid w:val="00EE6EE8"/>
    <w:rsid w:val="00EF5B98"/>
    <w:rsid w:val="00F41576"/>
    <w:rsid w:val="00F61FA1"/>
    <w:rsid w:val="00F814AD"/>
    <w:rsid w:val="00FA64C7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770C16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C61"/>
    <w:pPr>
      <w:numPr>
        <w:ilvl w:val="1"/>
      </w:numPr>
      <w:suppressAutoHyphens/>
      <w:spacing w:before="48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0C61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evel1">
    <w:name w:val="Bullet level 1"/>
    <w:basedOn w:val="Normal"/>
    <w:qFormat/>
    <w:rsid w:val="00DB7BCE"/>
    <w:pPr>
      <w:numPr>
        <w:numId w:val="18"/>
      </w:numPr>
      <w:ind w:left="567" w:hanging="567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ootedart.com" TargetMode="External"/><Relationship Id="rId18" Type="http://schemas.openxmlformats.org/officeDocument/2006/relationships/hyperlink" Target="mailto:movable.heritage@arts.gov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rtloss.com" TargetMode="External"/><Relationship Id="rId17" Type="http://schemas.openxmlformats.org/officeDocument/2006/relationships/hyperlink" Target="http://www.crimestopper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unesco.org/cultnatlaw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icom.museum/en/resources/red-lists" TargetMode="Externa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nterpol.int/en/Crimes/Cultural-heritage-crime/Stolen-Works-of-Art-Database/Application-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FC6B-ABC0-4FAF-9EC9-0387DF8B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Protecting movable cultural heritage</vt:lpstr>
    </vt:vector>
  </TitlesOfParts>
  <Company>Department of Infrastructure, Transport, Regional Development, Communications and the Arts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Buying legally—making sure it’s above board</dc:title>
  <dc:subject/>
  <dc:creator>Department of Infrastructure, Transport, Regional Development, Communications and the Arts</dc:creator>
  <cp:keywords/>
  <dc:description>22 July 2021</dc:description>
  <cp:lastModifiedBy>HALL Theresa</cp:lastModifiedBy>
  <cp:revision>3</cp:revision>
  <dcterms:created xsi:type="dcterms:W3CDTF">2022-08-01T04:35:00Z</dcterms:created>
  <dcterms:modified xsi:type="dcterms:W3CDTF">2022-08-01T04:45:00Z</dcterms:modified>
</cp:coreProperties>
</file>