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D2572" w14:textId="77777777" w:rsidR="0094124E" w:rsidRDefault="00477982" w:rsidP="0094124E">
      <w:pPr>
        <w:ind w:left="-1418"/>
      </w:pPr>
      <w:r w:rsidRPr="002E718B">
        <w:rPr>
          <w:noProof/>
          <w:lang w:eastAsia="en-AU"/>
        </w:rPr>
        <w:drawing>
          <wp:inline distT="0" distB="0" distL="0" distR="0" wp14:anchorId="68895868" wp14:editId="781170C2">
            <wp:extent cx="7560000" cy="1397710"/>
            <wp:effectExtent l="0" t="0" r="3175" b="0"/>
            <wp:docPr id="2" name="Picture 2" descr="Header banner: Meeting of Cultural Ministers, Statistics working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m-header-banner.png"/>
                    <pic:cNvPicPr/>
                  </pic:nvPicPr>
                  <pic:blipFill rotWithShape="1">
                    <a:blip r:embed="rId11">
                      <a:extLst>
                        <a:ext uri="{28A0092B-C50C-407E-A947-70E740481C1C}">
                          <a14:useLocalDpi xmlns:a14="http://schemas.microsoft.com/office/drawing/2010/main" val="0"/>
                        </a:ext>
                      </a:extLst>
                    </a:blip>
                    <a:srcRect l="1709" t="7699" r="1875" b="1833"/>
                    <a:stretch/>
                  </pic:blipFill>
                  <pic:spPr bwMode="auto">
                    <a:xfrm>
                      <a:off x="0" y="0"/>
                      <a:ext cx="7560000" cy="1397710"/>
                    </a:xfrm>
                    <a:prstGeom prst="rect">
                      <a:avLst/>
                    </a:prstGeom>
                    <a:ln>
                      <a:noFill/>
                    </a:ln>
                    <a:extLst>
                      <a:ext uri="{53640926-AAD7-44D8-BBD7-CCE9431645EC}">
                        <a14:shadowObscured xmlns:a14="http://schemas.microsoft.com/office/drawing/2010/main"/>
                      </a:ext>
                    </a:extLst>
                  </pic:spPr>
                </pic:pic>
              </a:graphicData>
            </a:graphic>
          </wp:inline>
        </w:drawing>
      </w:r>
    </w:p>
    <w:p w14:paraId="28125192" w14:textId="77777777" w:rsidR="00FC16F3" w:rsidRDefault="00FC16F3" w:rsidP="0094124E">
      <w:pPr>
        <w:ind w:left="-1418"/>
        <w:sectPr w:rsidR="00FC16F3" w:rsidSect="00477982">
          <w:headerReference w:type="even" r:id="rId12"/>
          <w:headerReference w:type="default" r:id="rId13"/>
          <w:footerReference w:type="even" r:id="rId14"/>
          <w:footerReference w:type="default" r:id="rId15"/>
          <w:headerReference w:type="first" r:id="rId16"/>
          <w:footerReference w:type="first" r:id="rId17"/>
          <w:type w:val="continuous"/>
          <w:pgSz w:w="11906" w:h="16838"/>
          <w:pgMar w:top="0" w:right="1440" w:bottom="1440" w:left="1440" w:header="0" w:footer="0" w:gutter="0"/>
          <w:cols w:space="708"/>
          <w:titlePg/>
          <w:docGrid w:linePitch="360"/>
        </w:sectPr>
      </w:pPr>
    </w:p>
    <w:p w14:paraId="61D008A2" w14:textId="5B811171" w:rsidR="002117E6" w:rsidRDefault="001D64AC" w:rsidP="00477982">
      <w:pPr>
        <w:pStyle w:val="Heading1"/>
      </w:pPr>
      <w:r>
        <w:t xml:space="preserve">Cultural </w:t>
      </w:r>
      <w:r w:rsidR="003B340B">
        <w:t>Funding by Government—2019</w:t>
      </w:r>
      <w:r w:rsidR="00035573">
        <w:t>–</w:t>
      </w:r>
      <w:r w:rsidR="003B340B">
        <w:t>20</w:t>
      </w:r>
    </w:p>
    <w:p w14:paraId="04E80A58" w14:textId="77777777" w:rsidR="00AF5FC0" w:rsidRDefault="00435054" w:rsidP="00AF5FC0">
      <w:pPr>
        <w:pStyle w:val="Heading2"/>
      </w:pPr>
      <w:r>
        <w:rPr>
          <w:szCs w:val="36"/>
        </w:rPr>
        <w:t>Australian</w:t>
      </w:r>
      <w:r w:rsidR="005262D2">
        <w:rPr>
          <w:szCs w:val="36"/>
        </w:rPr>
        <w:t xml:space="preserve"> </w:t>
      </w:r>
      <w:r w:rsidR="001D64AC" w:rsidRPr="00527D9C">
        <w:rPr>
          <w:szCs w:val="36"/>
        </w:rPr>
        <w:t>Government</w:t>
      </w:r>
    </w:p>
    <w:p w14:paraId="2B45BFC9" w14:textId="77777777" w:rsidR="00902EE7" w:rsidRPr="005A3BC5" w:rsidRDefault="00902EE7" w:rsidP="00902EE7">
      <w:r w:rsidRPr="00651A81">
        <w:t xml:space="preserve">In 2019–20 the estimate of expenditure on cultural activities, funded by the Australian Government, </w:t>
      </w:r>
      <w:r w:rsidRPr="00AC2444">
        <w:t xml:space="preserve">was </w:t>
      </w:r>
      <w:r w:rsidRPr="00AC2444">
        <w:rPr>
          <w:b/>
        </w:rPr>
        <w:t>$7,025.7m</w:t>
      </w:r>
      <w:r w:rsidRPr="00AC2444">
        <w:t xml:space="preserve"> representing </w:t>
      </w:r>
      <w:r w:rsidRPr="00651A81">
        <w:t xml:space="preserve">a </w:t>
      </w:r>
      <w:r w:rsidRPr="00B26799">
        <w:t xml:space="preserve">rise of 163% </w:t>
      </w:r>
      <w:r w:rsidRPr="00AC2444">
        <w:t xml:space="preserve">or </w:t>
      </w:r>
      <w:r w:rsidRPr="00AC2444">
        <w:rPr>
          <w:b/>
        </w:rPr>
        <w:t>$4,350.8m</w:t>
      </w:r>
      <w:r w:rsidRPr="00AC2444">
        <w:t xml:space="preserve"> </w:t>
      </w:r>
      <w:r w:rsidRPr="00651A81">
        <w:t>from 2017–18</w:t>
      </w:r>
      <w:r w:rsidRPr="00651A81">
        <w:rPr>
          <w:rStyle w:val="FootnoteReference"/>
        </w:rPr>
        <w:footnoteReference w:id="1"/>
      </w:r>
      <w:r w:rsidRPr="00651A81">
        <w:t xml:space="preserve">. This amount included </w:t>
      </w:r>
      <w:r w:rsidRPr="00651A81">
        <w:rPr>
          <w:b/>
        </w:rPr>
        <w:t>$4,2</w:t>
      </w:r>
      <w:r>
        <w:rPr>
          <w:b/>
        </w:rPr>
        <w:t>72.1</w:t>
      </w:r>
      <w:r w:rsidRPr="00651A81">
        <w:rPr>
          <w:b/>
        </w:rPr>
        <w:t>m</w:t>
      </w:r>
      <w:r>
        <w:rPr>
          <w:b/>
        </w:rPr>
        <w:t xml:space="preserve"> </w:t>
      </w:r>
      <w:r w:rsidRPr="005A3BC5">
        <w:t xml:space="preserve">in COVID support funding ($3,065.3m </w:t>
      </w:r>
      <w:proofErr w:type="spellStart"/>
      <w:r w:rsidRPr="00B42898">
        <w:rPr>
          <w:i/>
          <w:iCs/>
        </w:rPr>
        <w:t>JobKeeper</w:t>
      </w:r>
      <w:proofErr w:type="spellEnd"/>
      <w:r w:rsidRPr="005A3BC5">
        <w:t xml:space="preserve"> payments, $1,168.4m </w:t>
      </w:r>
      <w:r w:rsidRPr="00B42898">
        <w:rPr>
          <w:i/>
          <w:iCs/>
        </w:rPr>
        <w:t>Boosting Cash Flow for Employers</w:t>
      </w:r>
      <w:r w:rsidRPr="005A3BC5">
        <w:t xml:space="preserve">, $38.4m </w:t>
      </w:r>
      <w:r w:rsidRPr="00B42898">
        <w:rPr>
          <w:i/>
          <w:iCs/>
        </w:rPr>
        <w:t>Arts portfolio grants</w:t>
      </w:r>
      <w:r w:rsidRPr="005A3BC5">
        <w:t xml:space="preserve">) for eligible organisations, businesses, and individuals in creative and cultural industries. </w:t>
      </w:r>
    </w:p>
    <w:p w14:paraId="2DDB4947" w14:textId="166D4062" w:rsidR="00902EE7" w:rsidRPr="00B26799" w:rsidRDefault="00902EE7" w:rsidP="00902EE7">
      <w:r w:rsidRPr="005A3BC5">
        <w:t>The estimate of expenditure on cultural activities</w:t>
      </w:r>
      <w:r>
        <w:t xml:space="preserve"> excluding </w:t>
      </w:r>
      <w:r w:rsidRPr="005A3BC5">
        <w:t xml:space="preserve">COVID support </w:t>
      </w:r>
      <w:r>
        <w:t xml:space="preserve">funding </w:t>
      </w:r>
      <w:r w:rsidRPr="005A3BC5">
        <w:t xml:space="preserve">was </w:t>
      </w:r>
      <w:r w:rsidRPr="005A3BC5">
        <w:rPr>
          <w:b/>
          <w:bCs/>
        </w:rPr>
        <w:t>$</w:t>
      </w:r>
      <w:r w:rsidRPr="00B26799">
        <w:rPr>
          <w:b/>
          <w:bCs/>
        </w:rPr>
        <w:t>2,7</w:t>
      </w:r>
      <w:r>
        <w:rPr>
          <w:b/>
          <w:bCs/>
        </w:rPr>
        <w:t>53.</w:t>
      </w:r>
      <w:r w:rsidR="00EB58CD">
        <w:rPr>
          <w:b/>
          <w:bCs/>
        </w:rPr>
        <w:t>6</w:t>
      </w:r>
      <w:r w:rsidRPr="00B26799">
        <w:rPr>
          <w:b/>
          <w:bCs/>
        </w:rPr>
        <w:t>m</w:t>
      </w:r>
      <w:r>
        <w:t xml:space="preserve">, an increase </w:t>
      </w:r>
      <w:r w:rsidRPr="005A3BC5">
        <w:t xml:space="preserve">of </w:t>
      </w:r>
      <w:r w:rsidRPr="00B26799">
        <w:t>3% or $</w:t>
      </w:r>
      <w:r>
        <w:t>7</w:t>
      </w:r>
      <w:r w:rsidRPr="00B26799">
        <w:t>8.7m from 2017–18.</w:t>
      </w:r>
    </w:p>
    <w:p w14:paraId="5096F8AA" w14:textId="77777777" w:rsidR="00902EE7" w:rsidRDefault="00902EE7" w:rsidP="00902EE7">
      <w:pPr>
        <w:pStyle w:val="Tablefigureheading"/>
      </w:pPr>
      <w:r>
        <w:t>Table 1. Australian Government cultural expenditure, 2016–17 to 2019–20</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Caption w:val="Table 1—Australian Government cultural expenditure, 2015–16 to 2017–18"/>
        <w:tblDescription w:val="Table 1—Australian Government cultural expenditure, 2015–16 to 2017–18."/>
      </w:tblPr>
      <w:tblGrid>
        <w:gridCol w:w="1204"/>
        <w:gridCol w:w="1985"/>
        <w:gridCol w:w="1985"/>
        <w:gridCol w:w="2589"/>
      </w:tblGrid>
      <w:tr w:rsidR="00902EE7" w14:paraId="2F615F49" w14:textId="77777777" w:rsidTr="008817CF">
        <w:trPr>
          <w:cantSplit/>
          <w:trHeight w:val="463"/>
          <w:tblHeader/>
        </w:trPr>
        <w:tc>
          <w:tcPr>
            <w:tcW w:w="1204" w:type="dxa"/>
            <w:tcBorders>
              <w:top w:val="nil"/>
              <w:left w:val="nil"/>
              <w:bottom w:val="thickThinLargeGap" w:sz="24" w:space="0" w:color="auto"/>
              <w:right w:val="nil"/>
            </w:tcBorders>
            <w:shd w:val="clear" w:color="auto" w:fill="C3AFF7"/>
          </w:tcPr>
          <w:p w14:paraId="4ACE83B9" w14:textId="77777777" w:rsidR="00902EE7" w:rsidRDefault="00902EE7" w:rsidP="008817CF">
            <w:pPr>
              <w:pStyle w:val="Tablerowcolumnheadingcentred"/>
            </w:pPr>
            <w:r>
              <w:t>2016–17</w:t>
            </w:r>
          </w:p>
        </w:tc>
        <w:tc>
          <w:tcPr>
            <w:tcW w:w="1985" w:type="dxa"/>
            <w:tcBorders>
              <w:top w:val="nil"/>
              <w:left w:val="nil"/>
              <w:bottom w:val="thickThinLargeGap" w:sz="24" w:space="0" w:color="auto"/>
              <w:right w:val="nil"/>
            </w:tcBorders>
            <w:shd w:val="clear" w:color="auto" w:fill="C3AFF7"/>
          </w:tcPr>
          <w:p w14:paraId="6FA0349C" w14:textId="77777777" w:rsidR="00902EE7" w:rsidRDefault="00902EE7" w:rsidP="008817CF">
            <w:pPr>
              <w:pStyle w:val="Tablerowcolumnheadingcentred"/>
            </w:pPr>
            <w:r>
              <w:t>2017–18</w:t>
            </w:r>
          </w:p>
        </w:tc>
        <w:tc>
          <w:tcPr>
            <w:tcW w:w="1985" w:type="dxa"/>
            <w:tcBorders>
              <w:top w:val="nil"/>
              <w:left w:val="nil"/>
              <w:bottom w:val="thickThinLargeGap" w:sz="24" w:space="0" w:color="auto"/>
              <w:right w:val="nil"/>
            </w:tcBorders>
            <w:shd w:val="clear" w:color="auto" w:fill="C3AFF7"/>
          </w:tcPr>
          <w:p w14:paraId="700F2DCB" w14:textId="77777777" w:rsidR="00902EE7" w:rsidRDefault="00902EE7" w:rsidP="008817CF">
            <w:pPr>
              <w:pStyle w:val="Tablerowcolumnheadingcentred"/>
            </w:pPr>
            <w:r>
              <w:t>2019–20</w:t>
            </w:r>
          </w:p>
        </w:tc>
        <w:tc>
          <w:tcPr>
            <w:tcW w:w="2589" w:type="dxa"/>
            <w:tcBorders>
              <w:top w:val="nil"/>
              <w:left w:val="nil"/>
              <w:bottom w:val="thickThinLargeGap" w:sz="24" w:space="0" w:color="auto"/>
              <w:right w:val="nil"/>
            </w:tcBorders>
            <w:shd w:val="clear" w:color="auto" w:fill="C3AFF7"/>
          </w:tcPr>
          <w:p w14:paraId="115CBEF5" w14:textId="77777777" w:rsidR="00902EE7" w:rsidRDefault="00902EE7" w:rsidP="008817CF">
            <w:pPr>
              <w:pStyle w:val="Tablerowcolumnheadingcentred"/>
            </w:pPr>
            <w:r>
              <w:t>2019–20</w:t>
            </w:r>
          </w:p>
          <w:p w14:paraId="2E167A5F" w14:textId="77777777" w:rsidR="00902EE7" w:rsidRPr="00D54FEF" w:rsidRDefault="00902EE7" w:rsidP="008817CF">
            <w:pPr>
              <w:spacing w:after="0"/>
              <w:jc w:val="center"/>
              <w:rPr>
                <w:i/>
                <w:iCs/>
                <w:sz w:val="18"/>
                <w:szCs w:val="18"/>
              </w:rPr>
            </w:pPr>
            <w:r w:rsidRPr="00D54FEF">
              <w:rPr>
                <w:i/>
                <w:iCs/>
                <w:sz w:val="18"/>
                <w:szCs w:val="18"/>
              </w:rPr>
              <w:t>Without COVI</w:t>
            </w:r>
            <w:r>
              <w:rPr>
                <w:i/>
                <w:iCs/>
                <w:sz w:val="18"/>
                <w:szCs w:val="18"/>
              </w:rPr>
              <w:t>D s</w:t>
            </w:r>
            <w:r w:rsidRPr="00D54FEF">
              <w:rPr>
                <w:i/>
                <w:iCs/>
                <w:sz w:val="18"/>
                <w:szCs w:val="18"/>
              </w:rPr>
              <w:t xml:space="preserve">upport </w:t>
            </w:r>
            <w:r>
              <w:rPr>
                <w:i/>
                <w:iCs/>
                <w:sz w:val="18"/>
                <w:szCs w:val="18"/>
              </w:rPr>
              <w:t>f</w:t>
            </w:r>
            <w:r w:rsidRPr="00D54FEF">
              <w:rPr>
                <w:i/>
                <w:iCs/>
                <w:sz w:val="18"/>
                <w:szCs w:val="18"/>
              </w:rPr>
              <w:t>unding</w:t>
            </w:r>
          </w:p>
        </w:tc>
      </w:tr>
      <w:tr w:rsidR="00902EE7" w14:paraId="5204E884" w14:textId="77777777" w:rsidTr="008817CF">
        <w:trPr>
          <w:cantSplit/>
          <w:trHeight w:val="227"/>
        </w:trPr>
        <w:tc>
          <w:tcPr>
            <w:tcW w:w="1204" w:type="dxa"/>
            <w:tcBorders>
              <w:top w:val="single" w:sz="4" w:space="0" w:color="auto"/>
              <w:left w:val="nil"/>
              <w:bottom w:val="single" w:sz="12" w:space="0" w:color="auto"/>
              <w:right w:val="nil"/>
            </w:tcBorders>
          </w:tcPr>
          <w:p w14:paraId="45914604" w14:textId="77777777" w:rsidR="00902EE7" w:rsidRPr="00303AC1" w:rsidRDefault="00902EE7" w:rsidP="008817CF">
            <w:pPr>
              <w:pStyle w:val="Tabletextcentred"/>
            </w:pPr>
            <w:r w:rsidRPr="00303AC1">
              <w:t>$</w:t>
            </w:r>
            <w:r>
              <w:t xml:space="preserve">2,383.8m </w:t>
            </w:r>
          </w:p>
        </w:tc>
        <w:tc>
          <w:tcPr>
            <w:tcW w:w="1985" w:type="dxa"/>
            <w:tcBorders>
              <w:top w:val="single" w:sz="4" w:space="0" w:color="auto"/>
              <w:left w:val="nil"/>
              <w:bottom w:val="single" w:sz="12" w:space="0" w:color="auto"/>
              <w:right w:val="nil"/>
            </w:tcBorders>
          </w:tcPr>
          <w:p w14:paraId="7137E0C4" w14:textId="77777777" w:rsidR="00902EE7" w:rsidRPr="00303AC1" w:rsidRDefault="00902EE7" w:rsidP="008817CF">
            <w:pPr>
              <w:pStyle w:val="Tabletextcentred"/>
            </w:pPr>
            <w:r w:rsidRPr="00303AC1">
              <w:t>$</w:t>
            </w:r>
            <w:r>
              <w:t>2,674.9</w:t>
            </w:r>
            <w:r w:rsidRPr="00303AC1">
              <w:t>m ↑</w:t>
            </w:r>
            <w:r>
              <w:t>12</w:t>
            </w:r>
            <w:r w:rsidRPr="00303AC1">
              <w:t>%</w:t>
            </w:r>
          </w:p>
        </w:tc>
        <w:tc>
          <w:tcPr>
            <w:tcW w:w="1985" w:type="dxa"/>
            <w:tcBorders>
              <w:top w:val="single" w:sz="4" w:space="0" w:color="auto"/>
              <w:left w:val="nil"/>
              <w:bottom w:val="single" w:sz="12" w:space="0" w:color="auto"/>
              <w:right w:val="nil"/>
            </w:tcBorders>
          </w:tcPr>
          <w:p w14:paraId="07B6ACD4" w14:textId="77777777" w:rsidR="00902EE7" w:rsidRPr="00303AC1" w:rsidRDefault="00902EE7" w:rsidP="008817CF">
            <w:pPr>
              <w:pStyle w:val="Tabletextcentred"/>
            </w:pPr>
            <w:r w:rsidRPr="00303AC1">
              <w:t>$</w:t>
            </w:r>
            <w:r w:rsidRPr="00AC2444">
              <w:t xml:space="preserve">7,025.7m </w:t>
            </w:r>
            <w:r w:rsidRPr="00B26799">
              <w:t>↑163%</w:t>
            </w:r>
          </w:p>
        </w:tc>
        <w:tc>
          <w:tcPr>
            <w:tcW w:w="2589" w:type="dxa"/>
            <w:tcBorders>
              <w:top w:val="single" w:sz="4" w:space="0" w:color="auto"/>
              <w:left w:val="nil"/>
              <w:bottom w:val="single" w:sz="12" w:space="0" w:color="auto"/>
              <w:right w:val="nil"/>
            </w:tcBorders>
          </w:tcPr>
          <w:p w14:paraId="0610EA9B" w14:textId="09853EE3" w:rsidR="00902EE7" w:rsidRPr="00303AC1" w:rsidRDefault="00902EE7" w:rsidP="008817CF">
            <w:pPr>
              <w:pStyle w:val="Tabletextcentred"/>
            </w:pPr>
            <w:r w:rsidRPr="00303AC1">
              <w:t>$</w:t>
            </w:r>
            <w:r w:rsidRPr="00B26799">
              <w:t>2,7</w:t>
            </w:r>
            <w:r>
              <w:t>53.</w:t>
            </w:r>
            <w:r w:rsidR="00EB58CD">
              <w:t>6</w:t>
            </w:r>
            <w:r w:rsidRPr="00B26799">
              <w:t xml:space="preserve">m </w:t>
            </w:r>
            <w:r w:rsidRPr="00AC2444">
              <w:t>↑3%</w:t>
            </w:r>
          </w:p>
        </w:tc>
      </w:tr>
    </w:tbl>
    <w:p w14:paraId="2158F03D" w14:textId="77777777" w:rsidR="00902EE7" w:rsidRPr="00BD24DC" w:rsidRDefault="00902EE7" w:rsidP="00902EE7">
      <w:pPr>
        <w:pStyle w:val="bullet-arrow"/>
        <w:numPr>
          <w:ilvl w:val="0"/>
          <w:numId w:val="0"/>
        </w:numPr>
      </w:pPr>
    </w:p>
    <w:p w14:paraId="6C05174B" w14:textId="77777777" w:rsidR="00902EE7" w:rsidRPr="00287F8A" w:rsidRDefault="00902EE7" w:rsidP="00902EE7">
      <w:pPr>
        <w:pStyle w:val="bullet-arrow"/>
        <w:numPr>
          <w:ilvl w:val="0"/>
          <w:numId w:val="0"/>
        </w:numPr>
      </w:pPr>
      <w:r w:rsidRPr="00287F8A">
        <w:t>The estimate of per person cultural funding including COVID support funding was $274.87, and without was $10</w:t>
      </w:r>
      <w:r>
        <w:t>7.73</w:t>
      </w:r>
      <w:r w:rsidRPr="00287F8A">
        <w:t>.</w:t>
      </w:r>
    </w:p>
    <w:p w14:paraId="1A5B8EDC" w14:textId="77777777" w:rsidR="00902EE7" w:rsidRDefault="00902EE7" w:rsidP="00902EE7">
      <w:pPr>
        <w:pStyle w:val="Heading3"/>
      </w:pPr>
      <w:bookmarkStart w:id="0" w:name="_Toc524532894"/>
      <w:bookmarkStart w:id="1" w:name="_Toc521427133"/>
      <w:bookmarkStart w:id="2" w:name="_Toc521318947"/>
      <w:r>
        <w:t>Heritage</w:t>
      </w:r>
      <w:bookmarkEnd w:id="0"/>
      <w:bookmarkEnd w:id="1"/>
      <w:bookmarkEnd w:id="2"/>
    </w:p>
    <w:p w14:paraId="45845614" w14:textId="77777777" w:rsidR="00902EE7" w:rsidRPr="00651A81" w:rsidRDefault="00902EE7" w:rsidP="00902EE7">
      <w:r w:rsidRPr="00651A81">
        <w:t xml:space="preserve">Funds on </w:t>
      </w:r>
      <w:r w:rsidRPr="00651A81">
        <w:rPr>
          <w:i/>
        </w:rPr>
        <w:t>Heritage</w:t>
      </w:r>
      <w:r w:rsidRPr="00651A81">
        <w:t xml:space="preserve"> activities rose </w:t>
      </w:r>
      <w:r>
        <w:t>37</w:t>
      </w:r>
      <w:r w:rsidRPr="00651A81">
        <w:t>% (or $</w:t>
      </w:r>
      <w:r>
        <w:t>223.2</w:t>
      </w:r>
      <w:r w:rsidRPr="00651A81">
        <w:t>m) to $</w:t>
      </w:r>
      <w:r>
        <w:t>834.5</w:t>
      </w:r>
      <w:r w:rsidRPr="00651A81">
        <w:t xml:space="preserve">m. </w:t>
      </w:r>
    </w:p>
    <w:p w14:paraId="00E71409" w14:textId="021C98D3" w:rsidR="00902EE7" w:rsidRDefault="00902EE7" w:rsidP="00902EE7">
      <w:r w:rsidRPr="00651A81">
        <w:t xml:space="preserve">This increase was driven by expenditure on the categories of </w:t>
      </w:r>
      <w:r w:rsidRPr="00651A81">
        <w:rPr>
          <w:i/>
        </w:rPr>
        <w:t>Other museums and cultural heritage</w:t>
      </w:r>
      <w:r w:rsidRPr="00651A81">
        <w:t xml:space="preserve"> (↑$</w:t>
      </w:r>
      <w:r>
        <w:t>162.5</w:t>
      </w:r>
      <w:r w:rsidRPr="00651A81">
        <w:t>m)</w:t>
      </w:r>
      <w:r>
        <w:t xml:space="preserve">, </w:t>
      </w:r>
      <w:r w:rsidRPr="00651A81">
        <w:rPr>
          <w:i/>
        </w:rPr>
        <w:t>Archives</w:t>
      </w:r>
      <w:r w:rsidRPr="00651A81">
        <w:t xml:space="preserve"> (↑$69.</w:t>
      </w:r>
      <w:r w:rsidR="002B7EB1">
        <w:t>9</w:t>
      </w:r>
      <w:r w:rsidRPr="00651A81">
        <w:t>m)</w:t>
      </w:r>
      <w:r>
        <w:t xml:space="preserve"> </w:t>
      </w:r>
      <w:r w:rsidRPr="00651A81">
        <w:t xml:space="preserve">and </w:t>
      </w:r>
      <w:r w:rsidRPr="00651A81">
        <w:rPr>
          <w:i/>
        </w:rPr>
        <w:t>Art museums</w:t>
      </w:r>
      <w:r w:rsidRPr="00651A81">
        <w:t xml:space="preserve"> (↑$5</w:t>
      </w:r>
      <w:r>
        <w:t>.9</w:t>
      </w:r>
      <w:r w:rsidRPr="00651A81">
        <w:t>m)</w:t>
      </w:r>
      <w:r>
        <w:t xml:space="preserve">. Conversely, funding for </w:t>
      </w:r>
      <w:r w:rsidRPr="00D90987">
        <w:rPr>
          <w:i/>
          <w:iCs/>
        </w:rPr>
        <w:t>Libraries</w:t>
      </w:r>
      <w:r>
        <w:rPr>
          <w:i/>
          <w:iCs/>
        </w:rPr>
        <w:t xml:space="preserve"> </w:t>
      </w:r>
      <w:r>
        <w:t>dropped $15.0m.</w:t>
      </w:r>
    </w:p>
    <w:p w14:paraId="3BF85DC9" w14:textId="54A0CAD2" w:rsidR="00902EE7" w:rsidRPr="00651A81" w:rsidRDefault="00902EE7" w:rsidP="00902EE7">
      <w:r w:rsidRPr="00651A81">
        <w:t>The categories</w:t>
      </w:r>
      <w:r>
        <w:t xml:space="preserve"> with the highest levels</w:t>
      </w:r>
      <w:r w:rsidRPr="00651A81">
        <w:t xml:space="preserve"> of </w:t>
      </w:r>
      <w:r w:rsidRPr="00651A81">
        <w:rPr>
          <w:i/>
        </w:rPr>
        <w:t>Heritage</w:t>
      </w:r>
      <w:r w:rsidRPr="00651A81">
        <w:t xml:space="preserve"> expenditure were </w:t>
      </w:r>
      <w:r w:rsidRPr="00651A81">
        <w:rPr>
          <w:i/>
        </w:rPr>
        <w:t>Other museums and cultural heritage</w:t>
      </w:r>
      <w:r w:rsidRPr="00651A81">
        <w:t xml:space="preserve"> with $45</w:t>
      </w:r>
      <w:r>
        <w:t>2.8</w:t>
      </w:r>
      <w:r w:rsidRPr="00651A81">
        <w:t>m</w:t>
      </w:r>
      <w:r w:rsidR="00251D4B">
        <w:t xml:space="preserve">, </w:t>
      </w:r>
      <w:r w:rsidRPr="00651A81">
        <w:t xml:space="preserve">followed by </w:t>
      </w:r>
      <w:r w:rsidRPr="00651A81">
        <w:rPr>
          <w:i/>
        </w:rPr>
        <w:t>Archives</w:t>
      </w:r>
      <w:r w:rsidRPr="00651A81">
        <w:t xml:space="preserve"> with $192.0m. </w:t>
      </w:r>
    </w:p>
    <w:p w14:paraId="4232AA8F" w14:textId="77777777" w:rsidR="00902EE7" w:rsidRPr="00303AC1" w:rsidRDefault="00902EE7" w:rsidP="00902EE7">
      <w:pPr>
        <w:pStyle w:val="Tablefigureheading"/>
      </w:pPr>
      <w:bookmarkStart w:id="3" w:name="_Toc524533023"/>
      <w:r w:rsidRPr="00303AC1">
        <w:t xml:space="preserve">Figure 1. </w:t>
      </w:r>
      <w:r>
        <w:t>Australian</w:t>
      </w:r>
      <w:r w:rsidRPr="00303AC1">
        <w:t xml:space="preserve"> Government heritage expenditure</w:t>
      </w:r>
      <w:bookmarkEnd w:id="3"/>
    </w:p>
    <w:p w14:paraId="2CC5FA48" w14:textId="77777777" w:rsidR="00902EE7" w:rsidRDefault="00902EE7" w:rsidP="00902EE7">
      <w:r>
        <w:rPr>
          <w:noProof/>
          <w:lang w:eastAsia="en-AU"/>
        </w:rPr>
        <w:drawing>
          <wp:inline distT="0" distB="0" distL="0" distR="0" wp14:anchorId="421F56D3" wp14:editId="4752BF1C">
            <wp:extent cx="3962400" cy="1877961"/>
            <wp:effectExtent l="0" t="0" r="0" b="8255"/>
            <wp:docPr id="1" name="Chart 1" descr="Figure 1. Australian Government heritage expenditure.&#10;&#10;A column graph compares expenditure across the heritage categories of Art museums, Other museums and cultural heritage, Libraries and Archives between the financial years of 2016-17, 2017-18, and 2019-20 for the Australian Government.">
              <a:extLst xmlns:a="http://schemas.openxmlformats.org/drawingml/2006/main">
                <a:ext uri="{FF2B5EF4-FFF2-40B4-BE49-F238E27FC236}">
                  <a16:creationId xmlns:a16="http://schemas.microsoft.com/office/drawing/2014/main" id="{EAD833C3-BFE2-41FA-A628-B38B4EA174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5A3BC5">
        <w:t xml:space="preserve"> </w:t>
      </w:r>
    </w:p>
    <w:p w14:paraId="43AE2633" w14:textId="77777777" w:rsidR="00902EE7" w:rsidRDefault="00902EE7" w:rsidP="00902EE7">
      <w:pPr>
        <w:pStyle w:val="Heading3"/>
      </w:pPr>
      <w:bookmarkStart w:id="4" w:name="_Toc524532895"/>
      <w:bookmarkStart w:id="5" w:name="_Toc521427134"/>
      <w:bookmarkStart w:id="6" w:name="_Toc521318948"/>
      <w:r>
        <w:lastRenderedPageBreak/>
        <w:t>Arts</w:t>
      </w:r>
      <w:bookmarkEnd w:id="4"/>
      <w:bookmarkEnd w:id="5"/>
      <w:bookmarkEnd w:id="6"/>
    </w:p>
    <w:p w14:paraId="0AFC4986" w14:textId="77777777" w:rsidR="00902EE7" w:rsidRDefault="00902EE7" w:rsidP="00902EE7">
      <w:pPr>
        <w:pStyle w:val="bullet-arrow"/>
        <w:numPr>
          <w:ilvl w:val="0"/>
          <w:numId w:val="0"/>
        </w:numPr>
      </w:pPr>
      <w:r>
        <w:t>T</w:t>
      </w:r>
      <w:r w:rsidRPr="009D2D80">
        <w:t xml:space="preserve">he Australian Government </w:t>
      </w:r>
      <w:r>
        <w:t xml:space="preserve">allocated double the funding </w:t>
      </w:r>
      <w:r w:rsidRPr="009D2D80">
        <w:t xml:space="preserve">to </w:t>
      </w:r>
      <w:r w:rsidRPr="009D2D80">
        <w:rPr>
          <w:i/>
        </w:rPr>
        <w:t>Arts</w:t>
      </w:r>
      <w:r w:rsidRPr="009D2D80">
        <w:t xml:space="preserve"> activities</w:t>
      </w:r>
      <w:r>
        <w:t xml:space="preserve">, compared to </w:t>
      </w:r>
      <w:r w:rsidRPr="00C85FB6">
        <w:rPr>
          <w:i/>
          <w:iCs/>
        </w:rPr>
        <w:t>Heritage</w:t>
      </w:r>
      <w:r>
        <w:t xml:space="preserve"> activities (27% and 12% respectively).</w:t>
      </w:r>
    </w:p>
    <w:p w14:paraId="0B9D48BD" w14:textId="77777777" w:rsidR="00902EE7" w:rsidRPr="00EA4516" w:rsidRDefault="00902EE7" w:rsidP="00902EE7">
      <w:r w:rsidRPr="00EA4516">
        <w:t xml:space="preserve">Funds for </w:t>
      </w:r>
      <w:r w:rsidRPr="00EA4516">
        <w:rPr>
          <w:i/>
        </w:rPr>
        <w:t>Arts</w:t>
      </w:r>
      <w:r w:rsidRPr="00EA4516">
        <w:t xml:space="preserve"> activities</w:t>
      </w:r>
      <w:r>
        <w:t xml:space="preserve"> </w:t>
      </w:r>
      <w:r w:rsidRPr="00EA4516">
        <w:t>decreased 7% (or $</w:t>
      </w:r>
      <w:r>
        <w:t>144.5</w:t>
      </w:r>
      <w:r w:rsidRPr="00EA4516">
        <w:t>m) to $</w:t>
      </w:r>
      <w:r>
        <w:t>1,919.1</w:t>
      </w:r>
      <w:r w:rsidRPr="00EA4516">
        <w:t>m.</w:t>
      </w:r>
    </w:p>
    <w:p w14:paraId="2BFC30D6" w14:textId="60448859" w:rsidR="00902EE7" w:rsidRDefault="00902EE7" w:rsidP="00902EE7">
      <w:r w:rsidRPr="00EA4516">
        <w:t xml:space="preserve">The main contributors to this movement were </w:t>
      </w:r>
      <w:r w:rsidRPr="00EA4516">
        <w:rPr>
          <w:i/>
        </w:rPr>
        <w:t>Community arts and cultural development</w:t>
      </w:r>
      <w:r w:rsidRPr="00EA4516">
        <w:t xml:space="preserve"> </w:t>
      </w:r>
      <w:r>
        <w:t>(</w:t>
      </w:r>
      <w:r w:rsidRPr="00EA4516">
        <w:t>↓$60.8m</w:t>
      </w:r>
      <w:r>
        <w:t>)</w:t>
      </w:r>
      <w:r w:rsidRPr="00EA4516">
        <w:t xml:space="preserve">, </w:t>
      </w:r>
      <w:r w:rsidRPr="00EA4516">
        <w:rPr>
          <w:i/>
        </w:rPr>
        <w:t>Theatre</w:t>
      </w:r>
      <w:r w:rsidRPr="00EA4516">
        <w:t xml:space="preserve"> </w:t>
      </w:r>
      <w:r>
        <w:t>(</w:t>
      </w:r>
      <w:r w:rsidRPr="00EA4516">
        <w:t>↓$44.9m</w:t>
      </w:r>
      <w:r>
        <w:t xml:space="preserve">), </w:t>
      </w:r>
      <w:r w:rsidRPr="00EA4516">
        <w:rPr>
          <w:i/>
        </w:rPr>
        <w:t>Radio and television services</w:t>
      </w:r>
      <w:r w:rsidRPr="00EA4516">
        <w:t xml:space="preserve"> </w:t>
      </w:r>
      <w:r>
        <w:t>(</w:t>
      </w:r>
      <w:r w:rsidRPr="00EA4516">
        <w:t>↓$</w:t>
      </w:r>
      <w:r>
        <w:t>34</w:t>
      </w:r>
      <w:r w:rsidRPr="00EA4516">
        <w:t>.</w:t>
      </w:r>
      <w:r w:rsidR="001E1849">
        <w:t>2</w:t>
      </w:r>
      <w:r w:rsidRPr="00EA4516">
        <w:t>m</w:t>
      </w:r>
      <w:r>
        <w:t xml:space="preserve">) and </w:t>
      </w:r>
      <w:r w:rsidRPr="00D90987">
        <w:rPr>
          <w:i/>
          <w:iCs/>
        </w:rPr>
        <w:t>Performing arts venues</w:t>
      </w:r>
      <w:r>
        <w:t xml:space="preserve"> (</w:t>
      </w:r>
      <w:r w:rsidRPr="00EA4516">
        <w:t>↓$</w:t>
      </w:r>
      <w:r>
        <w:t>20.7</w:t>
      </w:r>
      <w:r w:rsidRPr="00EA4516">
        <w:t>m</w:t>
      </w:r>
      <w:r>
        <w:t xml:space="preserve">). </w:t>
      </w:r>
    </w:p>
    <w:p w14:paraId="04EA41BC" w14:textId="77777777" w:rsidR="00902EE7" w:rsidRDefault="00902EE7" w:rsidP="00902EE7">
      <w:r w:rsidRPr="00EA4516">
        <w:t>Conversely, funding for</w:t>
      </w:r>
      <w:r>
        <w:t xml:space="preserve"> the categories of</w:t>
      </w:r>
      <w:r w:rsidRPr="00EA4516">
        <w:t xml:space="preserve"> </w:t>
      </w:r>
      <w:r w:rsidRPr="00EA4516">
        <w:rPr>
          <w:i/>
        </w:rPr>
        <w:t>Film and video production and distribution</w:t>
      </w:r>
      <w:r>
        <w:rPr>
          <w:i/>
        </w:rPr>
        <w:t xml:space="preserve"> </w:t>
      </w:r>
      <w:r>
        <w:t xml:space="preserve">and </w:t>
      </w:r>
      <w:r>
        <w:rPr>
          <w:i/>
        </w:rPr>
        <w:t>Literature and writing</w:t>
      </w:r>
      <w:r w:rsidRPr="00EA4516">
        <w:rPr>
          <w:i/>
        </w:rPr>
        <w:t xml:space="preserve"> </w:t>
      </w:r>
      <w:r w:rsidRPr="00D90987">
        <w:rPr>
          <w:iCs/>
        </w:rPr>
        <w:t>both</w:t>
      </w:r>
      <w:r>
        <w:rPr>
          <w:i/>
        </w:rPr>
        <w:t xml:space="preserve"> </w:t>
      </w:r>
      <w:r w:rsidRPr="00EA4516">
        <w:t>increased</w:t>
      </w:r>
      <w:r>
        <w:t xml:space="preserve"> by </w:t>
      </w:r>
      <w:r w:rsidRPr="00EA4516">
        <w:t xml:space="preserve">$8.6m. </w:t>
      </w:r>
    </w:p>
    <w:p w14:paraId="29E8816B" w14:textId="77777777" w:rsidR="00902EE7" w:rsidRPr="00EA4516" w:rsidRDefault="00902EE7" w:rsidP="00902EE7">
      <w:r w:rsidRPr="00EA4516">
        <w:t>Funding for</w:t>
      </w:r>
      <w:r w:rsidRPr="00EA4516">
        <w:rPr>
          <w:i/>
        </w:rPr>
        <w:t xml:space="preserve"> Radio and television services</w:t>
      </w:r>
      <w:r w:rsidRPr="00EA4516">
        <w:t xml:space="preserve"> ($</w:t>
      </w:r>
      <w:r>
        <w:t>1,384.3</w:t>
      </w:r>
      <w:r w:rsidRPr="00EA4516">
        <w:t xml:space="preserve">m), accounted </w:t>
      </w:r>
      <w:r w:rsidRPr="00AC5D78">
        <w:t xml:space="preserve">for almost three </w:t>
      </w:r>
      <w:r w:rsidRPr="00EA4516">
        <w:t xml:space="preserve">quarters (or 72%) of all expenditure by the Australian Government on </w:t>
      </w:r>
      <w:r w:rsidRPr="00EA4516">
        <w:rPr>
          <w:i/>
        </w:rPr>
        <w:t>Arts</w:t>
      </w:r>
      <w:r w:rsidRPr="00EA4516">
        <w:t xml:space="preserve"> activities.</w:t>
      </w:r>
    </w:p>
    <w:p w14:paraId="57B9C195" w14:textId="77777777" w:rsidR="00902EE7" w:rsidRPr="00EA4516" w:rsidRDefault="00902EE7" w:rsidP="00902EE7">
      <w:r w:rsidRPr="00EA4516">
        <w:t xml:space="preserve">Other main categories of </w:t>
      </w:r>
      <w:r w:rsidRPr="00EA4516">
        <w:rPr>
          <w:i/>
        </w:rPr>
        <w:t>Arts</w:t>
      </w:r>
      <w:r w:rsidRPr="00EA4516">
        <w:t xml:space="preserve"> activities funding were:</w:t>
      </w:r>
    </w:p>
    <w:p w14:paraId="0C44578F" w14:textId="77777777" w:rsidR="00902EE7" w:rsidRPr="00BD7E2E" w:rsidRDefault="00902EE7" w:rsidP="00902EE7">
      <w:pPr>
        <w:pStyle w:val="Bulletlevel1"/>
      </w:pPr>
      <w:r w:rsidRPr="00BD7E2E">
        <w:rPr>
          <w:i/>
        </w:rPr>
        <w:t>Film and video production and distribution</w:t>
      </w:r>
      <w:r w:rsidRPr="00BD7E2E">
        <w:t>—$119.5m</w:t>
      </w:r>
    </w:p>
    <w:p w14:paraId="34DFC80A" w14:textId="77777777" w:rsidR="00902EE7" w:rsidRPr="00BD7E2E" w:rsidRDefault="00902EE7" w:rsidP="00902EE7">
      <w:pPr>
        <w:pStyle w:val="Bulletlevel1"/>
      </w:pPr>
      <w:r w:rsidRPr="00BD7E2E">
        <w:rPr>
          <w:i/>
        </w:rPr>
        <w:t>Music</w:t>
      </w:r>
      <w:r w:rsidRPr="00BD7E2E">
        <w:t>—$78.6m</w:t>
      </w:r>
    </w:p>
    <w:p w14:paraId="0809FF3A" w14:textId="77777777" w:rsidR="00902EE7" w:rsidRPr="00BD7E2E" w:rsidRDefault="00902EE7" w:rsidP="00902EE7">
      <w:pPr>
        <w:pStyle w:val="Bulletlevel1"/>
      </w:pPr>
      <w:r w:rsidRPr="00BD7E2E">
        <w:rPr>
          <w:i/>
        </w:rPr>
        <w:t>Arts administration</w:t>
      </w:r>
      <w:r w:rsidRPr="00BD7E2E">
        <w:t>—$68.1m</w:t>
      </w:r>
    </w:p>
    <w:p w14:paraId="02911483" w14:textId="77777777" w:rsidR="00902EE7" w:rsidRPr="00EA4516" w:rsidRDefault="00902EE7" w:rsidP="00902EE7">
      <w:pPr>
        <w:pStyle w:val="Bulletlevel1"/>
      </w:pPr>
      <w:r w:rsidRPr="00EA4516">
        <w:rPr>
          <w:i/>
        </w:rPr>
        <w:t>Arts education</w:t>
      </w:r>
      <w:r w:rsidRPr="00EA4516">
        <w:t>—$50.7m</w:t>
      </w:r>
    </w:p>
    <w:p w14:paraId="12CCA129" w14:textId="77777777" w:rsidR="00902EE7" w:rsidRPr="00EA4516" w:rsidRDefault="00902EE7" w:rsidP="00902EE7">
      <w:pPr>
        <w:pStyle w:val="Bulletlevel1"/>
      </w:pPr>
      <w:r w:rsidRPr="00EA4516">
        <w:rPr>
          <w:i/>
        </w:rPr>
        <w:t>Visual arts and crafts</w:t>
      </w:r>
      <w:r w:rsidRPr="00EA4516">
        <w:t>—$42.9m</w:t>
      </w:r>
    </w:p>
    <w:p w14:paraId="4F4F64E2" w14:textId="77777777" w:rsidR="00902EE7" w:rsidRDefault="00902EE7" w:rsidP="00902EE7">
      <w:pPr>
        <w:pStyle w:val="Bulletlevel1"/>
      </w:pPr>
      <w:r w:rsidRPr="00EA4516">
        <w:rPr>
          <w:i/>
        </w:rPr>
        <w:t>Literature and writing</w:t>
      </w:r>
      <w:r w:rsidRPr="00EA4516">
        <w:t>—$38.2m</w:t>
      </w:r>
      <w:r>
        <w:t>.</w:t>
      </w:r>
    </w:p>
    <w:p w14:paraId="33DE0B6B" w14:textId="77777777" w:rsidR="00902EE7" w:rsidRPr="00303AC1" w:rsidRDefault="00902EE7" w:rsidP="00902EE7">
      <w:pPr>
        <w:pStyle w:val="Tablefigureheading"/>
      </w:pPr>
      <w:bookmarkStart w:id="7" w:name="_Toc524533024"/>
      <w:r w:rsidRPr="00303AC1">
        <w:t xml:space="preserve">Figure 2. </w:t>
      </w:r>
      <w:r>
        <w:t>Australian</w:t>
      </w:r>
      <w:r w:rsidRPr="00303AC1">
        <w:t xml:space="preserve"> Government</w:t>
      </w:r>
      <w:r>
        <w:t xml:space="preserve"> highest </w:t>
      </w:r>
      <w:r w:rsidRPr="00303AC1">
        <w:t>arts expenditure</w:t>
      </w:r>
      <w:r>
        <w:t xml:space="preserve"> categories for </w:t>
      </w:r>
      <w:bookmarkEnd w:id="7"/>
      <w:r>
        <w:t>2019–20</w:t>
      </w:r>
    </w:p>
    <w:p w14:paraId="6868CF20" w14:textId="77777777" w:rsidR="00902EE7" w:rsidRDefault="00902EE7" w:rsidP="00902EE7">
      <w:r>
        <w:rPr>
          <w:noProof/>
          <w:lang w:eastAsia="en-AU"/>
        </w:rPr>
        <w:drawing>
          <wp:inline distT="0" distB="0" distL="0" distR="0" wp14:anchorId="3EDC8657" wp14:editId="2D1A895B">
            <wp:extent cx="4719484" cy="2320412"/>
            <wp:effectExtent l="0" t="0" r="5080" b="3810"/>
            <wp:docPr id="10" name="Chart 10" descr="Figure 2. Australian Government highest arts expenditure for 2019-20.&#10;&#10;A column graph compares expenditure across selected arts categories of Literature and writing, Music, Visual arts and crafts, Radio and television services, Film and video production and distribution, Arts education, and Arts administration between the financial years of  2016-17, 2017-18, and 2019-20 for the Australian Government.">
              <a:extLst xmlns:a="http://schemas.openxmlformats.org/drawingml/2006/main">
                <a:ext uri="{FF2B5EF4-FFF2-40B4-BE49-F238E27FC236}">
                  <a16:creationId xmlns:a16="http://schemas.microsoft.com/office/drawing/2014/main" id="{2F0370F1-A942-4FA3-B905-9FF6FA3915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7DEF4DD" w14:textId="77777777" w:rsidR="00902EE7" w:rsidRDefault="00902EE7" w:rsidP="00902EE7">
      <w:pPr>
        <w:pStyle w:val="Heading3"/>
      </w:pPr>
      <w:r>
        <w:t>COVID support</w:t>
      </w:r>
    </w:p>
    <w:p w14:paraId="5F648DE3" w14:textId="77777777" w:rsidR="00902EE7" w:rsidRPr="005A3BC5" w:rsidRDefault="00902EE7" w:rsidP="00902EE7">
      <w:r>
        <w:rPr>
          <w:lang w:eastAsia="en-US"/>
        </w:rPr>
        <w:t xml:space="preserve">The Australian Government </w:t>
      </w:r>
      <w:r>
        <w:t>spent</w:t>
      </w:r>
      <w:r w:rsidRPr="00651A81">
        <w:t xml:space="preserve"> </w:t>
      </w:r>
      <w:r w:rsidRPr="002039E5">
        <w:rPr>
          <w:bCs/>
        </w:rPr>
        <w:t>$4,272.1m</w:t>
      </w:r>
      <w:r>
        <w:rPr>
          <w:b/>
        </w:rPr>
        <w:t xml:space="preserve"> </w:t>
      </w:r>
      <w:r w:rsidRPr="005A3BC5">
        <w:t>in COVID support funding</w:t>
      </w:r>
      <w:r>
        <w:t xml:space="preserve"> </w:t>
      </w:r>
      <w:r w:rsidRPr="005A3BC5">
        <w:t>for eligible organisations, businesses, and individuals in creative and cultural industries</w:t>
      </w:r>
      <w:r>
        <w:t>, including:</w:t>
      </w:r>
    </w:p>
    <w:p w14:paraId="2FA421DF" w14:textId="77777777" w:rsidR="00902EE7" w:rsidRPr="002039E5" w:rsidRDefault="00902EE7" w:rsidP="00902EE7">
      <w:pPr>
        <w:pStyle w:val="ListParagraph"/>
        <w:numPr>
          <w:ilvl w:val="0"/>
          <w:numId w:val="13"/>
        </w:numPr>
        <w:rPr>
          <w:lang w:eastAsia="en-US"/>
        </w:rPr>
      </w:pPr>
      <w:r w:rsidRPr="005A3BC5">
        <w:t>$3,065.3m</w:t>
      </w:r>
      <w:r w:rsidRPr="00EA4516">
        <w:t>—</w:t>
      </w:r>
      <w:proofErr w:type="spellStart"/>
      <w:r w:rsidRPr="00B42898">
        <w:rPr>
          <w:i/>
          <w:iCs/>
        </w:rPr>
        <w:t>JobKeeper</w:t>
      </w:r>
      <w:proofErr w:type="spellEnd"/>
    </w:p>
    <w:p w14:paraId="46B42AC6" w14:textId="77777777" w:rsidR="00902EE7" w:rsidRPr="002039E5" w:rsidRDefault="00902EE7" w:rsidP="00902EE7">
      <w:pPr>
        <w:pStyle w:val="ListParagraph"/>
        <w:numPr>
          <w:ilvl w:val="0"/>
          <w:numId w:val="13"/>
        </w:numPr>
        <w:rPr>
          <w:lang w:eastAsia="en-US"/>
        </w:rPr>
      </w:pPr>
      <w:r w:rsidRPr="005A3BC5">
        <w:t>$1,168.4m</w:t>
      </w:r>
      <w:r w:rsidRPr="00EA4516">
        <w:t>—</w:t>
      </w:r>
      <w:r w:rsidRPr="00B42898">
        <w:rPr>
          <w:i/>
          <w:iCs/>
        </w:rPr>
        <w:t>Boosting Cash Flow for Employers</w:t>
      </w:r>
    </w:p>
    <w:p w14:paraId="08D9C1B4" w14:textId="77777777" w:rsidR="00902EE7" w:rsidRPr="002039E5" w:rsidRDefault="00902EE7" w:rsidP="00902EE7">
      <w:pPr>
        <w:pStyle w:val="ListParagraph"/>
        <w:numPr>
          <w:ilvl w:val="0"/>
          <w:numId w:val="13"/>
        </w:numPr>
        <w:rPr>
          <w:lang w:eastAsia="en-US"/>
        </w:rPr>
      </w:pPr>
      <w:r w:rsidRPr="005A3BC5">
        <w:t>$38.4m</w:t>
      </w:r>
      <w:r w:rsidRPr="00EA4516">
        <w:t>—</w:t>
      </w:r>
      <w:r w:rsidRPr="00B42898">
        <w:rPr>
          <w:i/>
          <w:iCs/>
        </w:rPr>
        <w:t>Arts portfolio grants</w:t>
      </w:r>
      <w:r>
        <w:rPr>
          <w:i/>
          <w:iCs/>
        </w:rPr>
        <w:t>.</w:t>
      </w:r>
    </w:p>
    <w:p w14:paraId="24E8CCB7" w14:textId="77777777" w:rsidR="00902EE7" w:rsidRDefault="00902EE7" w:rsidP="00902EE7">
      <w:pPr>
        <w:pStyle w:val="Tablefigureheading"/>
      </w:pPr>
      <w:r>
        <w:t>Table 2. Components of Australian Government cultural expenditure—2019–20</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985"/>
        <w:gridCol w:w="1985"/>
        <w:gridCol w:w="1985"/>
        <w:gridCol w:w="1985"/>
      </w:tblGrid>
      <w:tr w:rsidR="00902EE7" w:rsidRPr="00D54FEF" w14:paraId="4F358DB7" w14:textId="77777777" w:rsidTr="008817CF">
        <w:trPr>
          <w:cantSplit/>
          <w:trHeight w:val="188"/>
          <w:tblHeader/>
        </w:trPr>
        <w:tc>
          <w:tcPr>
            <w:tcW w:w="1985" w:type="dxa"/>
            <w:tcBorders>
              <w:top w:val="nil"/>
              <w:left w:val="nil"/>
              <w:bottom w:val="single" w:sz="4" w:space="0" w:color="auto"/>
              <w:right w:val="nil"/>
            </w:tcBorders>
            <w:shd w:val="clear" w:color="auto" w:fill="C3AFF7"/>
          </w:tcPr>
          <w:p w14:paraId="12025669" w14:textId="77777777" w:rsidR="00902EE7" w:rsidRDefault="00902EE7" w:rsidP="008817CF">
            <w:pPr>
              <w:pStyle w:val="Tablerowcolumnheadingcentred"/>
            </w:pPr>
            <w:r>
              <w:t>Heritage</w:t>
            </w:r>
          </w:p>
        </w:tc>
        <w:tc>
          <w:tcPr>
            <w:tcW w:w="1985" w:type="dxa"/>
            <w:tcBorders>
              <w:top w:val="nil"/>
              <w:left w:val="nil"/>
              <w:bottom w:val="single" w:sz="4" w:space="0" w:color="auto"/>
              <w:right w:val="nil"/>
            </w:tcBorders>
            <w:shd w:val="clear" w:color="auto" w:fill="C3AFF7"/>
          </w:tcPr>
          <w:p w14:paraId="7EB9AA05" w14:textId="77777777" w:rsidR="00902EE7" w:rsidRDefault="00902EE7" w:rsidP="008817CF">
            <w:pPr>
              <w:pStyle w:val="Tablerowcolumnheadingcentred"/>
            </w:pPr>
            <w:r>
              <w:t>Arts</w:t>
            </w:r>
          </w:p>
        </w:tc>
        <w:tc>
          <w:tcPr>
            <w:tcW w:w="1985" w:type="dxa"/>
            <w:tcBorders>
              <w:top w:val="nil"/>
              <w:left w:val="nil"/>
              <w:bottom w:val="single" w:sz="4" w:space="0" w:color="auto"/>
              <w:right w:val="nil"/>
            </w:tcBorders>
            <w:shd w:val="clear" w:color="auto" w:fill="C3AFF7"/>
          </w:tcPr>
          <w:p w14:paraId="33BC84A4" w14:textId="77777777" w:rsidR="00902EE7" w:rsidRDefault="00902EE7" w:rsidP="008817CF">
            <w:pPr>
              <w:pStyle w:val="Tablerowcolumnheadingcentred"/>
            </w:pPr>
            <w:r>
              <w:t>COVID support</w:t>
            </w:r>
          </w:p>
        </w:tc>
        <w:tc>
          <w:tcPr>
            <w:tcW w:w="1985" w:type="dxa"/>
            <w:tcBorders>
              <w:top w:val="nil"/>
              <w:left w:val="nil"/>
              <w:bottom w:val="single" w:sz="4" w:space="0" w:color="auto"/>
              <w:right w:val="nil"/>
            </w:tcBorders>
            <w:shd w:val="clear" w:color="auto" w:fill="C3AFF7"/>
          </w:tcPr>
          <w:p w14:paraId="6239671C" w14:textId="77777777" w:rsidR="00902EE7" w:rsidRPr="002039E5" w:rsidRDefault="00902EE7" w:rsidP="008817CF">
            <w:pPr>
              <w:pStyle w:val="Tablerowcolumnheadingcentred"/>
            </w:pPr>
            <w:r>
              <w:t>Total</w:t>
            </w:r>
          </w:p>
        </w:tc>
      </w:tr>
      <w:tr w:rsidR="00902EE7" w:rsidRPr="00303AC1" w14:paraId="4D54876F" w14:textId="77777777" w:rsidTr="008817CF">
        <w:trPr>
          <w:cantSplit/>
          <w:trHeight w:val="227"/>
        </w:trPr>
        <w:tc>
          <w:tcPr>
            <w:tcW w:w="1985" w:type="dxa"/>
            <w:tcBorders>
              <w:top w:val="single" w:sz="4" w:space="0" w:color="auto"/>
              <w:left w:val="nil"/>
              <w:bottom w:val="single" w:sz="12" w:space="0" w:color="auto"/>
              <w:right w:val="nil"/>
            </w:tcBorders>
          </w:tcPr>
          <w:p w14:paraId="548A7893" w14:textId="77777777" w:rsidR="00902EE7" w:rsidRPr="00303AC1" w:rsidRDefault="00902EE7" w:rsidP="008817CF">
            <w:pPr>
              <w:pStyle w:val="Tabletextcentred"/>
            </w:pPr>
            <w:r w:rsidRPr="00303AC1">
              <w:t>$</w:t>
            </w:r>
            <w:r>
              <w:t xml:space="preserve">834.5m 12% </w:t>
            </w:r>
          </w:p>
        </w:tc>
        <w:tc>
          <w:tcPr>
            <w:tcW w:w="1985" w:type="dxa"/>
            <w:tcBorders>
              <w:top w:val="single" w:sz="4" w:space="0" w:color="auto"/>
              <w:left w:val="nil"/>
              <w:bottom w:val="single" w:sz="12" w:space="0" w:color="auto"/>
              <w:right w:val="nil"/>
            </w:tcBorders>
          </w:tcPr>
          <w:p w14:paraId="5F408A19" w14:textId="77777777" w:rsidR="00902EE7" w:rsidRPr="00303AC1" w:rsidRDefault="00902EE7" w:rsidP="008817CF">
            <w:pPr>
              <w:pStyle w:val="Tabletextcentred"/>
            </w:pPr>
            <w:r w:rsidRPr="00303AC1">
              <w:t>$</w:t>
            </w:r>
            <w:r>
              <w:t>1,919.1</w:t>
            </w:r>
            <w:r w:rsidRPr="00303AC1">
              <w:t xml:space="preserve">m </w:t>
            </w:r>
            <w:r>
              <w:t>27</w:t>
            </w:r>
            <w:r w:rsidRPr="00303AC1">
              <w:t>%</w:t>
            </w:r>
          </w:p>
        </w:tc>
        <w:tc>
          <w:tcPr>
            <w:tcW w:w="1985" w:type="dxa"/>
            <w:tcBorders>
              <w:top w:val="single" w:sz="4" w:space="0" w:color="auto"/>
              <w:left w:val="nil"/>
              <w:bottom w:val="single" w:sz="12" w:space="0" w:color="auto"/>
              <w:right w:val="nil"/>
            </w:tcBorders>
          </w:tcPr>
          <w:p w14:paraId="49FED419" w14:textId="77777777" w:rsidR="00902EE7" w:rsidRPr="00303AC1" w:rsidRDefault="00902EE7" w:rsidP="008817CF">
            <w:pPr>
              <w:pStyle w:val="Tabletextcentred"/>
            </w:pPr>
            <w:r w:rsidRPr="002039E5">
              <w:rPr>
                <w:bCs/>
              </w:rPr>
              <w:t>$4,272.1m</w:t>
            </w:r>
            <w:r>
              <w:rPr>
                <w:b/>
              </w:rPr>
              <w:t xml:space="preserve"> </w:t>
            </w:r>
            <w:r w:rsidRPr="00460224">
              <w:rPr>
                <w:bCs/>
              </w:rPr>
              <w:t>6</w:t>
            </w:r>
            <w:r>
              <w:rPr>
                <w:bCs/>
              </w:rPr>
              <w:t>1</w:t>
            </w:r>
            <w:r w:rsidRPr="00B26799">
              <w:t>%</w:t>
            </w:r>
          </w:p>
        </w:tc>
        <w:tc>
          <w:tcPr>
            <w:tcW w:w="1985" w:type="dxa"/>
            <w:tcBorders>
              <w:top w:val="single" w:sz="4" w:space="0" w:color="auto"/>
              <w:left w:val="nil"/>
              <w:bottom w:val="single" w:sz="12" w:space="0" w:color="auto"/>
              <w:right w:val="nil"/>
            </w:tcBorders>
          </w:tcPr>
          <w:p w14:paraId="501B95F4" w14:textId="77777777" w:rsidR="00902EE7" w:rsidRPr="00303AC1" w:rsidRDefault="00902EE7" w:rsidP="008817CF">
            <w:pPr>
              <w:pStyle w:val="Tabletextcentred"/>
            </w:pPr>
            <w:r w:rsidRPr="00303AC1">
              <w:t>$</w:t>
            </w:r>
            <w:r w:rsidRPr="00AC2444">
              <w:t>7,025.7m</w:t>
            </w:r>
            <w:r>
              <w:t xml:space="preserve"> 100</w:t>
            </w:r>
            <w:r w:rsidRPr="00AC2444">
              <w:t>%</w:t>
            </w:r>
          </w:p>
        </w:tc>
      </w:tr>
    </w:tbl>
    <w:p w14:paraId="298F20D4" w14:textId="77777777" w:rsidR="00902EE7" w:rsidRPr="00EB294E" w:rsidRDefault="00902EE7" w:rsidP="00902EE7">
      <w:pPr>
        <w:pStyle w:val="Heading3"/>
        <w:rPr>
          <w:color w:val="auto"/>
        </w:rPr>
      </w:pPr>
      <w:bookmarkStart w:id="8" w:name="_Toc524532902"/>
      <w:bookmarkStart w:id="9" w:name="_Toc521427141"/>
      <w:r>
        <w:lastRenderedPageBreak/>
        <w:t>Recurrent expenditure</w:t>
      </w:r>
      <w:bookmarkEnd w:id="8"/>
      <w:bookmarkEnd w:id="9"/>
    </w:p>
    <w:p w14:paraId="72EB28F9" w14:textId="77777777" w:rsidR="00902EE7" w:rsidRPr="00AC5D78" w:rsidRDefault="00902EE7" w:rsidP="00902EE7">
      <w:pPr>
        <w:pStyle w:val="bullet-arrow"/>
        <w:numPr>
          <w:ilvl w:val="0"/>
          <w:numId w:val="0"/>
        </w:numPr>
        <w:spacing w:before="240"/>
      </w:pPr>
      <w:r w:rsidRPr="00EB294E">
        <w:t xml:space="preserve">Total recurrent expenditure rose 193% (or $4,456.5m) to $6,764.1m and accounted for 96% of </w:t>
      </w:r>
      <w:r>
        <w:t xml:space="preserve">total </w:t>
      </w:r>
      <w:r w:rsidRPr="00EB294E">
        <w:t xml:space="preserve">funded </w:t>
      </w:r>
      <w:r w:rsidRPr="002454AC">
        <w:t>cultural expenditure.</w:t>
      </w:r>
      <w:r>
        <w:t xml:space="preserve"> This included </w:t>
      </w:r>
      <w:r w:rsidRPr="00AC5D78">
        <w:t>$4,272.1m in COVID support funding.</w:t>
      </w:r>
      <w:r>
        <w:rPr>
          <w:rStyle w:val="FootnoteReference"/>
        </w:rPr>
        <w:footnoteReference w:id="2"/>
      </w:r>
      <w:r w:rsidRPr="00AC5D78">
        <w:t xml:space="preserve"> </w:t>
      </w:r>
    </w:p>
    <w:p w14:paraId="428FCEFE" w14:textId="77777777" w:rsidR="00902EE7" w:rsidRPr="00EA4516" w:rsidRDefault="00902EE7" w:rsidP="00902EE7">
      <w:r w:rsidRPr="00EA4516">
        <w:t xml:space="preserve">The </w:t>
      </w:r>
      <w:r>
        <w:t>highest</w:t>
      </w:r>
      <w:r w:rsidRPr="00EA4516">
        <w:t xml:space="preserve"> recurrent expenditure was for </w:t>
      </w:r>
      <w:r w:rsidRPr="00EA4516">
        <w:rPr>
          <w:i/>
        </w:rPr>
        <w:t>Radio and television services</w:t>
      </w:r>
      <w:r>
        <w:t xml:space="preserve"> </w:t>
      </w:r>
      <w:r w:rsidRPr="009A77C4">
        <w:t>($1</w:t>
      </w:r>
      <w:r>
        <w:t>,315.8</w:t>
      </w:r>
      <w:r w:rsidRPr="00EA4516">
        <w:t>m</w:t>
      </w:r>
      <w:r>
        <w:t>),</w:t>
      </w:r>
      <w:r w:rsidRPr="00EA4516">
        <w:t xml:space="preserve"> followed by</w:t>
      </w:r>
      <w:r w:rsidRPr="00EA4516">
        <w:rPr>
          <w:i/>
        </w:rPr>
        <w:t xml:space="preserve"> Other museums and cultural heritage</w:t>
      </w:r>
      <w:r w:rsidRPr="00EA4516">
        <w:t xml:space="preserve"> ($</w:t>
      </w:r>
      <w:r>
        <w:t>328.3</w:t>
      </w:r>
      <w:r w:rsidRPr="00EA4516">
        <w:t>m).</w:t>
      </w:r>
    </w:p>
    <w:p w14:paraId="2204CDE7" w14:textId="77777777" w:rsidR="00902EE7" w:rsidRPr="00EA4516" w:rsidRDefault="00902EE7" w:rsidP="00902EE7">
      <w:r w:rsidRPr="00EA4516">
        <w:t>Other main categories of recurrent expenditure were:</w:t>
      </w:r>
    </w:p>
    <w:p w14:paraId="2D5BD26A" w14:textId="77777777" w:rsidR="00902EE7" w:rsidRPr="00EA4516" w:rsidRDefault="00902EE7" w:rsidP="00902EE7">
      <w:pPr>
        <w:pStyle w:val="Bulletlevel1"/>
        <w:numPr>
          <w:ilvl w:val="0"/>
          <w:numId w:val="10"/>
        </w:numPr>
        <w:spacing w:before="240"/>
        <w:ind w:left="567" w:hanging="567"/>
      </w:pPr>
      <w:r w:rsidRPr="00EA4516">
        <w:rPr>
          <w:i/>
        </w:rPr>
        <w:t>Archives</w:t>
      </w:r>
      <w:r w:rsidRPr="00EA4516">
        <w:t>—$182.8m</w:t>
      </w:r>
    </w:p>
    <w:p w14:paraId="36A3E887" w14:textId="77777777" w:rsidR="00902EE7" w:rsidRDefault="00902EE7" w:rsidP="00902EE7">
      <w:pPr>
        <w:pStyle w:val="Bulletlevel1"/>
        <w:numPr>
          <w:ilvl w:val="0"/>
          <w:numId w:val="10"/>
        </w:numPr>
        <w:spacing w:before="240"/>
        <w:ind w:left="567" w:hanging="567"/>
      </w:pPr>
      <w:r w:rsidRPr="00EA4516">
        <w:rPr>
          <w:i/>
        </w:rPr>
        <w:t>Film and video production and distribution</w:t>
      </w:r>
      <w:r w:rsidRPr="00EA4516">
        <w:t>—$119.4m</w:t>
      </w:r>
    </w:p>
    <w:p w14:paraId="491C497A" w14:textId="77777777" w:rsidR="00902EE7" w:rsidRPr="00EA4516" w:rsidRDefault="00902EE7" w:rsidP="00902EE7">
      <w:pPr>
        <w:pStyle w:val="Bulletlevel1"/>
        <w:numPr>
          <w:ilvl w:val="0"/>
          <w:numId w:val="10"/>
        </w:numPr>
        <w:spacing w:before="240"/>
        <w:ind w:left="567" w:hanging="567"/>
      </w:pPr>
      <w:r w:rsidRPr="00EA4516">
        <w:rPr>
          <w:i/>
        </w:rPr>
        <w:t>Libraries</w:t>
      </w:r>
      <w:r w:rsidRPr="00EA4516">
        <w:t>—$</w:t>
      </w:r>
      <w:r>
        <w:t>81.1</w:t>
      </w:r>
      <w:r w:rsidRPr="00EA4516">
        <w:t>m</w:t>
      </w:r>
    </w:p>
    <w:p w14:paraId="5D3B9D44" w14:textId="77777777" w:rsidR="00902EE7" w:rsidRDefault="00902EE7" w:rsidP="00902EE7">
      <w:pPr>
        <w:pStyle w:val="Bulletlevel1"/>
        <w:numPr>
          <w:ilvl w:val="0"/>
          <w:numId w:val="10"/>
        </w:numPr>
        <w:spacing w:before="240"/>
        <w:ind w:left="567" w:hanging="567"/>
      </w:pPr>
      <w:r w:rsidRPr="00EA4516">
        <w:rPr>
          <w:i/>
        </w:rPr>
        <w:t>Music</w:t>
      </w:r>
      <w:r w:rsidRPr="00EA4516">
        <w:t>—$77.9m</w:t>
      </w:r>
    </w:p>
    <w:p w14:paraId="530D32A3" w14:textId="77777777" w:rsidR="00902EE7" w:rsidRPr="00BD7E2E" w:rsidRDefault="00902EE7" w:rsidP="00902EE7">
      <w:pPr>
        <w:pStyle w:val="Bulletlevel1"/>
        <w:numPr>
          <w:ilvl w:val="0"/>
          <w:numId w:val="10"/>
        </w:numPr>
        <w:spacing w:before="240"/>
        <w:ind w:left="567" w:hanging="567"/>
      </w:pPr>
      <w:r w:rsidRPr="00BD7E2E">
        <w:rPr>
          <w:i/>
        </w:rPr>
        <w:t>Arts administration</w:t>
      </w:r>
      <w:r w:rsidRPr="00BD7E2E">
        <w:t>—$67.8m</w:t>
      </w:r>
    </w:p>
    <w:p w14:paraId="3C5C7780" w14:textId="77777777" w:rsidR="00902EE7" w:rsidRPr="00BD7E2E" w:rsidRDefault="00902EE7" w:rsidP="00902EE7">
      <w:pPr>
        <w:pStyle w:val="Bulletlevel1"/>
        <w:numPr>
          <w:ilvl w:val="0"/>
          <w:numId w:val="10"/>
        </w:numPr>
        <w:spacing w:before="240"/>
        <w:ind w:left="567" w:hanging="567"/>
      </w:pPr>
      <w:r w:rsidRPr="00BD7E2E">
        <w:rPr>
          <w:i/>
        </w:rPr>
        <w:t>Art museums</w:t>
      </w:r>
      <w:r w:rsidRPr="00BD7E2E">
        <w:t>—$62.4m</w:t>
      </w:r>
    </w:p>
    <w:p w14:paraId="42612CA3" w14:textId="77777777" w:rsidR="00902EE7" w:rsidRPr="00BD7E2E" w:rsidRDefault="00902EE7" w:rsidP="00902EE7">
      <w:pPr>
        <w:pStyle w:val="Bulletlevel1"/>
        <w:numPr>
          <w:ilvl w:val="0"/>
          <w:numId w:val="10"/>
        </w:numPr>
        <w:spacing w:before="240"/>
        <w:ind w:left="567" w:hanging="567"/>
      </w:pPr>
      <w:r w:rsidRPr="00BD7E2E">
        <w:rPr>
          <w:i/>
        </w:rPr>
        <w:t>Arts education</w:t>
      </w:r>
      <w:r w:rsidRPr="00BD7E2E">
        <w:t>—$49.0m.</w:t>
      </w:r>
    </w:p>
    <w:p w14:paraId="24FA3977" w14:textId="77777777" w:rsidR="00902EE7" w:rsidRPr="00303AC1" w:rsidRDefault="00902EE7" w:rsidP="00902EE7">
      <w:pPr>
        <w:pStyle w:val="Tablefigureheading"/>
      </w:pPr>
      <w:r w:rsidRPr="00303AC1">
        <w:t xml:space="preserve">Figure 3. </w:t>
      </w:r>
      <w:r>
        <w:t>Australian</w:t>
      </w:r>
      <w:r w:rsidRPr="00303AC1">
        <w:t xml:space="preserve"> Government recurrent cultural expenditure, by selected categories</w:t>
      </w:r>
    </w:p>
    <w:p w14:paraId="2E7B5250" w14:textId="77777777" w:rsidR="00902EE7" w:rsidRDefault="00902EE7" w:rsidP="00902EE7">
      <w:r>
        <w:rPr>
          <w:noProof/>
          <w:lang w:eastAsia="en-AU"/>
        </w:rPr>
        <w:drawing>
          <wp:inline distT="0" distB="0" distL="0" distR="0" wp14:anchorId="5A528965" wp14:editId="2B6DDA1C">
            <wp:extent cx="4660265" cy="1848465"/>
            <wp:effectExtent l="0" t="0" r="6985" b="0"/>
            <wp:docPr id="11" name="Chart 11" descr="Figure 3. Australian Government recurrent cultural expenditure, by selected categories.&#10;&#10;A bar chart compares recurrent expenditure across selected categories of Art museums, Other museums and cultural heritage, Libraries, Archives, Music, Radio and television services, Film and video production and distribution, Arts education and Arts administration between the financial years of 2016-17, 2017-18, and 2019-20 for the Australian Government.">
              <a:extLst xmlns:a="http://schemas.openxmlformats.org/drawingml/2006/main">
                <a:ext uri="{FF2B5EF4-FFF2-40B4-BE49-F238E27FC236}">
                  <a16:creationId xmlns:a16="http://schemas.microsoft.com/office/drawing/2014/main" id="{ECD1DD83-4E29-40A8-921F-AD02FD9412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C1196DC" w14:textId="77777777" w:rsidR="00902EE7" w:rsidRDefault="00902EE7" w:rsidP="00902EE7">
      <w:pPr>
        <w:pStyle w:val="Heading3"/>
      </w:pPr>
      <w:r>
        <w:t>Capital expenditure</w:t>
      </w:r>
    </w:p>
    <w:p w14:paraId="59D560EB" w14:textId="2DD5856E" w:rsidR="00902EE7" w:rsidRPr="000C04DD" w:rsidRDefault="00902EE7" w:rsidP="00902EE7">
      <w:r w:rsidRPr="000C04DD">
        <w:t>Capital expenditure decr</w:t>
      </w:r>
      <w:r>
        <w:t>eased 29% (or $105.</w:t>
      </w:r>
      <w:r w:rsidR="0071320D">
        <w:t>6</w:t>
      </w:r>
      <w:r>
        <w:t>m) to $261.6</w:t>
      </w:r>
      <w:r w:rsidRPr="000C04DD">
        <w:t xml:space="preserve">m in </w:t>
      </w:r>
      <w:r w:rsidRPr="00651A81">
        <w:t xml:space="preserve">2019–20 </w:t>
      </w:r>
      <w:r w:rsidRPr="000C04DD">
        <w:t xml:space="preserve">and accounted for 4% of Australian Government cultural spending. </w:t>
      </w:r>
    </w:p>
    <w:p w14:paraId="69F3FFE5" w14:textId="77777777" w:rsidR="00902EE7" w:rsidRPr="00BD7E2E" w:rsidRDefault="00902EE7" w:rsidP="00902EE7">
      <w:pPr>
        <w:pStyle w:val="bullet-arrow"/>
        <w:numPr>
          <w:ilvl w:val="0"/>
          <w:numId w:val="0"/>
        </w:numPr>
      </w:pPr>
      <w:r w:rsidRPr="000C04DD">
        <w:t xml:space="preserve">The </w:t>
      </w:r>
      <w:r>
        <w:t>highes</w:t>
      </w:r>
      <w:r w:rsidRPr="000C04DD">
        <w:t xml:space="preserve">t capital expenditure was for </w:t>
      </w:r>
      <w:r w:rsidRPr="000C04DD">
        <w:rPr>
          <w:i/>
        </w:rPr>
        <w:t xml:space="preserve">Other museums and cultural heritage </w:t>
      </w:r>
      <w:r w:rsidRPr="000C04DD">
        <w:t xml:space="preserve">($124.5m), followed by </w:t>
      </w:r>
      <w:r w:rsidRPr="000C04DD">
        <w:rPr>
          <w:i/>
        </w:rPr>
        <w:t>Radio and television services</w:t>
      </w:r>
      <w:r w:rsidRPr="000C04DD">
        <w:t xml:space="preserve"> ($68.6m).</w:t>
      </w:r>
      <w:r>
        <w:t xml:space="preserve"> </w:t>
      </w:r>
      <w:r w:rsidRPr="000C04DD">
        <w:t xml:space="preserve">Other main categories of capital </w:t>
      </w:r>
      <w:r>
        <w:t xml:space="preserve">investment </w:t>
      </w:r>
      <w:r w:rsidRPr="000C04DD">
        <w:t>were</w:t>
      </w:r>
      <w:r>
        <w:t xml:space="preserve"> </w:t>
      </w:r>
      <w:r w:rsidRPr="000C04DD">
        <w:rPr>
          <w:i/>
        </w:rPr>
        <w:t>Art museum</w:t>
      </w:r>
      <w:r>
        <w:rPr>
          <w:i/>
        </w:rPr>
        <w:t>s (</w:t>
      </w:r>
      <w:r w:rsidRPr="000C04DD">
        <w:t>$31.</w:t>
      </w:r>
      <w:r>
        <w:t>5</w:t>
      </w:r>
      <w:r w:rsidRPr="000C04DD">
        <w:t>m</w:t>
      </w:r>
      <w:r>
        <w:t xml:space="preserve">), </w:t>
      </w:r>
      <w:r w:rsidRPr="000C04DD">
        <w:rPr>
          <w:i/>
        </w:rPr>
        <w:t>Librarie</w:t>
      </w:r>
      <w:r>
        <w:rPr>
          <w:i/>
        </w:rPr>
        <w:t>s (</w:t>
      </w:r>
      <w:r>
        <w:t>$14.6</w:t>
      </w:r>
      <w:r w:rsidRPr="000C04DD">
        <w:t>m</w:t>
      </w:r>
      <w:r>
        <w:t xml:space="preserve">), </w:t>
      </w:r>
      <w:r w:rsidRPr="000C04DD">
        <w:rPr>
          <w:i/>
        </w:rPr>
        <w:t>Archives</w:t>
      </w:r>
      <w:r>
        <w:t xml:space="preserve"> (</w:t>
      </w:r>
      <w:r w:rsidRPr="000C04DD">
        <w:t>$9.1</w:t>
      </w:r>
      <w:r>
        <w:t>m</w:t>
      </w:r>
      <w:r w:rsidRPr="00BD7E2E">
        <w:t xml:space="preserve">) and </w:t>
      </w:r>
      <w:r w:rsidRPr="00BD7E2E">
        <w:rPr>
          <w:i/>
          <w:iCs/>
        </w:rPr>
        <w:t>Performing arts venues</w:t>
      </w:r>
      <w:r w:rsidRPr="00BD7E2E">
        <w:t xml:space="preserve"> ($6.7m).</w:t>
      </w:r>
    </w:p>
    <w:p w14:paraId="50ACDCF1" w14:textId="77777777" w:rsidR="00902EE7" w:rsidRDefault="00902EE7" w:rsidP="00902EE7">
      <w:pPr>
        <w:pStyle w:val="Tablefigureheading"/>
      </w:pPr>
      <w:r>
        <w:t>Figure 4. Australian Government capital cultural expenditure, by selected categories</w:t>
      </w:r>
    </w:p>
    <w:p w14:paraId="7987C479" w14:textId="5668BD76" w:rsidR="004263D0" w:rsidRDefault="00902EE7" w:rsidP="00902EE7">
      <w:r>
        <w:rPr>
          <w:noProof/>
        </w:rPr>
        <w:drawing>
          <wp:inline distT="0" distB="0" distL="0" distR="0" wp14:anchorId="305525A9" wp14:editId="4D9294CB">
            <wp:extent cx="4758813" cy="1759585"/>
            <wp:effectExtent l="0" t="0" r="3810" b="0"/>
            <wp:docPr id="4" name="Chart 4" descr="Figure 3. Australian Government capital cultural expenditure, by selected categories.&#10;&#10;A bar chart compares recurrent expenditure across selected categories of Art museums, Other museums and cultural heritage, Libraries, Archives, Performing arts venues, and Radio and television services, between the financial years of 2016-17, 2017-18, and 2019-20 for the Australian Government.">
              <a:extLst xmlns:a="http://schemas.openxmlformats.org/drawingml/2006/main">
                <a:ext uri="{FF2B5EF4-FFF2-40B4-BE49-F238E27FC236}">
                  <a16:creationId xmlns:a16="http://schemas.microsoft.com/office/drawing/2014/main" id="{00000000-0008-0000-02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sectPr w:rsidR="004263D0" w:rsidSect="00842CA0">
      <w:type w:val="continuous"/>
      <w:pgSz w:w="11906" w:h="16838"/>
      <w:pgMar w:top="1418" w:right="1133"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92959" w14:textId="77777777" w:rsidR="003D2296" w:rsidRDefault="003D2296" w:rsidP="002117E6">
      <w:pPr>
        <w:spacing w:after="0"/>
      </w:pPr>
      <w:r>
        <w:separator/>
      </w:r>
    </w:p>
  </w:endnote>
  <w:endnote w:type="continuationSeparator" w:id="0">
    <w:p w14:paraId="16DBB6A1" w14:textId="77777777" w:rsidR="003D2296" w:rsidRDefault="003D2296"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39BE4" w14:textId="77777777" w:rsidR="00A33EFB" w:rsidRDefault="00A33E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9A507" w14:textId="0E427669" w:rsidR="003D2296" w:rsidRPr="000D3D9D" w:rsidRDefault="003D2296" w:rsidP="00842CA0">
    <w:pPr>
      <w:pStyle w:val="Footer"/>
      <w:tabs>
        <w:tab w:val="clear" w:pos="9026"/>
        <w:tab w:val="right" w:pos="9333"/>
      </w:tabs>
      <w:rPr>
        <w:rStyle w:val="Hyperlink"/>
        <w:sz w:val="18"/>
        <w:szCs w:val="18"/>
      </w:rPr>
    </w:pPr>
    <w:r w:rsidRPr="0024033A">
      <w:rPr>
        <w:sz w:val="18"/>
        <w:szCs w:val="18"/>
      </w:rPr>
      <w:t>Cultu</w:t>
    </w:r>
    <w:r w:rsidR="003B340B">
      <w:rPr>
        <w:sz w:val="18"/>
        <w:szCs w:val="18"/>
      </w:rPr>
      <w:t>ral Funding by Government—2019</w:t>
    </w:r>
    <w:r>
      <w:t>–</w:t>
    </w:r>
    <w:r w:rsidR="003B340B">
      <w:rPr>
        <w:sz w:val="18"/>
        <w:szCs w:val="18"/>
      </w:rPr>
      <w:t>20</w:t>
    </w:r>
    <w:r w:rsidRPr="0024033A">
      <w:rPr>
        <w:sz w:val="18"/>
        <w:szCs w:val="18"/>
      </w:rPr>
      <w:t>—</w:t>
    </w:r>
    <w:r>
      <w:rPr>
        <w:sz w:val="18"/>
        <w:szCs w:val="18"/>
      </w:rPr>
      <w:t>Australian Government</w:t>
    </w:r>
    <w:r w:rsidRPr="0037566A">
      <w:rPr>
        <w:sz w:val="18"/>
        <w:szCs w:val="18"/>
      </w:rPr>
      <w:tab/>
    </w:r>
    <w:sdt>
      <w:sdtPr>
        <w:rPr>
          <w:sz w:val="18"/>
          <w:szCs w:val="18"/>
        </w:rPr>
        <w:id w:val="-92402875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E60DEB">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E60DEB">
          <w:rPr>
            <w:bCs/>
            <w:noProof/>
            <w:sz w:val="18"/>
            <w:szCs w:val="18"/>
          </w:rPr>
          <w:t>3</w:t>
        </w:r>
        <w:r w:rsidRPr="0037566A">
          <w:rPr>
            <w:bCs/>
            <w:sz w:val="18"/>
            <w:szCs w:val="18"/>
          </w:rPr>
          <w:fldChar w:fldCharType="end"/>
        </w:r>
      </w:sdtContent>
    </w:sdt>
  </w:p>
  <w:p w14:paraId="38FCD429" w14:textId="77777777" w:rsidR="003D2296" w:rsidRDefault="003D2296" w:rsidP="00842CA0">
    <w:pPr>
      <w:spacing w:after="0"/>
      <w:ind w:left="-1418"/>
    </w:pPr>
    <w:r>
      <w:rPr>
        <w:noProof/>
        <w:lang w:eastAsia="en-AU"/>
      </w:rPr>
      <w:drawing>
        <wp:inline distT="0" distB="0" distL="0" distR="0" wp14:anchorId="54830AE6" wp14:editId="42460F91">
          <wp:extent cx="7560000" cy="358181"/>
          <wp:effectExtent l="0" t="0" r="3175" b="3810"/>
          <wp:docPr id="7" name="Picture 7" descr="Purple Border " title="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l="1935" t="-12324" r="1078" b="19102"/>
                  <a:stretch/>
                </pic:blipFill>
                <pic:spPr bwMode="auto">
                  <a:xfrm>
                    <a:off x="0" y="0"/>
                    <a:ext cx="7560000" cy="358181"/>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F6B14" w14:textId="77777777" w:rsidR="00902EE7" w:rsidRPr="00DE1103" w:rsidRDefault="00902EE7" w:rsidP="00902EE7">
    <w:pPr>
      <w:pStyle w:val="Footer"/>
      <w:rPr>
        <w:sz w:val="18"/>
        <w:szCs w:val="18"/>
      </w:rPr>
    </w:pPr>
    <w:r w:rsidRPr="00DE1103">
      <w:rPr>
        <w:rStyle w:val="Hyperlink"/>
        <w:b w:val="0"/>
        <w:bCs/>
        <w:color w:val="auto"/>
        <w:sz w:val="18"/>
        <w:szCs w:val="18"/>
        <w:u w:val="none"/>
      </w:rPr>
      <w:t>Source</w:t>
    </w:r>
    <w:r w:rsidRPr="00DE1103">
      <w:rPr>
        <w:noProof/>
        <w:sz w:val="18"/>
        <w:szCs w:val="18"/>
        <w:lang w:eastAsia="en-AU"/>
      </w:rPr>
      <w:t xml:space="preserve">: </w:t>
    </w:r>
    <w:r w:rsidRPr="00DE1103">
      <w:rPr>
        <w:i/>
        <w:iCs/>
        <w:noProof/>
        <w:sz w:val="18"/>
        <w:szCs w:val="18"/>
        <w:lang w:eastAsia="en-AU"/>
      </w:rPr>
      <w:t>Cultural Funding by Government 2019</w:t>
    </w:r>
    <w:r w:rsidRPr="00DE1103">
      <w:rPr>
        <w:sz w:val="18"/>
        <w:szCs w:val="18"/>
      </w:rPr>
      <w:t>–</w:t>
    </w:r>
    <w:r w:rsidRPr="00DE1103">
      <w:rPr>
        <w:i/>
        <w:iCs/>
        <w:noProof/>
        <w:sz w:val="18"/>
        <w:szCs w:val="18"/>
        <w:lang w:eastAsia="en-AU"/>
      </w:rPr>
      <w:t>20</w:t>
    </w:r>
    <w:r w:rsidRPr="00DE1103">
      <w:rPr>
        <w:noProof/>
        <w:sz w:val="18"/>
        <w:szCs w:val="18"/>
        <w:lang w:eastAsia="en-AU"/>
      </w:rPr>
      <w:t xml:space="preserve"> survey</w:t>
    </w:r>
  </w:p>
  <w:p w14:paraId="55A73985" w14:textId="77777777" w:rsidR="003D2296" w:rsidRPr="00477982" w:rsidRDefault="003D2296" w:rsidP="00477982">
    <w:pPr>
      <w:pStyle w:val="Footer"/>
      <w:ind w:left="-1418"/>
      <w:rPr>
        <w:rStyle w:val="Hyperlink"/>
        <w:color w:val="auto"/>
        <w:u w:val="none"/>
      </w:rPr>
    </w:pPr>
    <w:r>
      <w:rPr>
        <w:noProof/>
        <w:lang w:eastAsia="en-AU"/>
      </w:rPr>
      <w:drawing>
        <wp:inline distT="0" distB="0" distL="0" distR="0" wp14:anchorId="14D00ABD" wp14:editId="0C38BF11">
          <wp:extent cx="7560000" cy="358181"/>
          <wp:effectExtent l="0" t="0" r="3175" b="3810"/>
          <wp:docPr id="8" name="Picture 8" descr="Purple Border " title="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l="1935" t="-12324" r="1078" b="19102"/>
                  <a:stretch/>
                </pic:blipFill>
                <pic:spPr bwMode="auto">
                  <a:xfrm>
                    <a:off x="0" y="0"/>
                    <a:ext cx="7560000" cy="358181"/>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5DED87" w14:textId="77777777" w:rsidR="003D2296" w:rsidRDefault="003D2296" w:rsidP="002117E6">
      <w:pPr>
        <w:spacing w:after="0"/>
      </w:pPr>
      <w:r>
        <w:separator/>
      </w:r>
    </w:p>
  </w:footnote>
  <w:footnote w:type="continuationSeparator" w:id="0">
    <w:p w14:paraId="5D46CAB2" w14:textId="77777777" w:rsidR="003D2296" w:rsidRDefault="003D2296" w:rsidP="002117E6">
      <w:pPr>
        <w:spacing w:after="0"/>
      </w:pPr>
      <w:r>
        <w:continuationSeparator/>
      </w:r>
    </w:p>
  </w:footnote>
  <w:footnote w:id="1">
    <w:p w14:paraId="4C7A6293" w14:textId="020DA9BA" w:rsidR="00902EE7" w:rsidRDefault="00902EE7" w:rsidP="00902EE7">
      <w:pPr>
        <w:pStyle w:val="FootnoteText"/>
      </w:pPr>
      <w:r>
        <w:rPr>
          <w:rStyle w:val="FootnoteReference"/>
        </w:rPr>
        <w:footnoteRef/>
      </w:r>
      <w:r>
        <w:t xml:space="preserve"> </w:t>
      </w:r>
      <w:r w:rsidRPr="0023201F">
        <w:rPr>
          <w:i/>
          <w:iCs/>
          <w:sz w:val="18"/>
          <w:szCs w:val="18"/>
        </w:rPr>
        <w:t>Cultural Funding by Government</w:t>
      </w:r>
      <w:r w:rsidRPr="008B78B2">
        <w:rPr>
          <w:sz w:val="18"/>
          <w:szCs w:val="18"/>
        </w:rPr>
        <w:t xml:space="preserve"> survey not conducted in 2018–19</w:t>
      </w:r>
      <w:r w:rsidR="001D64BD">
        <w:rPr>
          <w:sz w:val="18"/>
          <w:szCs w:val="18"/>
        </w:rPr>
        <w:t>,</w:t>
      </w:r>
      <w:r w:rsidRPr="008B78B2">
        <w:rPr>
          <w:sz w:val="18"/>
          <w:szCs w:val="18"/>
        </w:rPr>
        <w:t xml:space="preserve"> as </w:t>
      </w:r>
      <w:r w:rsidR="001D64BD">
        <w:rPr>
          <w:sz w:val="18"/>
          <w:szCs w:val="18"/>
        </w:rPr>
        <w:t xml:space="preserve">it </w:t>
      </w:r>
      <w:r w:rsidRPr="008B78B2">
        <w:rPr>
          <w:sz w:val="18"/>
          <w:szCs w:val="18"/>
        </w:rPr>
        <w:t>changed to a biennial collection.</w:t>
      </w:r>
    </w:p>
  </w:footnote>
  <w:footnote w:id="2">
    <w:p w14:paraId="0B6305C4" w14:textId="77777777" w:rsidR="00902EE7" w:rsidRDefault="00902EE7" w:rsidP="00902EE7">
      <w:pPr>
        <w:pStyle w:val="FootnoteText"/>
      </w:pPr>
      <w:r>
        <w:rPr>
          <w:rStyle w:val="FootnoteReference"/>
        </w:rPr>
        <w:footnoteRef/>
      </w:r>
      <w:r>
        <w:t xml:space="preserve"> </w:t>
      </w:r>
      <w:r w:rsidRPr="0085042D">
        <w:rPr>
          <w:sz w:val="18"/>
          <w:szCs w:val="18"/>
        </w:rPr>
        <w:t>COVID support funding included in Total recurrent and Total</w:t>
      </w:r>
      <w:r>
        <w:rPr>
          <w:sz w:val="18"/>
          <w:szCs w:val="18"/>
        </w:rPr>
        <w:t xml:space="preserve"> </w:t>
      </w:r>
      <w:r w:rsidRPr="0085042D">
        <w:rPr>
          <w:sz w:val="18"/>
          <w:szCs w:val="18"/>
        </w:rPr>
        <w:t>figures only.</w:t>
      </w:r>
      <w:r>
        <w:rPr>
          <w:sz w:val="18"/>
          <w:szCs w:val="18"/>
        </w:rPr>
        <w:t xml:space="preserve"> COVID funding not reported by </w:t>
      </w:r>
      <w:r w:rsidRPr="0085042D">
        <w:rPr>
          <w:sz w:val="18"/>
          <w:szCs w:val="18"/>
        </w:rPr>
        <w:t>category.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9C040" w14:textId="77777777" w:rsidR="00A33EFB" w:rsidRDefault="00A33E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58084" w14:textId="76DFACDD" w:rsidR="003D2296" w:rsidRDefault="003D2296" w:rsidP="00477982">
    <w:pPr>
      <w:pStyle w:val="Header"/>
      <w:ind w:left="-1418"/>
    </w:pPr>
    <w:r>
      <w:rPr>
        <w:noProof/>
        <w:lang w:eastAsia="en-AU"/>
      </w:rPr>
      <w:drawing>
        <wp:inline distT="0" distB="0" distL="0" distR="0" wp14:anchorId="6B0A15C0" wp14:editId="7CF16A2C">
          <wp:extent cx="7560000" cy="544479"/>
          <wp:effectExtent l="0" t="0" r="3175" b="8255"/>
          <wp:docPr id="6" name="Picture 6" descr="Purple Border" title="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1654" t="19214" r="1857"/>
                  <a:stretch/>
                </pic:blipFill>
                <pic:spPr bwMode="auto">
                  <a:xfrm>
                    <a:off x="0" y="0"/>
                    <a:ext cx="7560000" cy="544479"/>
                  </a:xfrm>
                  <a:prstGeom prst="rect">
                    <a:avLst/>
                  </a:prstGeom>
                  <a:noFill/>
                  <a:ln>
                    <a:noFill/>
                  </a:ln>
                  <a:extLst>
                    <a:ext uri="{53640926-AAD7-44D8-BBD7-CCE9431645EC}">
                      <a14:shadowObscured xmlns:a14="http://schemas.microsoft.com/office/drawing/2010/main"/>
                    </a:ext>
                  </a:extLst>
                </pic:spPr>
              </pic:pic>
            </a:graphicData>
          </a:graphic>
        </wp:inline>
      </w:drawing>
    </w:r>
  </w:p>
  <w:p w14:paraId="45104229" w14:textId="1F5E042B" w:rsidR="003D2296" w:rsidRDefault="003D2296" w:rsidP="00477982">
    <w:pPr>
      <w:pStyle w:val="Header"/>
      <w:tabs>
        <w:tab w:val="clear" w:pos="9026"/>
        <w:tab w:val="right" w:pos="9333"/>
      </w:tabs>
    </w:pPr>
    <w:r>
      <w:t>MCM Statistics Working Group</w:t>
    </w:r>
    <w:r w:rsidRPr="00A96536">
      <w:tab/>
    </w:r>
    <w:r w:rsidRPr="00A96536">
      <w:tab/>
    </w:r>
    <w:r w:rsidR="00A33EFB">
      <w:t>August</w:t>
    </w:r>
    <w:r w:rsidR="003B340B">
      <w:t xml:space="preserve">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7D805" w14:textId="77777777" w:rsidR="00A33EFB" w:rsidRDefault="00A33E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12D9E"/>
    <w:multiLevelType w:val="hybridMultilevel"/>
    <w:tmpl w:val="7900756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117C6A73"/>
    <w:multiLevelType w:val="hybridMultilevel"/>
    <w:tmpl w:val="528A0CE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2B508A"/>
    <w:multiLevelType w:val="hybridMultilevel"/>
    <w:tmpl w:val="F3CA44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D241D7F"/>
    <w:multiLevelType w:val="hybridMultilevel"/>
    <w:tmpl w:val="A3A6C69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0E34F0"/>
    <w:multiLevelType w:val="hybridMultilevel"/>
    <w:tmpl w:val="14EAD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F7139D"/>
    <w:multiLevelType w:val="hybridMultilevel"/>
    <w:tmpl w:val="92622A6A"/>
    <w:lvl w:ilvl="0" w:tplc="80B65482">
      <w:start w:val="1"/>
      <w:numFmt w:val="bullet"/>
      <w:pStyle w:val="bullet-arrow"/>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54B3F70"/>
    <w:multiLevelType w:val="hybridMultilevel"/>
    <w:tmpl w:val="2EB41F5A"/>
    <w:lvl w:ilvl="0" w:tplc="43C08D6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C1D3841"/>
    <w:multiLevelType w:val="hybridMultilevel"/>
    <w:tmpl w:val="9A82D71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793E1F26"/>
    <w:multiLevelType w:val="hybridMultilevel"/>
    <w:tmpl w:val="1A685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
  </w:num>
  <w:num w:numId="4">
    <w:abstractNumId w:val="11"/>
  </w:num>
  <w:num w:numId="5">
    <w:abstractNumId w:val="2"/>
  </w:num>
  <w:num w:numId="6">
    <w:abstractNumId w:val="7"/>
  </w:num>
  <w:num w:numId="7">
    <w:abstractNumId w:val="0"/>
  </w:num>
  <w:num w:numId="8">
    <w:abstractNumId w:val="3"/>
  </w:num>
  <w:num w:numId="9">
    <w:abstractNumId w:val="4"/>
  </w:num>
  <w:num w:numId="10">
    <w:abstractNumId w:val="8"/>
  </w:num>
  <w:num w:numId="11">
    <w:abstractNumId w:val="8"/>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880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213E"/>
    <w:rsid w:val="000056F7"/>
    <w:rsid w:val="00024E6D"/>
    <w:rsid w:val="00025017"/>
    <w:rsid w:val="000302BC"/>
    <w:rsid w:val="00035573"/>
    <w:rsid w:val="0007783D"/>
    <w:rsid w:val="00081089"/>
    <w:rsid w:val="0009646A"/>
    <w:rsid w:val="0009659E"/>
    <w:rsid w:val="000C04DD"/>
    <w:rsid w:val="000C66BA"/>
    <w:rsid w:val="000D421A"/>
    <w:rsid w:val="000E398B"/>
    <w:rsid w:val="000F7B51"/>
    <w:rsid w:val="001031A7"/>
    <w:rsid w:val="0010768A"/>
    <w:rsid w:val="00111A64"/>
    <w:rsid w:val="00142132"/>
    <w:rsid w:val="001471EA"/>
    <w:rsid w:val="001472FC"/>
    <w:rsid w:val="001736CC"/>
    <w:rsid w:val="00185BD8"/>
    <w:rsid w:val="00185E9F"/>
    <w:rsid w:val="0019701B"/>
    <w:rsid w:val="001A350B"/>
    <w:rsid w:val="001D64AC"/>
    <w:rsid w:val="001D64BD"/>
    <w:rsid w:val="001D7905"/>
    <w:rsid w:val="001E1849"/>
    <w:rsid w:val="001E56B2"/>
    <w:rsid w:val="002117E6"/>
    <w:rsid w:val="00221CCC"/>
    <w:rsid w:val="00233671"/>
    <w:rsid w:val="00236A01"/>
    <w:rsid w:val="0024033A"/>
    <w:rsid w:val="00241E1C"/>
    <w:rsid w:val="00242B78"/>
    <w:rsid w:val="00251D4B"/>
    <w:rsid w:val="00287F8A"/>
    <w:rsid w:val="00290FEC"/>
    <w:rsid w:val="00293DD6"/>
    <w:rsid w:val="00294F14"/>
    <w:rsid w:val="002A4338"/>
    <w:rsid w:val="002A7780"/>
    <w:rsid w:val="002B7EB1"/>
    <w:rsid w:val="002C5369"/>
    <w:rsid w:val="002E2477"/>
    <w:rsid w:val="002E449F"/>
    <w:rsid w:val="002E5E65"/>
    <w:rsid w:val="002F3895"/>
    <w:rsid w:val="00302513"/>
    <w:rsid w:val="00327F06"/>
    <w:rsid w:val="00335334"/>
    <w:rsid w:val="00336DDD"/>
    <w:rsid w:val="0034396E"/>
    <w:rsid w:val="00361E74"/>
    <w:rsid w:val="00381364"/>
    <w:rsid w:val="0039371F"/>
    <w:rsid w:val="003B340B"/>
    <w:rsid w:val="003B5B1D"/>
    <w:rsid w:val="003D2296"/>
    <w:rsid w:val="003F495D"/>
    <w:rsid w:val="00400E77"/>
    <w:rsid w:val="0041185C"/>
    <w:rsid w:val="004172FC"/>
    <w:rsid w:val="0042447B"/>
    <w:rsid w:val="004263D0"/>
    <w:rsid w:val="00426BF7"/>
    <w:rsid w:val="00426F0B"/>
    <w:rsid w:val="00435054"/>
    <w:rsid w:val="00436F4C"/>
    <w:rsid w:val="00441A51"/>
    <w:rsid w:val="00450D6E"/>
    <w:rsid w:val="00456F44"/>
    <w:rsid w:val="00467552"/>
    <w:rsid w:val="0047025C"/>
    <w:rsid w:val="004753FE"/>
    <w:rsid w:val="004755A2"/>
    <w:rsid w:val="00477982"/>
    <w:rsid w:val="00491C47"/>
    <w:rsid w:val="004F0AC6"/>
    <w:rsid w:val="004F6336"/>
    <w:rsid w:val="005262D2"/>
    <w:rsid w:val="00526687"/>
    <w:rsid w:val="00530E99"/>
    <w:rsid w:val="005377F7"/>
    <w:rsid w:val="00542695"/>
    <w:rsid w:val="00544465"/>
    <w:rsid w:val="0055499C"/>
    <w:rsid w:val="005607E8"/>
    <w:rsid w:val="00561190"/>
    <w:rsid w:val="005658F1"/>
    <w:rsid w:val="00565B47"/>
    <w:rsid w:val="00575A5A"/>
    <w:rsid w:val="005932D0"/>
    <w:rsid w:val="00597F9B"/>
    <w:rsid w:val="005A3BC5"/>
    <w:rsid w:val="005B1A97"/>
    <w:rsid w:val="005C7EE7"/>
    <w:rsid w:val="005D197F"/>
    <w:rsid w:val="005D4115"/>
    <w:rsid w:val="005E0F50"/>
    <w:rsid w:val="005E527F"/>
    <w:rsid w:val="005E7B06"/>
    <w:rsid w:val="005F23E0"/>
    <w:rsid w:val="00606D51"/>
    <w:rsid w:val="0061446D"/>
    <w:rsid w:val="00617E0B"/>
    <w:rsid w:val="00625397"/>
    <w:rsid w:val="00640A4C"/>
    <w:rsid w:val="0064138E"/>
    <w:rsid w:val="00651A81"/>
    <w:rsid w:val="00655DF4"/>
    <w:rsid w:val="00661DF5"/>
    <w:rsid w:val="006A2F0E"/>
    <w:rsid w:val="006A2FDD"/>
    <w:rsid w:val="006C18BE"/>
    <w:rsid w:val="006D096B"/>
    <w:rsid w:val="006D4BB3"/>
    <w:rsid w:val="006F06FD"/>
    <w:rsid w:val="006F0FF7"/>
    <w:rsid w:val="00705B86"/>
    <w:rsid w:val="0071320D"/>
    <w:rsid w:val="00722EC4"/>
    <w:rsid w:val="007312EE"/>
    <w:rsid w:val="00734581"/>
    <w:rsid w:val="00753BB6"/>
    <w:rsid w:val="007603FD"/>
    <w:rsid w:val="007665C2"/>
    <w:rsid w:val="007A4B0F"/>
    <w:rsid w:val="008169A6"/>
    <w:rsid w:val="0082186E"/>
    <w:rsid w:val="00834A94"/>
    <w:rsid w:val="00834DE8"/>
    <w:rsid w:val="00841C2E"/>
    <w:rsid w:val="00842CA0"/>
    <w:rsid w:val="008646E6"/>
    <w:rsid w:val="00866475"/>
    <w:rsid w:val="008747FA"/>
    <w:rsid w:val="00877172"/>
    <w:rsid w:val="00880D08"/>
    <w:rsid w:val="008A4B1F"/>
    <w:rsid w:val="008B2203"/>
    <w:rsid w:val="008B767F"/>
    <w:rsid w:val="008C6858"/>
    <w:rsid w:val="008D4E53"/>
    <w:rsid w:val="008F5F11"/>
    <w:rsid w:val="008F7FA4"/>
    <w:rsid w:val="00902EE7"/>
    <w:rsid w:val="00903111"/>
    <w:rsid w:val="009313D2"/>
    <w:rsid w:val="0093312F"/>
    <w:rsid w:val="0094124E"/>
    <w:rsid w:val="009549FD"/>
    <w:rsid w:val="00955A9C"/>
    <w:rsid w:val="009654E0"/>
    <w:rsid w:val="00972787"/>
    <w:rsid w:val="009A124D"/>
    <w:rsid w:val="009A2603"/>
    <w:rsid w:val="009B3CA9"/>
    <w:rsid w:val="009B7EF0"/>
    <w:rsid w:val="009D2D80"/>
    <w:rsid w:val="009E12E4"/>
    <w:rsid w:val="009F4363"/>
    <w:rsid w:val="009F62D2"/>
    <w:rsid w:val="00A01490"/>
    <w:rsid w:val="00A22246"/>
    <w:rsid w:val="00A241FE"/>
    <w:rsid w:val="00A245C6"/>
    <w:rsid w:val="00A33EFB"/>
    <w:rsid w:val="00A35CD0"/>
    <w:rsid w:val="00A4434A"/>
    <w:rsid w:val="00A52A3C"/>
    <w:rsid w:val="00A57CD7"/>
    <w:rsid w:val="00A606B1"/>
    <w:rsid w:val="00A61E9B"/>
    <w:rsid w:val="00A876DD"/>
    <w:rsid w:val="00A90001"/>
    <w:rsid w:val="00AA38E6"/>
    <w:rsid w:val="00AC0B64"/>
    <w:rsid w:val="00AC1D60"/>
    <w:rsid w:val="00AC2444"/>
    <w:rsid w:val="00AC5D78"/>
    <w:rsid w:val="00AD78C4"/>
    <w:rsid w:val="00AE0BE1"/>
    <w:rsid w:val="00AE4F02"/>
    <w:rsid w:val="00AF310D"/>
    <w:rsid w:val="00AF5FC0"/>
    <w:rsid w:val="00B049A4"/>
    <w:rsid w:val="00B04E5C"/>
    <w:rsid w:val="00B1045C"/>
    <w:rsid w:val="00B15F8F"/>
    <w:rsid w:val="00B26799"/>
    <w:rsid w:val="00B40560"/>
    <w:rsid w:val="00B43C56"/>
    <w:rsid w:val="00B55747"/>
    <w:rsid w:val="00B5792B"/>
    <w:rsid w:val="00B704AE"/>
    <w:rsid w:val="00B964C1"/>
    <w:rsid w:val="00B96893"/>
    <w:rsid w:val="00BA0A5A"/>
    <w:rsid w:val="00BA1263"/>
    <w:rsid w:val="00BA7F94"/>
    <w:rsid w:val="00BB5782"/>
    <w:rsid w:val="00BC0D30"/>
    <w:rsid w:val="00BC19F0"/>
    <w:rsid w:val="00BC329E"/>
    <w:rsid w:val="00BC7D72"/>
    <w:rsid w:val="00BD24DC"/>
    <w:rsid w:val="00BD597E"/>
    <w:rsid w:val="00BE1F34"/>
    <w:rsid w:val="00BE7E66"/>
    <w:rsid w:val="00C02CBE"/>
    <w:rsid w:val="00C16794"/>
    <w:rsid w:val="00C240E2"/>
    <w:rsid w:val="00C2668E"/>
    <w:rsid w:val="00C27A57"/>
    <w:rsid w:val="00C419CE"/>
    <w:rsid w:val="00C451EE"/>
    <w:rsid w:val="00C45DF2"/>
    <w:rsid w:val="00C55F55"/>
    <w:rsid w:val="00CA43D8"/>
    <w:rsid w:val="00CB00B4"/>
    <w:rsid w:val="00CB6F26"/>
    <w:rsid w:val="00CC6EEC"/>
    <w:rsid w:val="00CC75CC"/>
    <w:rsid w:val="00CE2959"/>
    <w:rsid w:val="00CF5E24"/>
    <w:rsid w:val="00D03AE2"/>
    <w:rsid w:val="00D47936"/>
    <w:rsid w:val="00D54FEF"/>
    <w:rsid w:val="00D626E0"/>
    <w:rsid w:val="00D76B2F"/>
    <w:rsid w:val="00D82A33"/>
    <w:rsid w:val="00D90987"/>
    <w:rsid w:val="00D92957"/>
    <w:rsid w:val="00DB4FA3"/>
    <w:rsid w:val="00DC2DFA"/>
    <w:rsid w:val="00DC6A98"/>
    <w:rsid w:val="00DD5D52"/>
    <w:rsid w:val="00DE79B1"/>
    <w:rsid w:val="00DF3729"/>
    <w:rsid w:val="00E34E34"/>
    <w:rsid w:val="00E54D63"/>
    <w:rsid w:val="00E57BCF"/>
    <w:rsid w:val="00E60DEB"/>
    <w:rsid w:val="00E92EB5"/>
    <w:rsid w:val="00E97404"/>
    <w:rsid w:val="00E978C6"/>
    <w:rsid w:val="00EA2F26"/>
    <w:rsid w:val="00EA4516"/>
    <w:rsid w:val="00EA5BA4"/>
    <w:rsid w:val="00EA6D34"/>
    <w:rsid w:val="00EB047B"/>
    <w:rsid w:val="00EB294E"/>
    <w:rsid w:val="00EB40A5"/>
    <w:rsid w:val="00EB58CD"/>
    <w:rsid w:val="00EC2D82"/>
    <w:rsid w:val="00ED7D65"/>
    <w:rsid w:val="00EE4583"/>
    <w:rsid w:val="00EF213E"/>
    <w:rsid w:val="00EF61B4"/>
    <w:rsid w:val="00F14A16"/>
    <w:rsid w:val="00F31503"/>
    <w:rsid w:val="00F3567E"/>
    <w:rsid w:val="00F35DCA"/>
    <w:rsid w:val="00F408EE"/>
    <w:rsid w:val="00F45E7E"/>
    <w:rsid w:val="00F47F47"/>
    <w:rsid w:val="00F56262"/>
    <w:rsid w:val="00F630CE"/>
    <w:rsid w:val="00F63107"/>
    <w:rsid w:val="00F701F0"/>
    <w:rsid w:val="00F7051B"/>
    <w:rsid w:val="00F73B65"/>
    <w:rsid w:val="00FA2DCD"/>
    <w:rsid w:val="00FB5717"/>
    <w:rsid w:val="00FC16F3"/>
    <w:rsid w:val="00FC2425"/>
    <w:rsid w:val="00FE6CBA"/>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330AB917"/>
  <w15:docId w15:val="{6F1CA4D6-F57A-4F55-A2CD-6398F8696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552"/>
    <w:pPr>
      <w:spacing w:after="200" w:line="240" w:lineRule="auto"/>
    </w:pPr>
  </w:style>
  <w:style w:type="paragraph" w:styleId="Heading1">
    <w:name w:val="heading 1"/>
    <w:basedOn w:val="Normal"/>
    <w:next w:val="Normal"/>
    <w:link w:val="Heading1Char"/>
    <w:uiPriority w:val="9"/>
    <w:qFormat/>
    <w:rsid w:val="00DC6A98"/>
    <w:pPr>
      <w:keepNext/>
      <w:spacing w:before="360" w:after="240"/>
      <w:outlineLvl w:val="0"/>
    </w:pPr>
    <w:rPr>
      <w:rFonts w:asciiTheme="majorHAnsi" w:eastAsiaTheme="majorEastAsia" w:hAnsiTheme="majorHAnsi" w:cstheme="majorBidi"/>
      <w:b/>
      <w:sz w:val="48"/>
      <w:szCs w:val="32"/>
      <w:lang w:eastAsia="en-US"/>
    </w:rPr>
  </w:style>
  <w:style w:type="paragraph" w:styleId="Heading2">
    <w:name w:val="heading 2"/>
    <w:basedOn w:val="Normal"/>
    <w:next w:val="Normal"/>
    <w:link w:val="Heading2Char"/>
    <w:uiPriority w:val="9"/>
    <w:unhideWhenUsed/>
    <w:qFormat/>
    <w:rsid w:val="00242B78"/>
    <w:pPr>
      <w:keepNext/>
      <w:outlineLvl w:val="1"/>
    </w:pPr>
    <w:rPr>
      <w:rFonts w:asciiTheme="majorHAnsi" w:eastAsiaTheme="majorEastAsia" w:hAnsiTheme="majorHAnsi" w:cstheme="majorBidi"/>
      <w:b/>
      <w:color w:val="554B87"/>
      <w:sz w:val="36"/>
      <w:szCs w:val="26"/>
      <w:lang w:eastAsia="en-US"/>
    </w:rPr>
  </w:style>
  <w:style w:type="paragraph" w:styleId="Heading3">
    <w:name w:val="heading 3"/>
    <w:basedOn w:val="Normal"/>
    <w:next w:val="Normal"/>
    <w:link w:val="Heading3Char"/>
    <w:uiPriority w:val="9"/>
    <w:unhideWhenUsed/>
    <w:qFormat/>
    <w:rsid w:val="00242B78"/>
    <w:pPr>
      <w:keepNext/>
      <w:spacing w:after="120"/>
      <w:outlineLvl w:val="2"/>
    </w:pPr>
    <w:rPr>
      <w:rFonts w:asciiTheme="majorHAnsi" w:eastAsiaTheme="majorEastAsia" w:hAnsiTheme="majorHAnsi" w:cstheme="majorBidi"/>
      <w:b/>
      <w:color w:val="554B87"/>
      <w:sz w:val="30"/>
      <w:szCs w:val="24"/>
      <w:lang w:eastAsia="en-US"/>
    </w:rPr>
  </w:style>
  <w:style w:type="paragraph" w:styleId="Heading4">
    <w:name w:val="heading 4"/>
    <w:basedOn w:val="Normal"/>
    <w:next w:val="Normal"/>
    <w:link w:val="Heading4Char"/>
    <w:uiPriority w:val="9"/>
    <w:unhideWhenUsed/>
    <w:qFormat/>
    <w:rsid w:val="00242B78"/>
    <w:pPr>
      <w:keepNext/>
      <w:keepLines/>
      <w:spacing w:after="120"/>
      <w:outlineLvl w:val="3"/>
    </w:pPr>
    <w:rPr>
      <w:rFonts w:asciiTheme="majorHAnsi" w:eastAsiaTheme="majorEastAsia" w:hAnsiTheme="majorHAnsi" w:cstheme="majorBidi"/>
      <w:b/>
      <w:bCs/>
      <w:color w:val="554B87"/>
      <w:sz w:val="24"/>
      <w:szCs w:val="24"/>
    </w:rPr>
  </w:style>
  <w:style w:type="paragraph" w:styleId="Heading5">
    <w:name w:val="heading 5"/>
    <w:basedOn w:val="Normal"/>
    <w:next w:val="Normal"/>
    <w:link w:val="Heading5Char"/>
    <w:uiPriority w:val="9"/>
    <w:unhideWhenUsed/>
    <w:qFormat/>
    <w:rsid w:val="00242B78"/>
    <w:pPr>
      <w:keepNext/>
      <w:keepLines/>
      <w:spacing w:after="60"/>
      <w:outlineLvl w:val="4"/>
    </w:pPr>
    <w:rPr>
      <w:rFonts w:asciiTheme="majorHAnsi" w:eastAsiaTheme="majorEastAsia" w:hAnsiTheme="majorHAnsi" w:cstheme="majorBidi"/>
      <w:b/>
      <w:color w:val="554B87"/>
    </w:rPr>
  </w:style>
  <w:style w:type="paragraph" w:styleId="Heading6">
    <w:name w:val="heading 6"/>
    <w:basedOn w:val="Normal"/>
    <w:next w:val="Normal"/>
    <w:link w:val="Heading6Char"/>
    <w:uiPriority w:val="9"/>
    <w:unhideWhenUsed/>
    <w:qFormat/>
    <w:rsid w:val="00242B78"/>
    <w:pPr>
      <w:keepNext/>
      <w:keepLines/>
      <w:spacing w:after="60"/>
      <w:outlineLvl w:val="5"/>
    </w:pPr>
    <w:rPr>
      <w:rFonts w:asciiTheme="majorHAnsi" w:eastAsiaTheme="majorEastAsia" w:hAnsiTheme="majorHAnsi" w:cstheme="majorBidi"/>
      <w:b/>
      <w:i/>
      <w:iCs/>
      <w:color w:val="554B87"/>
    </w:rPr>
  </w:style>
  <w:style w:type="paragraph" w:styleId="Heading7">
    <w:name w:val="heading 7"/>
    <w:basedOn w:val="Normal"/>
    <w:next w:val="Normal"/>
    <w:link w:val="Heading7Char"/>
    <w:uiPriority w:val="9"/>
    <w:unhideWhenUsed/>
    <w:qFormat/>
    <w:rsid w:val="00242B78"/>
    <w:pPr>
      <w:keepNext/>
      <w:keepLines/>
      <w:spacing w:before="40" w:after="0"/>
      <w:outlineLvl w:val="6"/>
    </w:pPr>
    <w:rPr>
      <w:rFonts w:asciiTheme="majorHAnsi" w:eastAsiaTheme="majorEastAsia" w:hAnsiTheme="majorHAnsi" w:cstheme="majorBidi"/>
      <w:b/>
      <w:i/>
      <w:iCs/>
      <w:color w:val="554B87"/>
    </w:rPr>
  </w:style>
  <w:style w:type="paragraph" w:styleId="Heading8">
    <w:name w:val="heading 8"/>
    <w:basedOn w:val="Normal"/>
    <w:next w:val="Normal"/>
    <w:link w:val="Heading8Char"/>
    <w:uiPriority w:val="9"/>
    <w:unhideWhenUsed/>
    <w:qFormat/>
    <w:rsid w:val="00242B78"/>
    <w:pPr>
      <w:keepNext/>
      <w:keepLines/>
      <w:spacing w:before="40" w:after="0"/>
      <w:outlineLvl w:val="7"/>
    </w:pPr>
    <w:rPr>
      <w:rFonts w:asciiTheme="majorHAnsi" w:eastAsiaTheme="majorEastAsia" w:hAnsiTheme="majorHAnsi" w:cstheme="majorBidi"/>
      <w:b/>
      <w:color w:val="554B87"/>
      <w:sz w:val="21"/>
      <w:szCs w:val="21"/>
    </w:rPr>
  </w:style>
  <w:style w:type="paragraph" w:styleId="Heading9">
    <w:name w:val="heading 9"/>
    <w:basedOn w:val="Normal"/>
    <w:next w:val="Normal"/>
    <w:link w:val="Heading9Char"/>
    <w:uiPriority w:val="9"/>
    <w:unhideWhenUsed/>
    <w:qFormat/>
    <w:rsid w:val="00242B78"/>
    <w:pPr>
      <w:keepNext/>
      <w:keepLines/>
      <w:spacing w:before="40" w:after="0"/>
      <w:outlineLvl w:val="8"/>
    </w:pPr>
    <w:rPr>
      <w:rFonts w:asciiTheme="majorHAnsi" w:eastAsiaTheme="majorEastAsia" w:hAnsiTheme="majorHAnsi" w:cstheme="majorBidi"/>
      <w:b/>
      <w:i/>
      <w:iCs/>
      <w:color w:val="554B87"/>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A98"/>
    <w:rPr>
      <w:rFonts w:asciiTheme="majorHAnsi" w:eastAsiaTheme="majorEastAsia" w:hAnsiTheme="majorHAnsi" w:cstheme="majorBidi"/>
      <w:b/>
      <w:sz w:val="48"/>
      <w:szCs w:val="32"/>
      <w:lang w:eastAsia="en-US"/>
    </w:rPr>
  </w:style>
  <w:style w:type="character" w:customStyle="1" w:styleId="Heading2Char">
    <w:name w:val="Heading 2 Char"/>
    <w:basedOn w:val="DefaultParagraphFont"/>
    <w:link w:val="Heading2"/>
    <w:uiPriority w:val="9"/>
    <w:rsid w:val="00242B78"/>
    <w:rPr>
      <w:rFonts w:asciiTheme="majorHAnsi" w:eastAsiaTheme="majorEastAsia" w:hAnsiTheme="majorHAnsi" w:cstheme="majorBidi"/>
      <w:b/>
      <w:color w:val="554B87"/>
      <w:sz w:val="36"/>
      <w:szCs w:val="26"/>
      <w:lang w:eastAsia="en-US"/>
    </w:rPr>
  </w:style>
  <w:style w:type="character" w:customStyle="1" w:styleId="Heading3Char">
    <w:name w:val="Heading 3 Char"/>
    <w:basedOn w:val="DefaultParagraphFont"/>
    <w:link w:val="Heading3"/>
    <w:uiPriority w:val="9"/>
    <w:rsid w:val="00242B78"/>
    <w:rPr>
      <w:rFonts w:asciiTheme="majorHAnsi" w:eastAsiaTheme="majorEastAsia" w:hAnsiTheme="majorHAnsi" w:cstheme="majorBidi"/>
      <w:b/>
      <w:color w:val="554B87"/>
      <w:sz w:val="30"/>
      <w:szCs w:val="24"/>
      <w:lang w:eastAsia="en-US"/>
    </w:rPr>
  </w:style>
  <w:style w:type="character" w:styleId="Hyperlink">
    <w:name w:val="Hyperlink"/>
    <w:basedOn w:val="DefaultParagraphFont"/>
    <w:uiPriority w:val="99"/>
    <w:unhideWhenUsed/>
    <w:rsid w:val="00F56262"/>
    <w:rPr>
      <w:b/>
      <w:color w:val="554B87"/>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467552"/>
    <w:pPr>
      <w:ind w:left="567"/>
    </w:pPr>
    <w:rPr>
      <w:rFonts w:eastAsiaTheme="minorHAnsi"/>
      <w:b/>
      <w:i/>
      <w:iCs/>
      <w:color w:val="554B87"/>
      <w:lang w:eastAsia="en-US"/>
    </w:rPr>
  </w:style>
  <w:style w:type="character" w:customStyle="1" w:styleId="QuoteChar">
    <w:name w:val="Quote Char"/>
    <w:basedOn w:val="DefaultParagraphFont"/>
    <w:link w:val="Quote"/>
    <w:uiPriority w:val="29"/>
    <w:rsid w:val="00467552"/>
    <w:rPr>
      <w:rFonts w:eastAsiaTheme="minorHAnsi"/>
      <w:b/>
      <w:i/>
      <w:iCs/>
      <w:color w:val="554B87"/>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242B78"/>
    <w:rPr>
      <w:rFonts w:asciiTheme="majorHAnsi" w:eastAsiaTheme="majorEastAsia" w:hAnsiTheme="majorHAnsi" w:cstheme="majorBidi"/>
      <w:b/>
      <w:bCs/>
      <w:color w:val="554B87"/>
      <w:sz w:val="24"/>
      <w:szCs w:val="24"/>
    </w:rPr>
  </w:style>
  <w:style w:type="character" w:customStyle="1" w:styleId="Heading5Char">
    <w:name w:val="Heading 5 Char"/>
    <w:basedOn w:val="DefaultParagraphFont"/>
    <w:link w:val="Heading5"/>
    <w:uiPriority w:val="9"/>
    <w:rsid w:val="00242B78"/>
    <w:rPr>
      <w:rFonts w:asciiTheme="majorHAnsi" w:eastAsiaTheme="majorEastAsia" w:hAnsiTheme="majorHAnsi" w:cstheme="majorBidi"/>
      <w:b/>
      <w:color w:val="554B87"/>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8B767F"/>
    <w:pPr>
      <w:keepNext/>
      <w:spacing w:after="0"/>
    </w:pPr>
    <w:rPr>
      <w:rFonts w:asciiTheme="majorHAnsi" w:eastAsiaTheme="minorHAnsi" w:hAnsiTheme="majorHAnsi"/>
      <w:b/>
      <w:color w:val="554B87"/>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242B78"/>
    <w:rPr>
      <w:rFonts w:asciiTheme="majorHAnsi" w:eastAsiaTheme="majorEastAsia" w:hAnsiTheme="majorHAnsi" w:cstheme="majorBidi"/>
      <w:b/>
      <w:i/>
      <w:iCs/>
      <w:color w:val="554B87"/>
    </w:rPr>
  </w:style>
  <w:style w:type="character" w:customStyle="1" w:styleId="Heading7Char">
    <w:name w:val="Heading 7 Char"/>
    <w:basedOn w:val="DefaultParagraphFont"/>
    <w:link w:val="Heading7"/>
    <w:uiPriority w:val="9"/>
    <w:rsid w:val="00242B78"/>
    <w:rPr>
      <w:rFonts w:asciiTheme="majorHAnsi" w:eastAsiaTheme="majorEastAsia" w:hAnsiTheme="majorHAnsi" w:cstheme="majorBidi"/>
      <w:b/>
      <w:i/>
      <w:iCs/>
      <w:color w:val="554B87"/>
    </w:rPr>
  </w:style>
  <w:style w:type="character" w:customStyle="1" w:styleId="Heading8Char">
    <w:name w:val="Heading 8 Char"/>
    <w:basedOn w:val="DefaultParagraphFont"/>
    <w:link w:val="Heading8"/>
    <w:uiPriority w:val="9"/>
    <w:rsid w:val="00242B78"/>
    <w:rPr>
      <w:rFonts w:asciiTheme="majorHAnsi" w:eastAsiaTheme="majorEastAsia" w:hAnsiTheme="majorHAnsi" w:cstheme="majorBidi"/>
      <w:b/>
      <w:color w:val="554B87"/>
      <w:sz w:val="21"/>
      <w:szCs w:val="21"/>
    </w:rPr>
  </w:style>
  <w:style w:type="character" w:customStyle="1" w:styleId="Heading9Char">
    <w:name w:val="Heading 9 Char"/>
    <w:basedOn w:val="DefaultParagraphFont"/>
    <w:link w:val="Heading9"/>
    <w:uiPriority w:val="9"/>
    <w:rsid w:val="00242B78"/>
    <w:rPr>
      <w:rFonts w:asciiTheme="majorHAnsi" w:eastAsiaTheme="majorEastAsia" w:hAnsiTheme="majorHAnsi" w:cstheme="majorBidi"/>
      <w:b/>
      <w:i/>
      <w:iCs/>
      <w:color w:val="554B87"/>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1">
    <w:name w:val="Unresolved Mention1"/>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03AE2"/>
    <w:pPr>
      <w:spacing w:after="120"/>
    </w:pPr>
    <w:rPr>
      <w:sz w:val="32"/>
    </w:rPr>
  </w:style>
  <w:style w:type="paragraph" w:customStyle="1" w:styleId="Heading3-notshowing">
    <w:name w:val="Heading 3 - not showing"/>
    <w:basedOn w:val="Heading3"/>
    <w:qFormat/>
    <w:rsid w:val="00D03AE2"/>
    <w:rPr>
      <w:sz w:val="28"/>
    </w:rPr>
  </w:style>
  <w:style w:type="paragraph" w:styleId="TOC1">
    <w:name w:val="toc 1"/>
    <w:basedOn w:val="Normal"/>
    <w:next w:val="Normal"/>
    <w:autoRedefine/>
    <w:uiPriority w:val="39"/>
    <w:unhideWhenUsed/>
    <w:rsid w:val="004755A2"/>
    <w:pPr>
      <w:tabs>
        <w:tab w:val="right" w:leader="dot" w:pos="9072"/>
      </w:tabs>
      <w:spacing w:before="120" w:after="0"/>
    </w:pPr>
    <w:rPr>
      <w:b/>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paragraph" w:styleId="BalloonText">
    <w:name w:val="Balloon Text"/>
    <w:basedOn w:val="Normal"/>
    <w:link w:val="BalloonTextChar"/>
    <w:uiPriority w:val="99"/>
    <w:semiHidden/>
    <w:unhideWhenUsed/>
    <w:rsid w:val="00426BF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BF7"/>
    <w:rPr>
      <w:rFonts w:ascii="Tahoma" w:hAnsi="Tahoma" w:cs="Tahoma"/>
      <w:sz w:val="16"/>
      <w:szCs w:val="16"/>
    </w:rPr>
  </w:style>
  <w:style w:type="paragraph" w:customStyle="1" w:styleId="bullet-arrow">
    <w:name w:val="bullet - arrow"/>
    <w:basedOn w:val="Bulletlevel1"/>
    <w:qFormat/>
    <w:rsid w:val="00FC2425"/>
    <w:pPr>
      <w:numPr>
        <w:numId w:val="6"/>
      </w:numPr>
      <w:ind w:left="567" w:hanging="567"/>
    </w:pPr>
  </w:style>
  <w:style w:type="character" w:styleId="CommentReference">
    <w:name w:val="annotation reference"/>
    <w:basedOn w:val="DefaultParagraphFont"/>
    <w:uiPriority w:val="99"/>
    <w:semiHidden/>
    <w:unhideWhenUsed/>
    <w:rsid w:val="00A01490"/>
    <w:rPr>
      <w:sz w:val="16"/>
      <w:szCs w:val="16"/>
    </w:rPr>
  </w:style>
  <w:style w:type="paragraph" w:styleId="CommentText">
    <w:name w:val="annotation text"/>
    <w:basedOn w:val="Normal"/>
    <w:link w:val="CommentTextChar"/>
    <w:uiPriority w:val="99"/>
    <w:semiHidden/>
    <w:unhideWhenUsed/>
    <w:rsid w:val="00A01490"/>
    <w:rPr>
      <w:sz w:val="20"/>
      <w:szCs w:val="20"/>
    </w:rPr>
  </w:style>
  <w:style w:type="character" w:customStyle="1" w:styleId="CommentTextChar">
    <w:name w:val="Comment Text Char"/>
    <w:basedOn w:val="DefaultParagraphFont"/>
    <w:link w:val="CommentText"/>
    <w:uiPriority w:val="99"/>
    <w:semiHidden/>
    <w:rsid w:val="00A01490"/>
    <w:rPr>
      <w:sz w:val="20"/>
      <w:szCs w:val="20"/>
    </w:rPr>
  </w:style>
  <w:style w:type="paragraph" w:styleId="CommentSubject">
    <w:name w:val="annotation subject"/>
    <w:basedOn w:val="CommentText"/>
    <w:next w:val="CommentText"/>
    <w:link w:val="CommentSubjectChar"/>
    <w:uiPriority w:val="99"/>
    <w:semiHidden/>
    <w:unhideWhenUsed/>
    <w:rsid w:val="00A01490"/>
    <w:rPr>
      <w:b/>
      <w:bCs/>
    </w:rPr>
  </w:style>
  <w:style w:type="character" w:customStyle="1" w:styleId="CommentSubjectChar">
    <w:name w:val="Comment Subject Char"/>
    <w:basedOn w:val="CommentTextChar"/>
    <w:link w:val="CommentSubject"/>
    <w:uiPriority w:val="99"/>
    <w:semiHidden/>
    <w:rsid w:val="00A014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231562">
      <w:bodyDiv w:val="1"/>
      <w:marLeft w:val="0"/>
      <w:marRight w:val="0"/>
      <w:marTop w:val="0"/>
      <w:marBottom w:val="0"/>
      <w:divBdr>
        <w:top w:val="none" w:sz="0" w:space="0" w:color="auto"/>
        <w:left w:val="none" w:sz="0" w:space="0" w:color="auto"/>
        <w:bottom w:val="none" w:sz="0" w:space="0" w:color="auto"/>
        <w:right w:val="none" w:sz="0" w:space="0" w:color="auto"/>
      </w:divBdr>
    </w:div>
    <w:div w:id="78791466">
      <w:bodyDiv w:val="1"/>
      <w:marLeft w:val="0"/>
      <w:marRight w:val="0"/>
      <w:marTop w:val="0"/>
      <w:marBottom w:val="0"/>
      <w:divBdr>
        <w:top w:val="none" w:sz="0" w:space="0" w:color="auto"/>
        <w:left w:val="none" w:sz="0" w:space="0" w:color="auto"/>
        <w:bottom w:val="none" w:sz="0" w:space="0" w:color="auto"/>
        <w:right w:val="none" w:sz="0" w:space="0" w:color="auto"/>
      </w:divBdr>
    </w:div>
    <w:div w:id="479537634">
      <w:bodyDiv w:val="1"/>
      <w:marLeft w:val="0"/>
      <w:marRight w:val="0"/>
      <w:marTop w:val="0"/>
      <w:marBottom w:val="0"/>
      <w:divBdr>
        <w:top w:val="none" w:sz="0" w:space="0" w:color="auto"/>
        <w:left w:val="none" w:sz="0" w:space="0" w:color="auto"/>
        <w:bottom w:val="none" w:sz="0" w:space="0" w:color="auto"/>
        <w:right w:val="none" w:sz="0" w:space="0" w:color="auto"/>
      </w:divBdr>
    </w:div>
    <w:div w:id="963734609">
      <w:bodyDiv w:val="1"/>
      <w:marLeft w:val="0"/>
      <w:marRight w:val="0"/>
      <w:marTop w:val="0"/>
      <w:marBottom w:val="0"/>
      <w:divBdr>
        <w:top w:val="none" w:sz="0" w:space="0" w:color="auto"/>
        <w:left w:val="none" w:sz="0" w:space="0" w:color="auto"/>
        <w:bottom w:val="none" w:sz="0" w:space="0" w:color="auto"/>
        <w:right w:val="none" w:sz="0" w:space="0" w:color="auto"/>
      </w:divBdr>
    </w:div>
    <w:div w:id="1000500526">
      <w:bodyDiv w:val="1"/>
      <w:marLeft w:val="0"/>
      <w:marRight w:val="0"/>
      <w:marTop w:val="0"/>
      <w:marBottom w:val="0"/>
      <w:divBdr>
        <w:top w:val="none" w:sz="0" w:space="0" w:color="auto"/>
        <w:left w:val="none" w:sz="0" w:space="0" w:color="auto"/>
        <w:bottom w:val="none" w:sz="0" w:space="0" w:color="auto"/>
        <w:right w:val="none" w:sz="0" w:space="0" w:color="auto"/>
      </w:divBdr>
    </w:div>
    <w:div w:id="1019699486">
      <w:bodyDiv w:val="1"/>
      <w:marLeft w:val="0"/>
      <w:marRight w:val="0"/>
      <w:marTop w:val="0"/>
      <w:marBottom w:val="0"/>
      <w:divBdr>
        <w:top w:val="none" w:sz="0" w:space="0" w:color="auto"/>
        <w:left w:val="none" w:sz="0" w:space="0" w:color="auto"/>
        <w:bottom w:val="none" w:sz="0" w:space="0" w:color="auto"/>
        <w:right w:val="none" w:sz="0" w:space="0" w:color="auto"/>
      </w:divBdr>
    </w:div>
    <w:div w:id="1523133319">
      <w:bodyDiv w:val="1"/>
      <w:marLeft w:val="0"/>
      <w:marRight w:val="0"/>
      <w:marTop w:val="0"/>
      <w:marBottom w:val="0"/>
      <w:divBdr>
        <w:top w:val="none" w:sz="0" w:space="0" w:color="auto"/>
        <w:left w:val="none" w:sz="0" w:space="0" w:color="auto"/>
        <w:bottom w:val="none" w:sz="0" w:space="0" w:color="auto"/>
        <w:right w:val="none" w:sz="0" w:space="0" w:color="auto"/>
      </w:divBdr>
    </w:div>
    <w:div w:id="172047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chart" Target="charts/chart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adminsrvad.sa.gov.au\DfsRoot\DataDPC\ArtsSA\ABS\Cultural%20Funding%20Collections\2019-2020\Data%20Management\Data%20-%20Input_Output\CF%20Analysis%202019_2020_2906.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adminsrvad.sa.gov.au\DfsRoot\DataDPC\ArtsSA\ABS\Cultural%20Funding%20Collections\2019-2020\Data%20Management\Data%20-%20Input_Output\CF%20Analysis%202019_2020_2906.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adminsrvad.sa.gov.au\DfsRoot\DataDPC\ArtsSA\ABS\Cultural%20Funding%20Collections\2019-2020\Data%20Management\Data%20-%20Input_Output\CF%20Analysis%202019_2020_2906.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1.xml"/><Relationship Id="rId4" Type="http://schemas.openxmlformats.org/officeDocument/2006/relationships/oleObject" Target="file:///\\corp\absdfs\workgroup\ECEDGSA\Culture\Cultural%20Funding\2019-20%20Survey\Validation\CF%20Analysis%202019_2020_290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1804133760936596E-2"/>
          <c:y val="0.10801062711197798"/>
          <c:w val="0.92060062315153779"/>
          <c:h val="0.74332239720034998"/>
        </c:manualLayout>
      </c:layout>
      <c:barChart>
        <c:barDir val="col"/>
        <c:grouping val="clustered"/>
        <c:varyColors val="0"/>
        <c:ser>
          <c:idx val="0"/>
          <c:order val="0"/>
          <c:tx>
            <c:strRef>
              <c:f>'Aus Gov'!$B$39</c:f>
              <c:strCache>
                <c:ptCount val="1"/>
                <c:pt idx="0">
                  <c:v>2016-17</c:v>
                </c:pt>
              </c:strCache>
            </c:strRef>
          </c:tx>
          <c:spPr>
            <a:solidFill>
              <a:srgbClr val="646464"/>
            </a:solidFill>
            <a:ln>
              <a:solidFill>
                <a:srgbClr val="646464"/>
              </a:solidFill>
            </a:ln>
            <a:effectLst/>
          </c:spPr>
          <c:invertIfNegative val="0"/>
          <c:cat>
            <c:strRef>
              <c:f>'Aus Gov'!$A$40:$A$43</c:f>
              <c:strCache>
                <c:ptCount val="4"/>
                <c:pt idx="0">
                  <c:v>Art museums</c:v>
                </c:pt>
                <c:pt idx="1">
                  <c:v>Other museums
&amp; cultural heritage</c:v>
                </c:pt>
                <c:pt idx="2">
                  <c:v>Libraries</c:v>
                </c:pt>
                <c:pt idx="3">
                  <c:v>Archives</c:v>
                </c:pt>
              </c:strCache>
            </c:strRef>
          </c:cat>
          <c:val>
            <c:numRef>
              <c:f>'Aus Gov'!$B$40:$B$43</c:f>
              <c:numCache>
                <c:formatCode>0.0</c:formatCode>
                <c:ptCount val="4"/>
                <c:pt idx="0">
                  <c:v>65.643000000000001</c:v>
                </c:pt>
                <c:pt idx="1">
                  <c:v>205.78899999999999</c:v>
                </c:pt>
                <c:pt idx="2">
                  <c:v>77.864999999999995</c:v>
                </c:pt>
                <c:pt idx="3">
                  <c:v>124.274</c:v>
                </c:pt>
              </c:numCache>
            </c:numRef>
          </c:val>
          <c:extLst>
            <c:ext xmlns:c16="http://schemas.microsoft.com/office/drawing/2014/chart" uri="{C3380CC4-5D6E-409C-BE32-E72D297353CC}">
              <c16:uniqueId val="{00000000-5C20-44A9-A74E-5704D0BD572B}"/>
            </c:ext>
          </c:extLst>
        </c:ser>
        <c:ser>
          <c:idx val="1"/>
          <c:order val="1"/>
          <c:tx>
            <c:strRef>
              <c:f>'Aus Gov'!$C$39</c:f>
              <c:strCache>
                <c:ptCount val="1"/>
                <c:pt idx="0">
                  <c:v>2017-18</c:v>
                </c:pt>
              </c:strCache>
            </c:strRef>
          </c:tx>
          <c:spPr>
            <a:solidFill>
              <a:srgbClr val="0F293A"/>
            </a:solidFill>
            <a:ln>
              <a:solidFill>
                <a:srgbClr val="0F293A"/>
              </a:solidFill>
            </a:ln>
            <a:effectLst/>
          </c:spPr>
          <c:invertIfNegative val="0"/>
          <c:cat>
            <c:strRef>
              <c:f>'Aus Gov'!$A$40:$A$43</c:f>
              <c:strCache>
                <c:ptCount val="4"/>
                <c:pt idx="0">
                  <c:v>Art museums</c:v>
                </c:pt>
                <c:pt idx="1">
                  <c:v>Other museums
&amp; cultural heritage</c:v>
                </c:pt>
                <c:pt idx="2">
                  <c:v>Libraries</c:v>
                </c:pt>
                <c:pt idx="3">
                  <c:v>Archives</c:v>
                </c:pt>
              </c:strCache>
            </c:strRef>
          </c:cat>
          <c:val>
            <c:numRef>
              <c:f>'Aus Gov'!$C$40:$C$43</c:f>
              <c:numCache>
                <c:formatCode>#,##0.0</c:formatCode>
                <c:ptCount val="4"/>
                <c:pt idx="0">
                  <c:v>88.021000000000001</c:v>
                </c:pt>
                <c:pt idx="1">
                  <c:v>290.30399999999997</c:v>
                </c:pt>
                <c:pt idx="2">
                  <c:v>110.79300000000001</c:v>
                </c:pt>
                <c:pt idx="3">
                  <c:v>122.139</c:v>
                </c:pt>
              </c:numCache>
            </c:numRef>
          </c:val>
          <c:extLst>
            <c:ext xmlns:c16="http://schemas.microsoft.com/office/drawing/2014/chart" uri="{C3380CC4-5D6E-409C-BE32-E72D297353CC}">
              <c16:uniqueId val="{00000001-5C20-44A9-A74E-5704D0BD572B}"/>
            </c:ext>
          </c:extLst>
        </c:ser>
        <c:ser>
          <c:idx val="2"/>
          <c:order val="2"/>
          <c:tx>
            <c:strRef>
              <c:f>'Aus Gov'!$D$39</c:f>
              <c:strCache>
                <c:ptCount val="1"/>
                <c:pt idx="0">
                  <c:v>2019-20</c:v>
                </c:pt>
              </c:strCache>
            </c:strRef>
          </c:tx>
          <c:spPr>
            <a:solidFill>
              <a:srgbClr val="513AC4"/>
            </a:solidFill>
            <a:ln>
              <a:solidFill>
                <a:srgbClr val="513AC4"/>
              </a:solidFill>
            </a:ln>
            <a:effectLst/>
          </c:spPr>
          <c:invertIfNegative val="0"/>
          <c:cat>
            <c:strRef>
              <c:f>'Aus Gov'!$A$40:$A$43</c:f>
              <c:strCache>
                <c:ptCount val="4"/>
                <c:pt idx="0">
                  <c:v>Art museums</c:v>
                </c:pt>
                <c:pt idx="1">
                  <c:v>Other museums
&amp; cultural heritage</c:v>
                </c:pt>
                <c:pt idx="2">
                  <c:v>Libraries</c:v>
                </c:pt>
                <c:pt idx="3">
                  <c:v>Archives</c:v>
                </c:pt>
              </c:strCache>
            </c:strRef>
          </c:cat>
          <c:val>
            <c:numRef>
              <c:f>'Aus Gov'!$D$40:$D$43</c:f>
              <c:numCache>
                <c:formatCode>#,##0.0</c:formatCode>
                <c:ptCount val="4"/>
                <c:pt idx="0">
                  <c:v>93.897999999999996</c:v>
                </c:pt>
                <c:pt idx="1">
                  <c:v>452.82900000000001</c:v>
                </c:pt>
                <c:pt idx="2">
                  <c:v>95.763999999999996</c:v>
                </c:pt>
                <c:pt idx="3">
                  <c:v>191.97</c:v>
                </c:pt>
              </c:numCache>
            </c:numRef>
          </c:val>
          <c:extLst>
            <c:ext xmlns:c16="http://schemas.microsoft.com/office/drawing/2014/chart" uri="{C3380CC4-5D6E-409C-BE32-E72D297353CC}">
              <c16:uniqueId val="{00000002-5C20-44A9-A74E-5704D0BD572B}"/>
            </c:ext>
          </c:extLst>
        </c:ser>
        <c:dLbls>
          <c:showLegendKey val="0"/>
          <c:showVal val="0"/>
          <c:showCatName val="0"/>
          <c:showSerName val="0"/>
          <c:showPercent val="0"/>
          <c:showBubbleSize val="0"/>
        </c:dLbls>
        <c:gapWidth val="100"/>
        <c:overlap val="-10"/>
        <c:axId val="233174528"/>
        <c:axId val="233176064"/>
      </c:barChart>
      <c:catAx>
        <c:axId val="233174528"/>
        <c:scaling>
          <c:orientation val="minMax"/>
        </c:scaling>
        <c:delete val="0"/>
        <c:axPos val="b"/>
        <c:numFmt formatCode="General" sourceLinked="1"/>
        <c:majorTickMark val="none"/>
        <c:minorTickMark val="none"/>
        <c:tickLblPos val="nextTo"/>
        <c:spPr>
          <a:noFill/>
          <a:ln w="9525" cap="flat" cmpd="sng" algn="ctr">
            <a:solidFill>
              <a:srgbClr val="646464"/>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233176064"/>
        <c:crosses val="autoZero"/>
        <c:auto val="1"/>
        <c:lblAlgn val="ctr"/>
        <c:lblOffset val="100"/>
        <c:noMultiLvlLbl val="0"/>
      </c:catAx>
      <c:valAx>
        <c:axId val="2331760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t" anchorCtr="0"/>
              <a:lstStyle/>
              <a:p>
                <a:pPr>
                  <a:defRPr sz="800" b="0" i="0" u="none" strike="noStrike" kern="1200" baseline="0">
                    <a:solidFill>
                      <a:schemeClr val="tx1"/>
                    </a:solidFill>
                    <a:latin typeface="+mn-lt"/>
                    <a:ea typeface="+mn-ea"/>
                    <a:cs typeface="+mn-cs"/>
                  </a:defRPr>
                </a:pPr>
                <a:r>
                  <a:rPr lang="en-AU"/>
                  <a:t>$m</a:t>
                </a:r>
              </a:p>
            </c:rich>
          </c:tx>
          <c:layout>
            <c:manualLayout>
              <c:xMode val="edge"/>
              <c:yMode val="edge"/>
              <c:x val="1.1915397301565945E-2"/>
              <c:y val="1.271981627296586E-2"/>
            </c:manualLayout>
          </c:layout>
          <c:overlay val="0"/>
          <c:spPr>
            <a:noFill/>
            <a:ln>
              <a:noFill/>
            </a:ln>
            <a:effectLst/>
          </c:spPr>
          <c:txPr>
            <a:bodyPr rot="0" spcFirstLastPara="1" vertOverflow="ellipsis" wrap="square" anchor="t" anchorCtr="0"/>
            <a:lstStyle/>
            <a:p>
              <a:pPr>
                <a:defRPr sz="800" b="0" i="0" u="none" strike="noStrike" kern="1200" baseline="0">
                  <a:solidFill>
                    <a:schemeClr val="tx1"/>
                  </a:solidFill>
                  <a:latin typeface="+mn-lt"/>
                  <a:ea typeface="+mn-ea"/>
                  <a:cs typeface="+mn-cs"/>
                </a:defRPr>
              </a:pPr>
              <a:endParaRPr lang="en-US"/>
            </a:p>
          </c:txPr>
        </c:title>
        <c:numFmt formatCode="#,##0" sourceLinked="0"/>
        <c:majorTickMark val="none"/>
        <c:minorTickMark val="none"/>
        <c:tickLblPos val="nextTo"/>
        <c:spPr>
          <a:noFill/>
          <a:ln>
            <a:solidFill>
              <a:srgbClr val="646464"/>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233174528"/>
        <c:crosses val="autoZero"/>
        <c:crossBetween val="between"/>
      </c:valAx>
      <c:spPr>
        <a:noFill/>
        <a:ln>
          <a:noFill/>
        </a:ln>
        <a:effectLst/>
      </c:spPr>
    </c:plotArea>
    <c:legend>
      <c:legendPos val="tr"/>
      <c:layout>
        <c:manualLayout>
          <c:xMode val="edge"/>
          <c:yMode val="edge"/>
          <c:x val="0.82819477195305169"/>
          <c:y val="0.15542559917236626"/>
          <c:w val="0.12888451443569557"/>
          <c:h val="0.22919305707224558"/>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628883782357097E-2"/>
          <c:y val="0.10801040280923789"/>
          <c:w val="0.92060062315153779"/>
          <c:h val="0.6419218830522897"/>
        </c:manualLayout>
      </c:layout>
      <c:barChart>
        <c:barDir val="col"/>
        <c:grouping val="clustered"/>
        <c:varyColors val="0"/>
        <c:ser>
          <c:idx val="0"/>
          <c:order val="0"/>
          <c:tx>
            <c:strRef>
              <c:f>'Aus Gov'!$B$49</c:f>
              <c:strCache>
                <c:ptCount val="1"/>
                <c:pt idx="0">
                  <c:v>2016-17</c:v>
                </c:pt>
              </c:strCache>
            </c:strRef>
          </c:tx>
          <c:spPr>
            <a:solidFill>
              <a:srgbClr val="646464"/>
            </a:solidFill>
            <a:ln>
              <a:solidFill>
                <a:srgbClr val="646464"/>
              </a:solidFill>
            </a:ln>
            <a:effectLst/>
          </c:spPr>
          <c:invertIfNegative val="0"/>
          <c:cat>
            <c:strRef>
              <c:f>'Aus Gov'!$A$50:$A$56</c:f>
              <c:strCache>
                <c:ptCount val="7"/>
                <c:pt idx="0">
                  <c:v>Literature &amp; writing</c:v>
                </c:pt>
                <c:pt idx="1">
                  <c:v>Music </c:v>
                </c:pt>
                <c:pt idx="2">
                  <c:v>Visual arts &amp; crafts</c:v>
                </c:pt>
                <c:pt idx="3">
                  <c:v>Radio &amp; television services</c:v>
                </c:pt>
                <c:pt idx="4">
                  <c:v>Film &amp; video production &amp; distribution</c:v>
                </c:pt>
                <c:pt idx="5">
                  <c:v>Arts education</c:v>
                </c:pt>
                <c:pt idx="6">
                  <c:v>Arts administration</c:v>
                </c:pt>
              </c:strCache>
            </c:strRef>
          </c:cat>
          <c:val>
            <c:numRef>
              <c:f>'Aus Gov'!$B$50:$B$56</c:f>
              <c:numCache>
                <c:formatCode>#,##0.0</c:formatCode>
                <c:ptCount val="7"/>
                <c:pt idx="0">
                  <c:v>28.902000000000001</c:v>
                </c:pt>
                <c:pt idx="1">
                  <c:v>73.638000000000005</c:v>
                </c:pt>
                <c:pt idx="2">
                  <c:v>39.045000000000002</c:v>
                </c:pt>
                <c:pt idx="3">
                  <c:v>1398.519</c:v>
                </c:pt>
                <c:pt idx="4">
                  <c:v>126.746</c:v>
                </c:pt>
                <c:pt idx="5">
                  <c:v>48.42</c:v>
                </c:pt>
                <c:pt idx="6">
                  <c:v>58.341000000000001</c:v>
                </c:pt>
              </c:numCache>
            </c:numRef>
          </c:val>
          <c:extLst>
            <c:ext xmlns:c16="http://schemas.microsoft.com/office/drawing/2014/chart" uri="{C3380CC4-5D6E-409C-BE32-E72D297353CC}">
              <c16:uniqueId val="{00000000-637C-4BBB-B4C6-B802D37E2337}"/>
            </c:ext>
          </c:extLst>
        </c:ser>
        <c:ser>
          <c:idx val="1"/>
          <c:order val="1"/>
          <c:tx>
            <c:strRef>
              <c:f>'Aus Gov'!$C$49</c:f>
              <c:strCache>
                <c:ptCount val="1"/>
                <c:pt idx="0">
                  <c:v>2017-18</c:v>
                </c:pt>
              </c:strCache>
            </c:strRef>
          </c:tx>
          <c:spPr>
            <a:solidFill>
              <a:srgbClr val="0F293A"/>
            </a:solidFill>
            <a:ln>
              <a:solidFill>
                <a:srgbClr val="0F293A"/>
              </a:solidFill>
            </a:ln>
            <a:effectLst/>
          </c:spPr>
          <c:invertIfNegative val="0"/>
          <c:cat>
            <c:strRef>
              <c:f>'Aus Gov'!$A$50:$A$56</c:f>
              <c:strCache>
                <c:ptCount val="7"/>
                <c:pt idx="0">
                  <c:v>Literature &amp; writing</c:v>
                </c:pt>
                <c:pt idx="1">
                  <c:v>Music </c:v>
                </c:pt>
                <c:pt idx="2">
                  <c:v>Visual arts &amp; crafts</c:v>
                </c:pt>
                <c:pt idx="3">
                  <c:v>Radio &amp; television services</c:v>
                </c:pt>
                <c:pt idx="4">
                  <c:v>Film &amp; video production &amp; distribution</c:v>
                </c:pt>
                <c:pt idx="5">
                  <c:v>Arts education</c:v>
                </c:pt>
                <c:pt idx="6">
                  <c:v>Arts administration</c:v>
                </c:pt>
              </c:strCache>
            </c:strRef>
          </c:cat>
          <c:val>
            <c:numRef>
              <c:f>'Aus Gov'!$C$50:$C$56</c:f>
              <c:numCache>
                <c:formatCode>#,##0.0</c:formatCode>
                <c:ptCount val="7"/>
                <c:pt idx="0">
                  <c:v>29.602</c:v>
                </c:pt>
                <c:pt idx="1">
                  <c:v>74.819999999999993</c:v>
                </c:pt>
                <c:pt idx="2">
                  <c:v>50.279000000000003</c:v>
                </c:pt>
                <c:pt idx="3">
                  <c:v>1418.4680000000001</c:v>
                </c:pt>
                <c:pt idx="4">
                  <c:v>110.92700000000001</c:v>
                </c:pt>
                <c:pt idx="5">
                  <c:v>49.954000000000001</c:v>
                </c:pt>
                <c:pt idx="6">
                  <c:v>59.072000000000003</c:v>
                </c:pt>
              </c:numCache>
            </c:numRef>
          </c:val>
          <c:extLst>
            <c:ext xmlns:c16="http://schemas.microsoft.com/office/drawing/2014/chart" uri="{C3380CC4-5D6E-409C-BE32-E72D297353CC}">
              <c16:uniqueId val="{00000001-637C-4BBB-B4C6-B802D37E2337}"/>
            </c:ext>
          </c:extLst>
        </c:ser>
        <c:ser>
          <c:idx val="2"/>
          <c:order val="2"/>
          <c:tx>
            <c:strRef>
              <c:f>'Aus Gov'!$D$49</c:f>
              <c:strCache>
                <c:ptCount val="1"/>
                <c:pt idx="0">
                  <c:v>2019-20</c:v>
                </c:pt>
              </c:strCache>
            </c:strRef>
          </c:tx>
          <c:spPr>
            <a:solidFill>
              <a:srgbClr val="513AC4"/>
            </a:solidFill>
            <a:ln>
              <a:solidFill>
                <a:srgbClr val="513AC4"/>
              </a:solidFill>
            </a:ln>
            <a:effectLst/>
          </c:spPr>
          <c:invertIfNegative val="0"/>
          <c:cat>
            <c:strRef>
              <c:f>'Aus Gov'!$A$50:$A$56</c:f>
              <c:strCache>
                <c:ptCount val="7"/>
                <c:pt idx="0">
                  <c:v>Literature &amp; writing</c:v>
                </c:pt>
                <c:pt idx="1">
                  <c:v>Music </c:v>
                </c:pt>
                <c:pt idx="2">
                  <c:v>Visual arts &amp; crafts</c:v>
                </c:pt>
                <c:pt idx="3">
                  <c:v>Radio &amp; television services</c:v>
                </c:pt>
                <c:pt idx="4">
                  <c:v>Film &amp; video production &amp; distribution</c:v>
                </c:pt>
                <c:pt idx="5">
                  <c:v>Arts education</c:v>
                </c:pt>
                <c:pt idx="6">
                  <c:v>Arts administration</c:v>
                </c:pt>
              </c:strCache>
            </c:strRef>
          </c:cat>
          <c:val>
            <c:numRef>
              <c:f>'Aus Gov'!$D$50:$D$56</c:f>
              <c:numCache>
                <c:formatCode>#,##0.0</c:formatCode>
                <c:ptCount val="7"/>
                <c:pt idx="0">
                  <c:v>38.241999999999997</c:v>
                </c:pt>
                <c:pt idx="1">
                  <c:v>78.605000000000004</c:v>
                </c:pt>
                <c:pt idx="2">
                  <c:v>42.853000000000002</c:v>
                </c:pt>
                <c:pt idx="3">
                  <c:v>1384.348</c:v>
                </c:pt>
                <c:pt idx="4">
                  <c:v>119.526</c:v>
                </c:pt>
                <c:pt idx="5">
                  <c:v>50.743000000000002</c:v>
                </c:pt>
                <c:pt idx="6">
                  <c:v>68.141999999999996</c:v>
                </c:pt>
              </c:numCache>
            </c:numRef>
          </c:val>
          <c:extLst>
            <c:ext xmlns:c16="http://schemas.microsoft.com/office/drawing/2014/chart" uri="{C3380CC4-5D6E-409C-BE32-E72D297353CC}">
              <c16:uniqueId val="{00000002-637C-4BBB-B4C6-B802D37E2337}"/>
            </c:ext>
          </c:extLst>
        </c:ser>
        <c:dLbls>
          <c:showLegendKey val="0"/>
          <c:showVal val="0"/>
          <c:showCatName val="0"/>
          <c:showSerName val="0"/>
          <c:showPercent val="0"/>
          <c:showBubbleSize val="0"/>
        </c:dLbls>
        <c:gapWidth val="100"/>
        <c:overlap val="-10"/>
        <c:axId val="232569472"/>
        <c:axId val="232571264"/>
      </c:barChart>
      <c:catAx>
        <c:axId val="232569472"/>
        <c:scaling>
          <c:orientation val="minMax"/>
        </c:scaling>
        <c:delete val="0"/>
        <c:axPos val="b"/>
        <c:numFmt formatCode="General" sourceLinked="1"/>
        <c:majorTickMark val="none"/>
        <c:minorTickMark val="none"/>
        <c:tickLblPos val="nextTo"/>
        <c:spPr>
          <a:noFill/>
          <a:ln w="9525" cap="flat" cmpd="sng" algn="ctr">
            <a:solidFill>
              <a:srgbClr val="646464"/>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232571264"/>
        <c:crosses val="autoZero"/>
        <c:auto val="1"/>
        <c:lblAlgn val="ctr"/>
        <c:lblOffset val="100"/>
        <c:noMultiLvlLbl val="0"/>
      </c:catAx>
      <c:valAx>
        <c:axId val="2325712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t" anchorCtr="0"/>
              <a:lstStyle/>
              <a:p>
                <a:pPr>
                  <a:defRPr sz="800" b="0" i="0" u="none" strike="noStrike" kern="1200" baseline="0">
                    <a:solidFill>
                      <a:schemeClr val="tx1"/>
                    </a:solidFill>
                    <a:latin typeface="+mn-lt"/>
                    <a:ea typeface="+mn-ea"/>
                    <a:cs typeface="+mn-cs"/>
                  </a:defRPr>
                </a:pPr>
                <a:r>
                  <a:rPr lang="en-AU"/>
                  <a:t>$m</a:t>
                </a:r>
              </a:p>
            </c:rich>
          </c:tx>
          <c:layout>
            <c:manualLayout>
              <c:xMode val="edge"/>
              <c:yMode val="edge"/>
              <c:x val="1.1915397301565945E-2"/>
              <c:y val="1.271981627296586E-2"/>
            </c:manualLayout>
          </c:layout>
          <c:overlay val="0"/>
          <c:spPr>
            <a:noFill/>
            <a:ln>
              <a:noFill/>
            </a:ln>
            <a:effectLst/>
          </c:spPr>
          <c:txPr>
            <a:bodyPr rot="0" spcFirstLastPara="1" vertOverflow="ellipsis" wrap="square" anchor="t" anchorCtr="0"/>
            <a:lstStyle/>
            <a:p>
              <a:pPr>
                <a:defRPr sz="800" b="0" i="0" u="none" strike="noStrike" kern="1200" baseline="0">
                  <a:solidFill>
                    <a:schemeClr val="tx1"/>
                  </a:solidFill>
                  <a:latin typeface="+mn-lt"/>
                  <a:ea typeface="+mn-ea"/>
                  <a:cs typeface="+mn-cs"/>
                </a:defRPr>
              </a:pPr>
              <a:endParaRPr lang="en-US"/>
            </a:p>
          </c:txPr>
        </c:title>
        <c:numFmt formatCode="#,##0" sourceLinked="0"/>
        <c:majorTickMark val="none"/>
        <c:minorTickMark val="none"/>
        <c:tickLblPos val="nextTo"/>
        <c:spPr>
          <a:noFill/>
          <a:ln>
            <a:solidFill>
              <a:srgbClr val="646464"/>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232569472"/>
        <c:crosses val="autoZero"/>
        <c:crossBetween val="between"/>
        <c:majorUnit val="200"/>
      </c:valAx>
      <c:spPr>
        <a:noFill/>
        <a:ln>
          <a:noFill/>
        </a:ln>
        <a:effectLst/>
      </c:spPr>
    </c:plotArea>
    <c:legend>
      <c:legendPos val="tr"/>
      <c:layout>
        <c:manualLayout>
          <c:xMode val="edge"/>
          <c:yMode val="edge"/>
          <c:x val="0.82819474646925362"/>
          <c:y val="0.14015570838455318"/>
          <c:w val="0.12200242916603407"/>
          <c:h val="0.22635427584608275"/>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7700283625775188"/>
          <c:y val="6.0552791911841354E-2"/>
          <c:w val="0.58433436725164767"/>
          <c:h val="0.78169154855643053"/>
        </c:manualLayout>
      </c:layout>
      <c:barChart>
        <c:barDir val="bar"/>
        <c:grouping val="clustered"/>
        <c:varyColors val="0"/>
        <c:ser>
          <c:idx val="0"/>
          <c:order val="0"/>
          <c:tx>
            <c:strRef>
              <c:f>'Aus Gov'!$B$61</c:f>
              <c:strCache>
                <c:ptCount val="1"/>
                <c:pt idx="0">
                  <c:v>2019-20</c:v>
                </c:pt>
              </c:strCache>
            </c:strRef>
          </c:tx>
          <c:spPr>
            <a:solidFill>
              <a:srgbClr val="513AC4"/>
            </a:solidFill>
            <a:ln>
              <a:solidFill>
                <a:srgbClr val="513AC4"/>
              </a:solidFill>
            </a:ln>
            <a:effectLst/>
          </c:spPr>
          <c:invertIfNegative val="0"/>
          <c:cat>
            <c:strRef>
              <c:f>'Aus Gov'!$A$62:$A$70</c:f>
              <c:strCache>
                <c:ptCount val="9"/>
                <c:pt idx="0">
                  <c:v>Arts administration</c:v>
                </c:pt>
                <c:pt idx="1">
                  <c:v>Arts education</c:v>
                </c:pt>
                <c:pt idx="2">
                  <c:v>Film &amp; video production &amp; distribution</c:v>
                </c:pt>
                <c:pt idx="3">
                  <c:v>Radio &amp; television services</c:v>
                </c:pt>
                <c:pt idx="4">
                  <c:v>Music </c:v>
                </c:pt>
                <c:pt idx="5">
                  <c:v>Archives</c:v>
                </c:pt>
                <c:pt idx="6">
                  <c:v>Libraries</c:v>
                </c:pt>
                <c:pt idx="7">
                  <c:v>Other museums &amp; cultural heritage</c:v>
                </c:pt>
                <c:pt idx="8">
                  <c:v>Art museums</c:v>
                </c:pt>
              </c:strCache>
            </c:strRef>
          </c:cat>
          <c:val>
            <c:numRef>
              <c:f>'Aus Gov'!$B$62:$B$70</c:f>
              <c:numCache>
                <c:formatCode>0.0</c:formatCode>
                <c:ptCount val="9"/>
                <c:pt idx="0" formatCode="#,##0.0">
                  <c:v>67.760999999999996</c:v>
                </c:pt>
                <c:pt idx="1">
                  <c:v>49.003999999999998</c:v>
                </c:pt>
                <c:pt idx="2" formatCode="#,##0.0">
                  <c:v>119.43300000000001</c:v>
                </c:pt>
                <c:pt idx="3">
                  <c:v>1315.7950000000001</c:v>
                </c:pt>
                <c:pt idx="4">
                  <c:v>77.885999999999996</c:v>
                </c:pt>
                <c:pt idx="5">
                  <c:v>182.84</c:v>
                </c:pt>
                <c:pt idx="6">
                  <c:v>81.135999999999996</c:v>
                </c:pt>
                <c:pt idx="7">
                  <c:v>328.29899999999998</c:v>
                </c:pt>
                <c:pt idx="8">
                  <c:v>62.427</c:v>
                </c:pt>
              </c:numCache>
            </c:numRef>
          </c:val>
          <c:extLst>
            <c:ext xmlns:c16="http://schemas.microsoft.com/office/drawing/2014/chart" uri="{C3380CC4-5D6E-409C-BE32-E72D297353CC}">
              <c16:uniqueId val="{00000000-4EF5-489A-ABC9-FE456A546C67}"/>
            </c:ext>
          </c:extLst>
        </c:ser>
        <c:ser>
          <c:idx val="1"/>
          <c:order val="1"/>
          <c:tx>
            <c:strRef>
              <c:f>'Aus Gov'!$C$61</c:f>
              <c:strCache>
                <c:ptCount val="1"/>
                <c:pt idx="0">
                  <c:v>2017-18</c:v>
                </c:pt>
              </c:strCache>
            </c:strRef>
          </c:tx>
          <c:spPr>
            <a:solidFill>
              <a:srgbClr val="0F293A"/>
            </a:solidFill>
            <a:ln>
              <a:solidFill>
                <a:srgbClr val="0F293A"/>
              </a:solidFill>
            </a:ln>
            <a:effectLst/>
          </c:spPr>
          <c:invertIfNegative val="0"/>
          <c:cat>
            <c:strRef>
              <c:f>'Aus Gov'!$A$62:$A$70</c:f>
              <c:strCache>
                <c:ptCount val="9"/>
                <c:pt idx="0">
                  <c:v>Arts administration</c:v>
                </c:pt>
                <c:pt idx="1">
                  <c:v>Arts education</c:v>
                </c:pt>
                <c:pt idx="2">
                  <c:v>Film &amp; video production &amp; distribution</c:v>
                </c:pt>
                <c:pt idx="3">
                  <c:v>Radio &amp; television services</c:v>
                </c:pt>
                <c:pt idx="4">
                  <c:v>Music </c:v>
                </c:pt>
                <c:pt idx="5">
                  <c:v>Archives</c:v>
                </c:pt>
                <c:pt idx="6">
                  <c:v>Libraries</c:v>
                </c:pt>
                <c:pt idx="7">
                  <c:v>Other museums &amp; cultural heritage</c:v>
                </c:pt>
                <c:pt idx="8">
                  <c:v>Art museums</c:v>
                </c:pt>
              </c:strCache>
            </c:strRef>
          </c:cat>
          <c:val>
            <c:numRef>
              <c:f>'Aus Gov'!$C$62:$C$70</c:f>
              <c:numCache>
                <c:formatCode>0.0</c:formatCode>
                <c:ptCount val="9"/>
                <c:pt idx="0" formatCode="#,##0.0">
                  <c:v>59.072000000000003</c:v>
                </c:pt>
                <c:pt idx="1">
                  <c:v>48.317999999999998</c:v>
                </c:pt>
                <c:pt idx="2" formatCode="#,##0.0">
                  <c:v>110.92700000000001</c:v>
                </c:pt>
                <c:pt idx="3">
                  <c:v>1356.681</c:v>
                </c:pt>
                <c:pt idx="4">
                  <c:v>74.281999999999996</c:v>
                </c:pt>
                <c:pt idx="5">
                  <c:v>114.624</c:v>
                </c:pt>
                <c:pt idx="6">
                  <c:v>68.632000000000005</c:v>
                </c:pt>
                <c:pt idx="7">
                  <c:v>228.40199999999999</c:v>
                </c:pt>
                <c:pt idx="8">
                  <c:v>50.843000000000004</c:v>
                </c:pt>
              </c:numCache>
            </c:numRef>
          </c:val>
          <c:extLst>
            <c:ext xmlns:c16="http://schemas.microsoft.com/office/drawing/2014/chart" uri="{C3380CC4-5D6E-409C-BE32-E72D297353CC}">
              <c16:uniqueId val="{00000001-4EF5-489A-ABC9-FE456A546C67}"/>
            </c:ext>
          </c:extLst>
        </c:ser>
        <c:ser>
          <c:idx val="2"/>
          <c:order val="2"/>
          <c:tx>
            <c:strRef>
              <c:f>'Aus Gov'!$D$61</c:f>
              <c:strCache>
                <c:ptCount val="1"/>
                <c:pt idx="0">
                  <c:v>2016-17</c:v>
                </c:pt>
              </c:strCache>
            </c:strRef>
          </c:tx>
          <c:spPr>
            <a:solidFill>
              <a:srgbClr val="646464"/>
            </a:solidFill>
            <a:ln>
              <a:solidFill>
                <a:srgbClr val="646464"/>
              </a:solidFill>
            </a:ln>
            <a:effectLst/>
          </c:spPr>
          <c:invertIfNegative val="0"/>
          <c:cat>
            <c:strRef>
              <c:f>'Aus Gov'!$A$62:$A$70</c:f>
              <c:strCache>
                <c:ptCount val="9"/>
                <c:pt idx="0">
                  <c:v>Arts administration</c:v>
                </c:pt>
                <c:pt idx="1">
                  <c:v>Arts education</c:v>
                </c:pt>
                <c:pt idx="2">
                  <c:v>Film &amp; video production &amp; distribution</c:v>
                </c:pt>
                <c:pt idx="3">
                  <c:v>Radio &amp; television services</c:v>
                </c:pt>
                <c:pt idx="4">
                  <c:v>Music </c:v>
                </c:pt>
                <c:pt idx="5">
                  <c:v>Archives</c:v>
                </c:pt>
                <c:pt idx="6">
                  <c:v>Libraries</c:v>
                </c:pt>
                <c:pt idx="7">
                  <c:v>Other museums &amp; cultural heritage</c:v>
                </c:pt>
                <c:pt idx="8">
                  <c:v>Art museums</c:v>
                </c:pt>
              </c:strCache>
            </c:strRef>
          </c:cat>
          <c:val>
            <c:numRef>
              <c:f>'Aus Gov'!$D$62:$D$70</c:f>
              <c:numCache>
                <c:formatCode>0.0</c:formatCode>
                <c:ptCount val="9"/>
                <c:pt idx="0" formatCode="#,##0.0">
                  <c:v>58.341000000000001</c:v>
                </c:pt>
                <c:pt idx="1">
                  <c:v>46.720999999999997</c:v>
                </c:pt>
                <c:pt idx="2" formatCode="#,##0.0">
                  <c:v>126.746</c:v>
                </c:pt>
                <c:pt idx="3">
                  <c:v>1277.8979999999999</c:v>
                </c:pt>
                <c:pt idx="4">
                  <c:v>73.542000000000002</c:v>
                </c:pt>
                <c:pt idx="5">
                  <c:v>118.416</c:v>
                </c:pt>
                <c:pt idx="6">
                  <c:v>66.795000000000002</c:v>
                </c:pt>
                <c:pt idx="7">
                  <c:v>175.64500000000001</c:v>
                </c:pt>
                <c:pt idx="8">
                  <c:v>47.247999999999998</c:v>
                </c:pt>
              </c:numCache>
            </c:numRef>
          </c:val>
          <c:extLst>
            <c:ext xmlns:c16="http://schemas.microsoft.com/office/drawing/2014/chart" uri="{C3380CC4-5D6E-409C-BE32-E72D297353CC}">
              <c16:uniqueId val="{00000002-4EF5-489A-ABC9-FE456A546C67}"/>
            </c:ext>
          </c:extLst>
        </c:ser>
        <c:dLbls>
          <c:showLegendKey val="0"/>
          <c:showVal val="0"/>
          <c:showCatName val="0"/>
          <c:showSerName val="0"/>
          <c:showPercent val="0"/>
          <c:showBubbleSize val="0"/>
        </c:dLbls>
        <c:gapWidth val="182"/>
        <c:axId val="232960000"/>
        <c:axId val="232961536"/>
      </c:barChart>
      <c:catAx>
        <c:axId val="232960000"/>
        <c:scaling>
          <c:orientation val="minMax"/>
        </c:scaling>
        <c:delete val="0"/>
        <c:axPos val="l"/>
        <c:numFmt formatCode="General" sourceLinked="1"/>
        <c:majorTickMark val="none"/>
        <c:minorTickMark val="none"/>
        <c:tickLblPos val="nextTo"/>
        <c:spPr>
          <a:noFill/>
          <a:ln w="9525" cap="flat" cmpd="sng" algn="ctr">
            <a:solidFill>
              <a:srgbClr val="646464"/>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232961536"/>
        <c:crosses val="autoZero"/>
        <c:auto val="1"/>
        <c:lblAlgn val="ctr"/>
        <c:lblOffset val="100"/>
        <c:noMultiLvlLbl val="0"/>
      </c:catAx>
      <c:valAx>
        <c:axId val="232961536"/>
        <c:scaling>
          <c:orientation val="minMax"/>
          <c:max val="14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r>
                  <a:rPr lang="en-AU" sz="800">
                    <a:latin typeface="+mn-lt"/>
                  </a:rPr>
                  <a:t>$m</a:t>
                </a:r>
              </a:p>
            </c:rich>
          </c:tx>
          <c:layout>
            <c:manualLayout>
              <c:xMode val="edge"/>
              <c:yMode val="edge"/>
              <c:x val="0.61048148797914026"/>
              <c:y val="0.9385557671717028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title>
        <c:numFmt formatCode="#,##0" sourceLinked="0"/>
        <c:majorTickMark val="none"/>
        <c:minorTickMark val="none"/>
        <c:tickLblPos val="nextTo"/>
        <c:spPr>
          <a:noFill/>
          <a:ln>
            <a:solidFill>
              <a:srgbClr val="646464"/>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232960000"/>
        <c:crosses val="autoZero"/>
        <c:crossBetween val="between"/>
      </c:valAx>
      <c:spPr>
        <a:noFill/>
        <a:ln>
          <a:noFill/>
        </a:ln>
        <a:effectLst/>
      </c:spPr>
    </c:plotArea>
    <c:legend>
      <c:legendPos val="r"/>
      <c:layout>
        <c:manualLayout>
          <c:xMode val="edge"/>
          <c:yMode val="edge"/>
          <c:x val="0.78630142302607564"/>
          <c:y val="0.11366564716600508"/>
          <c:w val="0.10557127690485461"/>
          <c:h val="0.19990207920934655"/>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6221137195334746"/>
          <c:y val="7.7450633356145174E-2"/>
          <c:w val="0.59505998854406594"/>
          <c:h val="0.72504625876504214"/>
        </c:manualLayout>
      </c:layout>
      <c:barChart>
        <c:barDir val="bar"/>
        <c:grouping val="clustered"/>
        <c:varyColors val="0"/>
        <c:ser>
          <c:idx val="0"/>
          <c:order val="0"/>
          <c:tx>
            <c:strRef>
              <c:f>'Aus Gov'!$B$74</c:f>
              <c:strCache>
                <c:ptCount val="1"/>
                <c:pt idx="0">
                  <c:v>2019-20</c:v>
                </c:pt>
              </c:strCache>
            </c:strRef>
          </c:tx>
          <c:spPr>
            <a:solidFill>
              <a:srgbClr val="513AC4"/>
            </a:solidFill>
            <a:ln>
              <a:noFill/>
            </a:ln>
            <a:effectLst/>
          </c:spPr>
          <c:invertIfNegative val="0"/>
          <c:cat>
            <c:strRef>
              <c:f>'Aus Gov'!$A$75:$A$80</c:f>
              <c:strCache>
                <c:ptCount val="6"/>
                <c:pt idx="0">
                  <c:v>Radio &amp; television services</c:v>
                </c:pt>
                <c:pt idx="1">
                  <c:v>Performing arts venues</c:v>
                </c:pt>
                <c:pt idx="2">
                  <c:v>Archives</c:v>
                </c:pt>
                <c:pt idx="3">
                  <c:v>Libraries</c:v>
                </c:pt>
                <c:pt idx="4">
                  <c:v>Other museums &amp; cultural heritage</c:v>
                </c:pt>
                <c:pt idx="5">
                  <c:v>Art museums</c:v>
                </c:pt>
              </c:strCache>
            </c:strRef>
          </c:cat>
          <c:val>
            <c:numRef>
              <c:f>'Aus Gov'!$B$75:$B$80</c:f>
              <c:numCache>
                <c:formatCode>0.0</c:formatCode>
                <c:ptCount val="6"/>
                <c:pt idx="0">
                  <c:v>68.552999999999997</c:v>
                </c:pt>
                <c:pt idx="1">
                  <c:v>6.65</c:v>
                </c:pt>
                <c:pt idx="2">
                  <c:v>9.1300000000000008</c:v>
                </c:pt>
                <c:pt idx="3">
                  <c:v>14.628</c:v>
                </c:pt>
                <c:pt idx="4">
                  <c:v>124.53</c:v>
                </c:pt>
                <c:pt idx="5">
                  <c:v>31.471</c:v>
                </c:pt>
              </c:numCache>
            </c:numRef>
          </c:val>
          <c:extLst>
            <c:ext xmlns:c16="http://schemas.microsoft.com/office/drawing/2014/chart" uri="{C3380CC4-5D6E-409C-BE32-E72D297353CC}">
              <c16:uniqueId val="{00000000-7476-4817-AE8F-32B65A3D5D86}"/>
            </c:ext>
          </c:extLst>
        </c:ser>
        <c:ser>
          <c:idx val="1"/>
          <c:order val="1"/>
          <c:tx>
            <c:strRef>
              <c:f>'Aus Gov'!$C$74</c:f>
              <c:strCache>
                <c:ptCount val="1"/>
                <c:pt idx="0">
                  <c:v>2017-18</c:v>
                </c:pt>
              </c:strCache>
            </c:strRef>
          </c:tx>
          <c:spPr>
            <a:solidFill>
              <a:schemeClr val="tx1"/>
            </a:solidFill>
            <a:ln>
              <a:noFill/>
            </a:ln>
            <a:effectLst/>
          </c:spPr>
          <c:invertIfNegative val="0"/>
          <c:cat>
            <c:strRef>
              <c:f>'Aus Gov'!$A$75:$A$80</c:f>
              <c:strCache>
                <c:ptCount val="6"/>
                <c:pt idx="0">
                  <c:v>Radio &amp; television services</c:v>
                </c:pt>
                <c:pt idx="1">
                  <c:v>Performing arts venues</c:v>
                </c:pt>
                <c:pt idx="2">
                  <c:v>Archives</c:v>
                </c:pt>
                <c:pt idx="3">
                  <c:v>Libraries</c:v>
                </c:pt>
                <c:pt idx="4">
                  <c:v>Other museums &amp; cultural heritage</c:v>
                </c:pt>
                <c:pt idx="5">
                  <c:v>Art museums</c:v>
                </c:pt>
              </c:strCache>
            </c:strRef>
          </c:cat>
          <c:val>
            <c:numRef>
              <c:f>'Aus Gov'!$C$75:$C$80</c:f>
              <c:numCache>
                <c:formatCode>0.0</c:formatCode>
                <c:ptCount val="6"/>
                <c:pt idx="0">
                  <c:v>61.786999999999999</c:v>
                </c:pt>
                <c:pt idx="1">
                  <c:v>27.222000000000001</c:v>
                </c:pt>
                <c:pt idx="2">
                  <c:v>7.5149999999999997</c:v>
                </c:pt>
                <c:pt idx="3">
                  <c:v>42.161000000000001</c:v>
                </c:pt>
                <c:pt idx="4">
                  <c:v>61.902000000000001</c:v>
                </c:pt>
                <c:pt idx="5">
                  <c:v>37.177999999999997</c:v>
                </c:pt>
              </c:numCache>
            </c:numRef>
          </c:val>
          <c:extLst>
            <c:ext xmlns:c16="http://schemas.microsoft.com/office/drawing/2014/chart" uri="{C3380CC4-5D6E-409C-BE32-E72D297353CC}">
              <c16:uniqueId val="{00000001-7476-4817-AE8F-32B65A3D5D86}"/>
            </c:ext>
          </c:extLst>
        </c:ser>
        <c:ser>
          <c:idx val="2"/>
          <c:order val="2"/>
          <c:tx>
            <c:strRef>
              <c:f>'Aus Gov'!$D$74</c:f>
              <c:strCache>
                <c:ptCount val="1"/>
                <c:pt idx="0">
                  <c:v>2016-17</c:v>
                </c:pt>
              </c:strCache>
            </c:strRef>
          </c:tx>
          <c:spPr>
            <a:solidFill>
              <a:srgbClr val="646464"/>
            </a:solidFill>
            <a:ln>
              <a:noFill/>
            </a:ln>
            <a:effectLst/>
          </c:spPr>
          <c:invertIfNegative val="0"/>
          <c:cat>
            <c:strRef>
              <c:f>'Aus Gov'!$A$75:$A$80</c:f>
              <c:strCache>
                <c:ptCount val="6"/>
                <c:pt idx="0">
                  <c:v>Radio &amp; television services</c:v>
                </c:pt>
                <c:pt idx="1">
                  <c:v>Performing arts venues</c:v>
                </c:pt>
                <c:pt idx="2">
                  <c:v>Archives</c:v>
                </c:pt>
                <c:pt idx="3">
                  <c:v>Libraries</c:v>
                </c:pt>
                <c:pt idx="4">
                  <c:v>Other museums &amp; cultural heritage</c:v>
                </c:pt>
                <c:pt idx="5">
                  <c:v>Art museums</c:v>
                </c:pt>
              </c:strCache>
            </c:strRef>
          </c:cat>
          <c:val>
            <c:numRef>
              <c:f>'Aus Gov'!$D$75:$D$80</c:f>
              <c:numCache>
                <c:formatCode>0.0</c:formatCode>
                <c:ptCount val="6"/>
                <c:pt idx="0">
                  <c:v>120.621</c:v>
                </c:pt>
                <c:pt idx="1">
                  <c:v>0</c:v>
                </c:pt>
                <c:pt idx="2">
                  <c:v>5.8579999999999997</c:v>
                </c:pt>
                <c:pt idx="3">
                  <c:v>11.07</c:v>
                </c:pt>
                <c:pt idx="4">
                  <c:v>30.143999999999998</c:v>
                </c:pt>
                <c:pt idx="5">
                  <c:v>18.395</c:v>
                </c:pt>
              </c:numCache>
            </c:numRef>
          </c:val>
          <c:extLst>
            <c:ext xmlns:c16="http://schemas.microsoft.com/office/drawing/2014/chart" uri="{C3380CC4-5D6E-409C-BE32-E72D297353CC}">
              <c16:uniqueId val="{00000002-7476-4817-AE8F-32B65A3D5D86}"/>
            </c:ext>
          </c:extLst>
        </c:ser>
        <c:dLbls>
          <c:showLegendKey val="0"/>
          <c:showVal val="0"/>
          <c:showCatName val="0"/>
          <c:showSerName val="0"/>
          <c:showPercent val="0"/>
          <c:showBubbleSize val="0"/>
        </c:dLbls>
        <c:gapWidth val="182"/>
        <c:axId val="801700792"/>
        <c:axId val="801703416"/>
      </c:barChart>
      <c:catAx>
        <c:axId val="801700792"/>
        <c:scaling>
          <c:orientation val="minMax"/>
        </c:scaling>
        <c:delete val="0"/>
        <c:axPos val="l"/>
        <c:numFmt formatCode="General" sourceLinked="1"/>
        <c:majorTickMark val="none"/>
        <c:minorTickMark val="none"/>
        <c:tickLblPos val="nextTo"/>
        <c:spPr>
          <a:noFill/>
          <a:ln w="9525" cap="flat" cmpd="sng" algn="ctr">
            <a:solidFill>
              <a:srgbClr val="646464"/>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801703416"/>
        <c:crosses val="autoZero"/>
        <c:auto val="1"/>
        <c:lblAlgn val="ctr"/>
        <c:lblOffset val="100"/>
        <c:noMultiLvlLbl val="0"/>
      </c:catAx>
      <c:valAx>
        <c:axId val="801703416"/>
        <c:scaling>
          <c:orientation val="minMax"/>
          <c:max val="140"/>
          <c:min val="0"/>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solidFill>
              <a:srgbClr val="646464"/>
            </a:solid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801700792"/>
        <c:crosses val="autoZero"/>
        <c:crossBetween val="between"/>
        <c:majorUnit val="20"/>
        <c:minorUnit val="4"/>
      </c:valAx>
      <c:spPr>
        <a:noFill/>
        <a:ln>
          <a:noFill/>
        </a:ln>
        <a:effectLst/>
      </c:spPr>
    </c:plotArea>
    <c:legend>
      <c:legendPos val="b"/>
      <c:layout>
        <c:manualLayout>
          <c:xMode val="edge"/>
          <c:yMode val="edge"/>
          <c:x val="0.65678387512700476"/>
          <c:y val="0.34797257274703602"/>
          <c:w val="0.12956422132210041"/>
          <c:h val="0.2521738051747076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0.60946</cdr:x>
      <cdr:y>0.90047</cdr:y>
    </cdr:from>
    <cdr:to>
      <cdr:x>0.68126</cdr:x>
      <cdr:y>0.98058</cdr:y>
    </cdr:to>
    <cdr:sp macro="" textlink="">
      <cdr:nvSpPr>
        <cdr:cNvPr id="2" name="TextBox 1"/>
        <cdr:cNvSpPr txBox="1"/>
      </cdr:nvSpPr>
      <cdr:spPr>
        <a:xfrm xmlns:a="http://schemas.openxmlformats.org/drawingml/2006/main">
          <a:off x="3314695" y="2650274"/>
          <a:ext cx="390525" cy="23580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800"/>
            <a:t>$m</a:t>
          </a:r>
        </a:p>
      </cdr:txBody>
    </cdr:sp>
  </cdr:relSizeAnchor>
</c:userShape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8DFF0E8D596C459BF6924D447E3E9E" ma:contentTypeVersion="0" ma:contentTypeDescription="Create a new document." ma:contentTypeScope="" ma:versionID="bb3dd3da83ee067048d483c7eaa6ef8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7B9E-5BD0-4F63-8F8D-1187124C6A1D}">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2.xml><?xml version="1.0" encoding="utf-8"?>
<ds:datastoreItem xmlns:ds="http://schemas.openxmlformats.org/officeDocument/2006/customXml" ds:itemID="{6341CC56-E6C3-4D29-BCD7-A348BAABA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4.xml><?xml version="1.0" encoding="utf-8"?>
<ds:datastoreItem xmlns:ds="http://schemas.openxmlformats.org/officeDocument/2006/customXml" ds:itemID="{D70C303B-F28D-4E91-9173-22B3A86E8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3</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Cultural Funding by Government — 2017–18 — Australian Government</vt:lpstr>
    </vt:vector>
  </TitlesOfParts>
  <Company>Department of Communications and the Arts</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Cultural Funding by Government — 2017–18 — Australian Government</dc:title>
  <dc:subject/>
  <dc:creator>Department of Communications and the Arts</dc:creator>
  <cp:keywords/>
  <dc:description>22 November 2018</dc:description>
  <cp:lastModifiedBy>Tammie Butterick</cp:lastModifiedBy>
  <cp:revision>36</cp:revision>
  <cp:lastPrinted>2021-06-28T06:39:00Z</cp:lastPrinted>
  <dcterms:created xsi:type="dcterms:W3CDTF">2021-06-29T07:07:00Z</dcterms:created>
  <dcterms:modified xsi:type="dcterms:W3CDTF">2021-07-25T00:45:00Z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0x010100878DFF0E8D596C459BF6924D447E3E9E</vt:lpwstr>
  </property>
  <property fmtid="{D5CDD505-2E9C-101B-9397-08002B2CF9AE}" pid="3" name="TrimRevisionNumber">
    <vt:i4>15</vt:i4>
  </property>
  <property fmtid="{D5CDD505-2E9C-101B-9397-08002B2CF9AE}" pid="4" name="MSIP_Label_c8e5a7ee-c283-40b0-98eb-fa437df4c031_Enabled">
    <vt:lpwstr>true</vt:lpwstr>
  </property>
  <property fmtid="{D5CDD505-2E9C-101B-9397-08002B2CF9AE}" pid="5" name="MSIP_Label_c8e5a7ee-c283-40b0-98eb-fa437df4c031_SetDate">
    <vt:lpwstr>2021-06-28T06:20:59Z</vt:lpwstr>
  </property>
  <property fmtid="{D5CDD505-2E9C-101B-9397-08002B2CF9AE}" pid="6" name="MSIP_Label_c8e5a7ee-c283-40b0-98eb-fa437df4c031_Method">
    <vt:lpwstr>Privileged</vt:lpwstr>
  </property>
  <property fmtid="{D5CDD505-2E9C-101B-9397-08002B2CF9AE}" pid="7" name="MSIP_Label_c8e5a7ee-c283-40b0-98eb-fa437df4c031_Name">
    <vt:lpwstr>OFFICIAL</vt:lpwstr>
  </property>
  <property fmtid="{D5CDD505-2E9C-101B-9397-08002B2CF9AE}" pid="8" name="MSIP_Label_c8e5a7ee-c283-40b0-98eb-fa437df4c031_SiteId">
    <vt:lpwstr>34cdb737-c4fa-4c21-9a34-88ac2d721f88</vt:lpwstr>
  </property>
  <property fmtid="{D5CDD505-2E9C-101B-9397-08002B2CF9AE}" pid="9" name="MSIP_Label_c8e5a7ee-c283-40b0-98eb-fa437df4c031_ActionId">
    <vt:lpwstr>cae6b19f-bad7-466c-b140-1ccf3e688371</vt:lpwstr>
  </property>
  <property fmtid="{D5CDD505-2E9C-101B-9397-08002B2CF9AE}" pid="10" name="MSIP_Label_c8e5a7ee-c283-40b0-98eb-fa437df4c031_ContentBits">
    <vt:lpwstr>0</vt:lpwstr>
  </property>
</Properties>
</file>