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8EFC5" w14:textId="77777777" w:rsidR="0094124E" w:rsidRDefault="00CA4FC9" w:rsidP="00CA4FC9">
      <w:pPr>
        <w:jc w:val="center"/>
        <w:sectPr w:rsidR="0094124E" w:rsidSect="00CA4FC9">
          <w:footerReference w:type="default" r:id="rId11"/>
          <w:type w:val="continuous"/>
          <w:pgSz w:w="11906" w:h="16838"/>
          <w:pgMar w:top="1418" w:right="1440" w:bottom="1440" w:left="1440" w:header="0" w:footer="346" w:gutter="0"/>
          <w:cols w:space="708"/>
          <w:titlePg/>
          <w:docGrid w:linePitch="360"/>
        </w:sectPr>
      </w:pPr>
      <w:r w:rsidRPr="00135516">
        <w:rPr>
          <w:noProof/>
          <w:lang w:eastAsia="en-AU"/>
        </w:rPr>
        <w:drawing>
          <wp:inline distT="0" distB="0" distL="0" distR="0" wp14:anchorId="6609AE4B" wp14:editId="1C706CDB">
            <wp:extent cx="2466975" cy="1371600"/>
            <wp:effectExtent l="0" t="0" r="9525" b="0"/>
            <wp:docPr id="1" name="Picture 1" descr="Logo: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1B25D52B" w14:textId="45BC99F5" w:rsidR="001D0F1A" w:rsidRPr="00786B07" w:rsidRDefault="001D0F1A" w:rsidP="001D0F1A">
      <w:pPr>
        <w:pStyle w:val="Heading1"/>
      </w:pPr>
      <w:r w:rsidRPr="00786B07">
        <w:t>Australian Government response to the House</w:t>
      </w:r>
      <w:r>
        <w:t> </w:t>
      </w:r>
      <w:r w:rsidRPr="00786B07">
        <w:t>of</w:t>
      </w:r>
      <w:r>
        <w:t> </w:t>
      </w:r>
      <w:r w:rsidRPr="00786B07">
        <w:t>Representat</w:t>
      </w:r>
      <w:bookmarkStart w:id="0" w:name="_GoBack"/>
      <w:bookmarkEnd w:id="0"/>
      <w:r w:rsidRPr="00786B07">
        <w:t>ives Standing Committee on</w:t>
      </w:r>
      <w:r>
        <w:t> </w:t>
      </w:r>
      <w:r w:rsidRPr="00786B07">
        <w:t>Indigenous Affairs</w:t>
      </w:r>
    </w:p>
    <w:p w14:paraId="156F9C5A" w14:textId="5FC67D87" w:rsidR="001D0F1A" w:rsidRPr="00786B07" w:rsidRDefault="001D0F1A" w:rsidP="001D0F1A">
      <w:pPr>
        <w:pStyle w:val="reporttitle"/>
      </w:pPr>
      <w:r w:rsidRPr="00786B07">
        <w:t>Report on the impact of inauthentic art and craft in the style of First Nations peoples</w:t>
      </w:r>
    </w:p>
    <w:p w14:paraId="3190AF6F" w14:textId="5B5BA477" w:rsidR="00CA4FC9" w:rsidRPr="00CA4FC9" w:rsidRDefault="001D0F1A" w:rsidP="00F85D1B">
      <w:pPr>
        <w:pStyle w:val="monthyearoncover"/>
      </w:pPr>
      <w:r>
        <w:t>March 2020</w:t>
      </w:r>
    </w:p>
    <w:p w14:paraId="16A708B9" w14:textId="77777777" w:rsidR="00400E77" w:rsidRDefault="00400E77" w:rsidP="00625397">
      <w:pPr>
        <w:rPr>
          <w:lang w:eastAsia="en-US"/>
        </w:rPr>
      </w:pPr>
      <w:r>
        <w:rPr>
          <w:lang w:eastAsia="en-US"/>
        </w:rPr>
        <w:br w:type="page"/>
      </w:r>
    </w:p>
    <w:p w14:paraId="21065B0E" w14:textId="4E426454" w:rsidR="008555D4" w:rsidRDefault="00CA4FC9" w:rsidP="00CA4FC9">
      <w:pPr>
        <w:jc w:val="center"/>
      </w:pPr>
      <w:r>
        <w:lastRenderedPageBreak/>
        <w:t xml:space="preserve">[This page is intentionally </w:t>
      </w:r>
      <w:r w:rsidR="00677B3F">
        <w:t xml:space="preserve">left </w:t>
      </w:r>
      <w:r>
        <w:t>blank.]</w:t>
      </w:r>
    </w:p>
    <w:p w14:paraId="0BDFE442" w14:textId="77777777" w:rsidR="00597F9B" w:rsidRDefault="00597F9B" w:rsidP="00625397">
      <w:pPr>
        <w:spacing w:after="120"/>
        <w:rPr>
          <w:lang w:eastAsia="en-US"/>
        </w:rPr>
      </w:pPr>
      <w:r>
        <w:rPr>
          <w:lang w:eastAsia="en-US"/>
        </w:rPr>
        <w:br w:type="page"/>
      </w:r>
    </w:p>
    <w:p w14:paraId="274465FC" w14:textId="77777777" w:rsidR="00400E77" w:rsidRDefault="00597F9B" w:rsidP="00597F9B">
      <w:pPr>
        <w:pStyle w:val="Heading2-notshowing"/>
      </w:pPr>
      <w:r>
        <w:lastRenderedPageBreak/>
        <w:t>Contents</w:t>
      </w:r>
    </w:p>
    <w:p w14:paraId="71854CE0" w14:textId="5F724CE2" w:rsidR="00C33797" w:rsidRDefault="00597F9B">
      <w:pPr>
        <w:pStyle w:val="TOC1"/>
        <w:rPr>
          <w:rFonts w:asciiTheme="minorHAnsi" w:hAnsiTheme="minorHAnsi"/>
          <w:b w:val="0"/>
          <w:noProof/>
          <w:sz w:val="22"/>
          <w:lang w:eastAsia="en-AU"/>
        </w:rPr>
      </w:pPr>
      <w:r>
        <w:rPr>
          <w:color w:val="0F293A"/>
          <w:lang w:eastAsia="en-US"/>
        </w:rPr>
        <w:fldChar w:fldCharType="begin"/>
      </w:r>
      <w:r>
        <w:rPr>
          <w:lang w:eastAsia="en-US"/>
        </w:rPr>
        <w:instrText xml:space="preserve"> TOC \h \z \t "Heading 2,1,Heading 3,2,Heading 4,3" </w:instrText>
      </w:r>
      <w:r>
        <w:rPr>
          <w:color w:val="0F293A"/>
          <w:lang w:eastAsia="en-US"/>
        </w:rPr>
        <w:fldChar w:fldCharType="separate"/>
      </w:r>
      <w:hyperlink w:anchor="_Toc34126549" w:history="1">
        <w:r w:rsidR="00C33797" w:rsidRPr="004B37E8">
          <w:rPr>
            <w:rStyle w:val="Hyperlink"/>
            <w:noProof/>
          </w:rPr>
          <w:t>Overview</w:t>
        </w:r>
        <w:r w:rsidR="00C33797">
          <w:rPr>
            <w:noProof/>
            <w:webHidden/>
          </w:rPr>
          <w:tab/>
        </w:r>
        <w:r w:rsidR="00C33797">
          <w:rPr>
            <w:noProof/>
            <w:webHidden/>
          </w:rPr>
          <w:fldChar w:fldCharType="begin"/>
        </w:r>
        <w:r w:rsidR="00C33797">
          <w:rPr>
            <w:noProof/>
            <w:webHidden/>
          </w:rPr>
          <w:instrText xml:space="preserve"> PAGEREF _Toc34126549 \h </w:instrText>
        </w:r>
        <w:r w:rsidR="00C33797">
          <w:rPr>
            <w:noProof/>
            <w:webHidden/>
          </w:rPr>
        </w:r>
        <w:r w:rsidR="00C33797">
          <w:rPr>
            <w:noProof/>
            <w:webHidden/>
          </w:rPr>
          <w:fldChar w:fldCharType="separate"/>
        </w:r>
        <w:r w:rsidR="00C33797">
          <w:rPr>
            <w:noProof/>
            <w:webHidden/>
          </w:rPr>
          <w:t>1</w:t>
        </w:r>
        <w:r w:rsidR="00C33797">
          <w:rPr>
            <w:noProof/>
            <w:webHidden/>
          </w:rPr>
          <w:fldChar w:fldCharType="end"/>
        </w:r>
      </w:hyperlink>
    </w:p>
    <w:p w14:paraId="21E3309D" w14:textId="021A47DF" w:rsidR="00C33797" w:rsidRDefault="00C33797">
      <w:pPr>
        <w:pStyle w:val="TOC1"/>
        <w:rPr>
          <w:rFonts w:asciiTheme="minorHAnsi" w:hAnsiTheme="minorHAnsi"/>
          <w:b w:val="0"/>
          <w:noProof/>
          <w:sz w:val="22"/>
          <w:lang w:eastAsia="en-AU"/>
        </w:rPr>
      </w:pPr>
      <w:hyperlink w:anchor="_Toc34126550" w:history="1">
        <w:r w:rsidRPr="004B37E8">
          <w:rPr>
            <w:rStyle w:val="Hyperlink"/>
            <w:noProof/>
          </w:rPr>
          <w:t>Australian Government response</w:t>
        </w:r>
        <w:r>
          <w:rPr>
            <w:noProof/>
            <w:webHidden/>
          </w:rPr>
          <w:tab/>
        </w:r>
        <w:r>
          <w:rPr>
            <w:noProof/>
            <w:webHidden/>
          </w:rPr>
          <w:fldChar w:fldCharType="begin"/>
        </w:r>
        <w:r>
          <w:rPr>
            <w:noProof/>
            <w:webHidden/>
          </w:rPr>
          <w:instrText xml:space="preserve"> PAGEREF _Toc34126550 \h </w:instrText>
        </w:r>
        <w:r>
          <w:rPr>
            <w:noProof/>
            <w:webHidden/>
          </w:rPr>
        </w:r>
        <w:r>
          <w:rPr>
            <w:noProof/>
            <w:webHidden/>
          </w:rPr>
          <w:fldChar w:fldCharType="separate"/>
        </w:r>
        <w:r>
          <w:rPr>
            <w:noProof/>
            <w:webHidden/>
          </w:rPr>
          <w:t>2</w:t>
        </w:r>
        <w:r>
          <w:rPr>
            <w:noProof/>
            <w:webHidden/>
          </w:rPr>
          <w:fldChar w:fldCharType="end"/>
        </w:r>
      </w:hyperlink>
    </w:p>
    <w:p w14:paraId="23CCC33D" w14:textId="76FC4E2D" w:rsidR="00C33797" w:rsidRDefault="00C33797">
      <w:pPr>
        <w:pStyle w:val="TOC2"/>
        <w:rPr>
          <w:rFonts w:asciiTheme="minorHAnsi" w:hAnsiTheme="minorHAnsi"/>
          <w:noProof/>
          <w:sz w:val="22"/>
          <w:lang w:eastAsia="en-AU"/>
        </w:rPr>
      </w:pPr>
      <w:hyperlink w:anchor="_Toc34126551" w:history="1">
        <w:r w:rsidRPr="004B37E8">
          <w:rPr>
            <w:rStyle w:val="Hyperlink"/>
            <w:noProof/>
          </w:rPr>
          <w:t>Recommendation 1:</w:t>
        </w:r>
        <w:r>
          <w:rPr>
            <w:noProof/>
            <w:webHidden/>
          </w:rPr>
          <w:tab/>
        </w:r>
        <w:r>
          <w:rPr>
            <w:noProof/>
            <w:webHidden/>
          </w:rPr>
          <w:fldChar w:fldCharType="begin"/>
        </w:r>
        <w:r>
          <w:rPr>
            <w:noProof/>
            <w:webHidden/>
          </w:rPr>
          <w:instrText xml:space="preserve"> PAGEREF _Toc34126551 \h </w:instrText>
        </w:r>
        <w:r>
          <w:rPr>
            <w:noProof/>
            <w:webHidden/>
          </w:rPr>
        </w:r>
        <w:r>
          <w:rPr>
            <w:noProof/>
            <w:webHidden/>
          </w:rPr>
          <w:fldChar w:fldCharType="separate"/>
        </w:r>
        <w:r>
          <w:rPr>
            <w:noProof/>
            <w:webHidden/>
          </w:rPr>
          <w:t>2</w:t>
        </w:r>
        <w:r>
          <w:rPr>
            <w:noProof/>
            <w:webHidden/>
          </w:rPr>
          <w:fldChar w:fldCharType="end"/>
        </w:r>
      </w:hyperlink>
    </w:p>
    <w:p w14:paraId="016ACA97" w14:textId="6EB76A9D" w:rsidR="00C33797" w:rsidRDefault="00C33797">
      <w:pPr>
        <w:pStyle w:val="TOC2"/>
        <w:rPr>
          <w:rFonts w:asciiTheme="minorHAnsi" w:hAnsiTheme="minorHAnsi"/>
          <w:noProof/>
          <w:sz w:val="22"/>
          <w:lang w:eastAsia="en-AU"/>
        </w:rPr>
      </w:pPr>
      <w:hyperlink w:anchor="_Toc34126552" w:history="1">
        <w:r w:rsidRPr="004B37E8">
          <w:rPr>
            <w:rStyle w:val="Hyperlink"/>
            <w:noProof/>
          </w:rPr>
          <w:t>Recommendation 2:</w:t>
        </w:r>
        <w:r>
          <w:rPr>
            <w:noProof/>
            <w:webHidden/>
          </w:rPr>
          <w:tab/>
        </w:r>
        <w:r>
          <w:rPr>
            <w:noProof/>
            <w:webHidden/>
          </w:rPr>
          <w:fldChar w:fldCharType="begin"/>
        </w:r>
        <w:r>
          <w:rPr>
            <w:noProof/>
            <w:webHidden/>
          </w:rPr>
          <w:instrText xml:space="preserve"> PAGEREF _Toc34126552 \h </w:instrText>
        </w:r>
        <w:r>
          <w:rPr>
            <w:noProof/>
            <w:webHidden/>
          </w:rPr>
        </w:r>
        <w:r>
          <w:rPr>
            <w:noProof/>
            <w:webHidden/>
          </w:rPr>
          <w:fldChar w:fldCharType="separate"/>
        </w:r>
        <w:r>
          <w:rPr>
            <w:noProof/>
            <w:webHidden/>
          </w:rPr>
          <w:t>3</w:t>
        </w:r>
        <w:r>
          <w:rPr>
            <w:noProof/>
            <w:webHidden/>
          </w:rPr>
          <w:fldChar w:fldCharType="end"/>
        </w:r>
      </w:hyperlink>
    </w:p>
    <w:p w14:paraId="78EAA4A5" w14:textId="0772980B" w:rsidR="00C33797" w:rsidRDefault="00C33797">
      <w:pPr>
        <w:pStyle w:val="TOC2"/>
        <w:rPr>
          <w:rFonts w:asciiTheme="minorHAnsi" w:hAnsiTheme="minorHAnsi"/>
          <w:noProof/>
          <w:sz w:val="22"/>
          <w:lang w:eastAsia="en-AU"/>
        </w:rPr>
      </w:pPr>
      <w:hyperlink w:anchor="_Toc34126553" w:history="1">
        <w:r w:rsidRPr="004B37E8">
          <w:rPr>
            <w:rStyle w:val="Hyperlink"/>
            <w:noProof/>
          </w:rPr>
          <w:t>Recommendation 3:</w:t>
        </w:r>
        <w:r>
          <w:rPr>
            <w:noProof/>
            <w:webHidden/>
          </w:rPr>
          <w:tab/>
        </w:r>
        <w:r>
          <w:rPr>
            <w:noProof/>
            <w:webHidden/>
          </w:rPr>
          <w:fldChar w:fldCharType="begin"/>
        </w:r>
        <w:r>
          <w:rPr>
            <w:noProof/>
            <w:webHidden/>
          </w:rPr>
          <w:instrText xml:space="preserve"> PAGEREF _Toc34126553 \h </w:instrText>
        </w:r>
        <w:r>
          <w:rPr>
            <w:noProof/>
            <w:webHidden/>
          </w:rPr>
        </w:r>
        <w:r>
          <w:rPr>
            <w:noProof/>
            <w:webHidden/>
          </w:rPr>
          <w:fldChar w:fldCharType="separate"/>
        </w:r>
        <w:r>
          <w:rPr>
            <w:noProof/>
            <w:webHidden/>
          </w:rPr>
          <w:t>4</w:t>
        </w:r>
        <w:r>
          <w:rPr>
            <w:noProof/>
            <w:webHidden/>
          </w:rPr>
          <w:fldChar w:fldCharType="end"/>
        </w:r>
      </w:hyperlink>
    </w:p>
    <w:p w14:paraId="5CBB4B12" w14:textId="24C03AA3" w:rsidR="00C33797" w:rsidRDefault="00C33797">
      <w:pPr>
        <w:pStyle w:val="TOC2"/>
        <w:rPr>
          <w:rFonts w:asciiTheme="minorHAnsi" w:hAnsiTheme="minorHAnsi"/>
          <w:noProof/>
          <w:sz w:val="22"/>
          <w:lang w:eastAsia="en-AU"/>
        </w:rPr>
      </w:pPr>
      <w:hyperlink w:anchor="_Toc34126554" w:history="1">
        <w:r w:rsidRPr="004B37E8">
          <w:rPr>
            <w:rStyle w:val="Hyperlink"/>
            <w:noProof/>
          </w:rPr>
          <w:t>Recommendation 4:</w:t>
        </w:r>
        <w:r>
          <w:rPr>
            <w:noProof/>
            <w:webHidden/>
          </w:rPr>
          <w:tab/>
        </w:r>
        <w:r>
          <w:rPr>
            <w:noProof/>
            <w:webHidden/>
          </w:rPr>
          <w:fldChar w:fldCharType="begin"/>
        </w:r>
        <w:r>
          <w:rPr>
            <w:noProof/>
            <w:webHidden/>
          </w:rPr>
          <w:instrText xml:space="preserve"> PAGEREF _Toc34126554 \h </w:instrText>
        </w:r>
        <w:r>
          <w:rPr>
            <w:noProof/>
            <w:webHidden/>
          </w:rPr>
        </w:r>
        <w:r>
          <w:rPr>
            <w:noProof/>
            <w:webHidden/>
          </w:rPr>
          <w:fldChar w:fldCharType="separate"/>
        </w:r>
        <w:r>
          <w:rPr>
            <w:noProof/>
            <w:webHidden/>
          </w:rPr>
          <w:t>5</w:t>
        </w:r>
        <w:r>
          <w:rPr>
            <w:noProof/>
            <w:webHidden/>
          </w:rPr>
          <w:fldChar w:fldCharType="end"/>
        </w:r>
      </w:hyperlink>
    </w:p>
    <w:p w14:paraId="183BE3F5" w14:textId="6AE8435E" w:rsidR="00C33797" w:rsidRDefault="00C33797">
      <w:pPr>
        <w:pStyle w:val="TOC2"/>
        <w:rPr>
          <w:rFonts w:asciiTheme="minorHAnsi" w:hAnsiTheme="minorHAnsi"/>
          <w:noProof/>
          <w:sz w:val="22"/>
          <w:lang w:eastAsia="en-AU"/>
        </w:rPr>
      </w:pPr>
      <w:hyperlink w:anchor="_Toc34126555" w:history="1">
        <w:r w:rsidRPr="004B37E8">
          <w:rPr>
            <w:rStyle w:val="Hyperlink"/>
            <w:noProof/>
          </w:rPr>
          <w:t>Recommendation 5:</w:t>
        </w:r>
        <w:r>
          <w:rPr>
            <w:noProof/>
            <w:webHidden/>
          </w:rPr>
          <w:tab/>
        </w:r>
        <w:r>
          <w:rPr>
            <w:noProof/>
            <w:webHidden/>
          </w:rPr>
          <w:fldChar w:fldCharType="begin"/>
        </w:r>
        <w:r>
          <w:rPr>
            <w:noProof/>
            <w:webHidden/>
          </w:rPr>
          <w:instrText xml:space="preserve"> PAGEREF _Toc34126555 \h </w:instrText>
        </w:r>
        <w:r>
          <w:rPr>
            <w:noProof/>
            <w:webHidden/>
          </w:rPr>
        </w:r>
        <w:r>
          <w:rPr>
            <w:noProof/>
            <w:webHidden/>
          </w:rPr>
          <w:fldChar w:fldCharType="separate"/>
        </w:r>
        <w:r>
          <w:rPr>
            <w:noProof/>
            <w:webHidden/>
          </w:rPr>
          <w:t>6</w:t>
        </w:r>
        <w:r>
          <w:rPr>
            <w:noProof/>
            <w:webHidden/>
          </w:rPr>
          <w:fldChar w:fldCharType="end"/>
        </w:r>
      </w:hyperlink>
    </w:p>
    <w:p w14:paraId="4CA4EF7E" w14:textId="4E8D3235" w:rsidR="00C33797" w:rsidRDefault="00C33797">
      <w:pPr>
        <w:pStyle w:val="TOC2"/>
        <w:rPr>
          <w:rFonts w:asciiTheme="minorHAnsi" w:hAnsiTheme="minorHAnsi"/>
          <w:noProof/>
          <w:sz w:val="22"/>
          <w:lang w:eastAsia="en-AU"/>
        </w:rPr>
      </w:pPr>
      <w:hyperlink w:anchor="_Toc34126556" w:history="1">
        <w:r w:rsidRPr="004B37E8">
          <w:rPr>
            <w:rStyle w:val="Hyperlink"/>
            <w:noProof/>
          </w:rPr>
          <w:t>Recommendation 6:</w:t>
        </w:r>
        <w:r>
          <w:rPr>
            <w:noProof/>
            <w:webHidden/>
          </w:rPr>
          <w:tab/>
        </w:r>
        <w:r>
          <w:rPr>
            <w:noProof/>
            <w:webHidden/>
          </w:rPr>
          <w:fldChar w:fldCharType="begin"/>
        </w:r>
        <w:r>
          <w:rPr>
            <w:noProof/>
            <w:webHidden/>
          </w:rPr>
          <w:instrText xml:space="preserve"> PAGEREF _Toc34126556 \h </w:instrText>
        </w:r>
        <w:r>
          <w:rPr>
            <w:noProof/>
            <w:webHidden/>
          </w:rPr>
        </w:r>
        <w:r>
          <w:rPr>
            <w:noProof/>
            <w:webHidden/>
          </w:rPr>
          <w:fldChar w:fldCharType="separate"/>
        </w:r>
        <w:r>
          <w:rPr>
            <w:noProof/>
            <w:webHidden/>
          </w:rPr>
          <w:t>7</w:t>
        </w:r>
        <w:r>
          <w:rPr>
            <w:noProof/>
            <w:webHidden/>
          </w:rPr>
          <w:fldChar w:fldCharType="end"/>
        </w:r>
      </w:hyperlink>
    </w:p>
    <w:p w14:paraId="6E84852B" w14:textId="6DCADE30" w:rsidR="00C33797" w:rsidRDefault="00C33797">
      <w:pPr>
        <w:pStyle w:val="TOC2"/>
        <w:rPr>
          <w:rFonts w:asciiTheme="minorHAnsi" w:hAnsiTheme="minorHAnsi"/>
          <w:noProof/>
          <w:sz w:val="22"/>
          <w:lang w:eastAsia="en-AU"/>
        </w:rPr>
      </w:pPr>
      <w:hyperlink w:anchor="_Toc34126557" w:history="1">
        <w:r w:rsidRPr="004B37E8">
          <w:rPr>
            <w:rStyle w:val="Hyperlink"/>
            <w:noProof/>
          </w:rPr>
          <w:t>Recommendation 7:</w:t>
        </w:r>
        <w:r>
          <w:rPr>
            <w:noProof/>
            <w:webHidden/>
          </w:rPr>
          <w:tab/>
        </w:r>
        <w:r>
          <w:rPr>
            <w:noProof/>
            <w:webHidden/>
          </w:rPr>
          <w:fldChar w:fldCharType="begin"/>
        </w:r>
        <w:r>
          <w:rPr>
            <w:noProof/>
            <w:webHidden/>
          </w:rPr>
          <w:instrText xml:space="preserve"> PAGEREF _Toc34126557 \h </w:instrText>
        </w:r>
        <w:r>
          <w:rPr>
            <w:noProof/>
            <w:webHidden/>
          </w:rPr>
        </w:r>
        <w:r>
          <w:rPr>
            <w:noProof/>
            <w:webHidden/>
          </w:rPr>
          <w:fldChar w:fldCharType="separate"/>
        </w:r>
        <w:r>
          <w:rPr>
            <w:noProof/>
            <w:webHidden/>
          </w:rPr>
          <w:t>8</w:t>
        </w:r>
        <w:r>
          <w:rPr>
            <w:noProof/>
            <w:webHidden/>
          </w:rPr>
          <w:fldChar w:fldCharType="end"/>
        </w:r>
      </w:hyperlink>
    </w:p>
    <w:p w14:paraId="6CF5BF00" w14:textId="65DD143C" w:rsidR="00C33797" w:rsidRDefault="00C33797">
      <w:pPr>
        <w:pStyle w:val="TOC2"/>
        <w:rPr>
          <w:rFonts w:asciiTheme="minorHAnsi" w:hAnsiTheme="minorHAnsi"/>
          <w:noProof/>
          <w:sz w:val="22"/>
          <w:lang w:eastAsia="en-AU"/>
        </w:rPr>
      </w:pPr>
      <w:hyperlink w:anchor="_Toc34126558" w:history="1">
        <w:r w:rsidRPr="004B37E8">
          <w:rPr>
            <w:rStyle w:val="Hyperlink"/>
            <w:noProof/>
          </w:rPr>
          <w:t>Recommendation 8:</w:t>
        </w:r>
        <w:r>
          <w:rPr>
            <w:noProof/>
            <w:webHidden/>
          </w:rPr>
          <w:tab/>
        </w:r>
        <w:r>
          <w:rPr>
            <w:noProof/>
            <w:webHidden/>
          </w:rPr>
          <w:fldChar w:fldCharType="begin"/>
        </w:r>
        <w:r>
          <w:rPr>
            <w:noProof/>
            <w:webHidden/>
          </w:rPr>
          <w:instrText xml:space="preserve"> PAGEREF _Toc34126558 \h </w:instrText>
        </w:r>
        <w:r>
          <w:rPr>
            <w:noProof/>
            <w:webHidden/>
          </w:rPr>
        </w:r>
        <w:r>
          <w:rPr>
            <w:noProof/>
            <w:webHidden/>
          </w:rPr>
          <w:fldChar w:fldCharType="separate"/>
        </w:r>
        <w:r>
          <w:rPr>
            <w:noProof/>
            <w:webHidden/>
          </w:rPr>
          <w:t>9</w:t>
        </w:r>
        <w:r>
          <w:rPr>
            <w:noProof/>
            <w:webHidden/>
          </w:rPr>
          <w:fldChar w:fldCharType="end"/>
        </w:r>
      </w:hyperlink>
    </w:p>
    <w:p w14:paraId="53BDD725" w14:textId="1F5DEE22" w:rsidR="00F85D1B" w:rsidRDefault="00597F9B" w:rsidP="00400E77">
      <w:pPr>
        <w:rPr>
          <w:lang w:eastAsia="en-US"/>
        </w:rPr>
      </w:pPr>
      <w:r>
        <w:rPr>
          <w:lang w:eastAsia="en-US"/>
        </w:rPr>
        <w:fldChar w:fldCharType="end"/>
      </w:r>
    </w:p>
    <w:p w14:paraId="34F37CD6" w14:textId="77777777" w:rsidR="00CA4FC9" w:rsidRDefault="00CA4FC9" w:rsidP="00625397">
      <w:pPr>
        <w:rPr>
          <w:lang w:eastAsia="en-US"/>
        </w:rPr>
        <w:sectPr w:rsidR="00CA4FC9" w:rsidSect="00CA4FC9">
          <w:footerReference w:type="default" r:id="rId13"/>
          <w:type w:val="continuous"/>
          <w:pgSz w:w="11906" w:h="16838"/>
          <w:pgMar w:top="1418" w:right="1133" w:bottom="1440" w:left="1440" w:header="510" w:footer="510" w:gutter="0"/>
          <w:pgNumType w:fmt="lowerRoman" w:start="1"/>
          <w:cols w:space="708"/>
          <w:titlePg/>
          <w:docGrid w:linePitch="360"/>
        </w:sectPr>
      </w:pPr>
    </w:p>
    <w:p w14:paraId="7C08E1C6" w14:textId="77777777" w:rsidR="00CA4FC9" w:rsidRDefault="00CA4FC9" w:rsidP="000373A1">
      <w:pPr>
        <w:pStyle w:val="Heading2"/>
      </w:pPr>
      <w:bookmarkStart w:id="1" w:name="_Toc499905942"/>
      <w:bookmarkStart w:id="2" w:name="_Toc382493211"/>
      <w:bookmarkStart w:id="3" w:name="_Toc412126163"/>
      <w:bookmarkStart w:id="4" w:name="_Toc34126549"/>
      <w:r w:rsidRPr="007A120A">
        <w:lastRenderedPageBreak/>
        <w:t>Overview</w:t>
      </w:r>
      <w:bookmarkEnd w:id="1"/>
      <w:bookmarkEnd w:id="4"/>
    </w:p>
    <w:p w14:paraId="7837DFE9" w14:textId="77777777" w:rsidR="001D0F1A" w:rsidRPr="00786B07" w:rsidRDefault="001D0F1A" w:rsidP="001D0F1A">
      <w:r w:rsidRPr="00786B07">
        <w:t>Aboriginal and Torres Strait Islander cultures are diverse and dynamic. They are essential to the wellbeing and identity of Aboriginal and Torres Strait Islander peoples, as well as being a vital part of Australia’s identity. Culture plays an integral role in sustaining and strengthening Indigenous communities and provides opportunities for Aboriginal and Torres Strait Islander peoples to gain employment, develop professional skills and participate in the nation’s economy.</w:t>
      </w:r>
    </w:p>
    <w:p w14:paraId="1295F2A5" w14:textId="01925856" w:rsidR="001D0F1A" w:rsidRPr="00786B07" w:rsidRDefault="001D0F1A" w:rsidP="001D0F1A">
      <w:r w:rsidRPr="00786B07">
        <w:t>The Australian Government has actively supported Aboriginal and Torres Strait Islander visual artists</w:t>
      </w:r>
      <w:r w:rsidR="00741CDC">
        <w:t>—</w:t>
      </w:r>
      <w:r w:rsidRPr="00786B07">
        <w:t>the people at the heart of this issue</w:t>
      </w:r>
      <w:r w:rsidR="00741CDC">
        <w:t>—</w:t>
      </w:r>
      <w:r w:rsidRPr="00786B07">
        <w:t>since the early 1970s. Today support is provided through a number of programs and frameworks.</w:t>
      </w:r>
    </w:p>
    <w:p w14:paraId="1D8A674E" w14:textId="6DCDE518" w:rsidR="001D0F1A" w:rsidRPr="00786B07" w:rsidRDefault="001D0F1A" w:rsidP="001D0F1A">
      <w:r w:rsidRPr="00786B07">
        <w:t>The public submissions to this inquiry detailed clearly the deep offence and harm that inauthentic Aboriginal and Torres Strait Islander ‘style’ products cause to Aboriginal and Torres Strait Islander culture and economic opportunities. The p</w:t>
      </w:r>
      <w:r w:rsidR="00BE1FD7">
        <w:t>roducts also mislead consumers.</w:t>
      </w:r>
    </w:p>
    <w:p w14:paraId="61A9DA20" w14:textId="77777777" w:rsidR="001D0F1A" w:rsidRPr="00786B07" w:rsidRDefault="001D0F1A" w:rsidP="001D0F1A">
      <w:r w:rsidRPr="00786B07">
        <w:t>The Australian Government will carefully consider the findings from this inquiry and the most effective ways to provide opportunities for Indigenous artists and designers, while supporting initiatives that give consumers, tourists and retailers the information they need to identify Aboriginal and Torres Strait Islander products in the marketplace.</w:t>
      </w:r>
    </w:p>
    <w:p w14:paraId="4C21DFB5" w14:textId="53A3BA69" w:rsidR="001D0F1A" w:rsidRPr="00786B07" w:rsidRDefault="001D0F1A" w:rsidP="001D0F1A">
      <w:r w:rsidRPr="00786B07">
        <w:t xml:space="preserve">There was widespread recognition in the submissions of the work of the Indigenous Art Code, established by the Australian Government in 2010 in response to a 2007 Senate Inquiry into the Indigenous visual arts sector, which raised concerns about the exploitation of Aboriginal and Torres Strait Islanders by some fine art dealers. The Australian Government’s long term support to the Code will be complemented from </w:t>
      </w:r>
      <w:r w:rsidR="00D627FA">
        <w:t>2019–2020</w:t>
      </w:r>
      <w:r w:rsidRPr="00786B07">
        <w:t xml:space="preserve"> with additional support from the states and territories.</w:t>
      </w:r>
    </w:p>
    <w:p w14:paraId="4A8FF3AD" w14:textId="586EFD6E" w:rsidR="001D0F1A" w:rsidRPr="00786B07" w:rsidRDefault="001D0F1A" w:rsidP="001D0F1A">
      <w:r w:rsidRPr="00786B07">
        <w:t xml:space="preserve">On 13 June 2018, the Australian Government announced a digital labelling trial for authentic Indigenous products to be conducted by </w:t>
      </w:r>
      <w:proofErr w:type="spellStart"/>
      <w:r w:rsidRPr="00786B07">
        <w:t>Desart</w:t>
      </w:r>
      <w:proofErr w:type="spellEnd"/>
      <w:r w:rsidRPr="00786B07">
        <w:t xml:space="preserve">. The new labelling will assist consumers to make informed choices, increase opportunities for artists and designers, and assist producers to market and track products. The trial involving three art centres commenced on </w:t>
      </w:r>
      <w:r>
        <w:t>1 </w:t>
      </w:r>
      <w:r w:rsidRPr="00786B07">
        <w:t>July 2019.</w:t>
      </w:r>
    </w:p>
    <w:p w14:paraId="0FD92E74" w14:textId="77777777" w:rsidR="00CA4FC9" w:rsidRDefault="00CA4FC9">
      <w:pPr>
        <w:spacing w:line="259" w:lineRule="auto"/>
      </w:pPr>
      <w:r>
        <w:br w:type="page"/>
      </w:r>
    </w:p>
    <w:p w14:paraId="19D7DBBB" w14:textId="77777777" w:rsidR="00CA4FC9" w:rsidRDefault="00CA4FC9" w:rsidP="000373A1">
      <w:pPr>
        <w:pStyle w:val="Heading2"/>
      </w:pPr>
      <w:bookmarkStart w:id="5" w:name="_Toc499905943"/>
      <w:bookmarkStart w:id="6" w:name="_Toc34126550"/>
      <w:r w:rsidRPr="007A120A">
        <w:lastRenderedPageBreak/>
        <w:t>Australian Government response</w:t>
      </w:r>
      <w:bookmarkEnd w:id="5"/>
      <w:bookmarkEnd w:id="6"/>
    </w:p>
    <w:bookmarkEnd w:id="2"/>
    <w:bookmarkEnd w:id="3"/>
    <w:p w14:paraId="4A7CA08D" w14:textId="77777777" w:rsidR="001D0F1A" w:rsidRPr="00786B07" w:rsidRDefault="001D0F1A" w:rsidP="001D0F1A">
      <w:r w:rsidRPr="00786B07">
        <w:t xml:space="preserve">The Australian Government’s response to the </w:t>
      </w:r>
      <w:r w:rsidRPr="00014943">
        <w:rPr>
          <w:i/>
        </w:rPr>
        <w:t>Report on the impact of inauthentic art and craft in the style of First Nations peoples</w:t>
      </w:r>
      <w:r w:rsidRPr="00786B07">
        <w:t xml:space="preserve"> is set out below.</w:t>
      </w:r>
    </w:p>
    <w:p w14:paraId="60F63739" w14:textId="0ED99941" w:rsidR="001D0F1A" w:rsidRPr="00786B07" w:rsidRDefault="001D0F1A" w:rsidP="00016A0C">
      <w:pPr>
        <w:pStyle w:val="Heading3"/>
      </w:pPr>
      <w:bookmarkStart w:id="7" w:name="_Toc514149368"/>
      <w:bookmarkStart w:id="8" w:name="_Toc13727803"/>
      <w:bookmarkStart w:id="9" w:name="_Toc34126551"/>
      <w:r w:rsidRPr="00786B07">
        <w:t>Recommendation 1</w:t>
      </w:r>
      <w:bookmarkEnd w:id="7"/>
      <w:bookmarkEnd w:id="8"/>
      <w:r w:rsidR="00FD3D26">
        <w:t>:</w:t>
      </w:r>
      <w:bookmarkEnd w:id="9"/>
    </w:p>
    <w:p w14:paraId="7D42EC9A" w14:textId="373C90F1" w:rsidR="001D0F1A" w:rsidRPr="00786B07" w:rsidRDefault="001D0F1A" w:rsidP="00170528">
      <w:pPr>
        <w:pBdr>
          <w:top w:val="single" w:sz="4" w:space="1" w:color="auto"/>
          <w:left w:val="single" w:sz="4" w:space="1" w:color="auto"/>
          <w:bottom w:val="single" w:sz="4" w:space="1" w:color="auto"/>
          <w:right w:val="single" w:sz="4" w:space="1" w:color="auto"/>
        </w:pBdr>
        <w:shd w:val="clear" w:color="auto" w:fill="D5DCE4"/>
      </w:pPr>
      <w:r w:rsidRPr="00786B07">
        <w:t>The committee recommends as a matter of urgency that the Productivity Commission conducts a comprehensive inquiry into the value and structure of the current market for First Nations art and crafts. This inquiry should inco</w:t>
      </w:r>
      <w:r w:rsidR="00014943">
        <w:t>rporate the following elements:</w:t>
      </w:r>
    </w:p>
    <w:p w14:paraId="0B7BD8D8" w14:textId="77777777" w:rsidR="001D0F1A" w:rsidRPr="00014943" w:rsidRDefault="001D0F1A" w:rsidP="00170528">
      <w:pPr>
        <w:pStyle w:val="Listparagraphbullets"/>
        <w:pBdr>
          <w:top w:val="single" w:sz="4" w:space="1" w:color="auto"/>
          <w:left w:val="single" w:sz="4" w:space="1" w:color="auto"/>
          <w:bottom w:val="single" w:sz="4" w:space="1" w:color="auto"/>
          <w:right w:val="single" w:sz="4" w:space="1" w:color="auto"/>
        </w:pBdr>
        <w:shd w:val="clear" w:color="auto" w:fill="D5DCE4"/>
        <w:rPr>
          <w:sz w:val="20"/>
          <w:szCs w:val="20"/>
        </w:rPr>
      </w:pPr>
      <w:r w:rsidRPr="00014943">
        <w:rPr>
          <w:sz w:val="20"/>
          <w:szCs w:val="20"/>
        </w:rPr>
        <w:t>a detailed structural breakdown of the different parts of this market and the operators within it;</w:t>
      </w:r>
    </w:p>
    <w:p w14:paraId="293A848D" w14:textId="77777777" w:rsidR="001D0F1A" w:rsidRPr="00014943" w:rsidRDefault="001D0F1A" w:rsidP="00170528">
      <w:pPr>
        <w:pStyle w:val="Listparagraphbullets"/>
        <w:pBdr>
          <w:top w:val="single" w:sz="4" w:space="1" w:color="auto"/>
          <w:left w:val="single" w:sz="4" w:space="1" w:color="auto"/>
          <w:bottom w:val="single" w:sz="4" w:space="1" w:color="auto"/>
          <w:right w:val="single" w:sz="4" w:space="1" w:color="auto"/>
        </w:pBdr>
        <w:shd w:val="clear" w:color="auto" w:fill="D5DCE4"/>
        <w:rPr>
          <w:sz w:val="20"/>
          <w:szCs w:val="20"/>
        </w:rPr>
      </w:pPr>
      <w:r w:rsidRPr="00014943">
        <w:rPr>
          <w:sz w:val="20"/>
          <w:szCs w:val="20"/>
        </w:rPr>
        <w:t>the total value of the fine art market stratified by the different avenues through which this art is produced, procured and sold;</w:t>
      </w:r>
    </w:p>
    <w:p w14:paraId="44FBE3E6" w14:textId="77777777" w:rsidR="001D0F1A" w:rsidRPr="00014943" w:rsidRDefault="001D0F1A" w:rsidP="00170528">
      <w:pPr>
        <w:pStyle w:val="Listparagraphbullets"/>
        <w:pBdr>
          <w:top w:val="single" w:sz="4" w:space="1" w:color="auto"/>
          <w:left w:val="single" w:sz="4" w:space="1" w:color="auto"/>
          <w:bottom w:val="single" w:sz="4" w:space="1" w:color="auto"/>
          <w:right w:val="single" w:sz="4" w:space="1" w:color="auto"/>
        </w:pBdr>
        <w:shd w:val="clear" w:color="auto" w:fill="D5DCE4"/>
        <w:rPr>
          <w:sz w:val="20"/>
          <w:szCs w:val="20"/>
        </w:rPr>
      </w:pPr>
      <w:r w:rsidRPr="00014943">
        <w:rPr>
          <w:sz w:val="20"/>
          <w:szCs w:val="20"/>
        </w:rPr>
        <w:t>the total value of the souvenir and craft market stratified by the different avenues through which these products are produced, procured and sold;</w:t>
      </w:r>
    </w:p>
    <w:p w14:paraId="0E62BDC2" w14:textId="77777777" w:rsidR="001D0F1A" w:rsidRPr="00014943" w:rsidRDefault="001D0F1A" w:rsidP="00170528">
      <w:pPr>
        <w:pStyle w:val="Listparagraphbullets"/>
        <w:pBdr>
          <w:top w:val="single" w:sz="4" w:space="1" w:color="auto"/>
          <w:left w:val="single" w:sz="4" w:space="1" w:color="auto"/>
          <w:bottom w:val="single" w:sz="4" w:space="1" w:color="auto"/>
          <w:right w:val="single" w:sz="4" w:space="1" w:color="auto"/>
        </w:pBdr>
        <w:shd w:val="clear" w:color="auto" w:fill="D5DCE4"/>
        <w:rPr>
          <w:sz w:val="20"/>
          <w:szCs w:val="20"/>
        </w:rPr>
      </w:pPr>
      <w:r w:rsidRPr="00014943">
        <w:rPr>
          <w:sz w:val="20"/>
          <w:szCs w:val="20"/>
        </w:rPr>
        <w:t>the market value of inauthentic souvenirs and art sold in Australia;</w:t>
      </w:r>
    </w:p>
    <w:p w14:paraId="7D166EB9" w14:textId="77777777" w:rsidR="001D0F1A" w:rsidRPr="00014943" w:rsidRDefault="001D0F1A" w:rsidP="00170528">
      <w:pPr>
        <w:pStyle w:val="Listparagraphbullets"/>
        <w:pBdr>
          <w:top w:val="single" w:sz="4" w:space="1" w:color="auto"/>
          <w:left w:val="single" w:sz="4" w:space="1" w:color="auto"/>
          <w:bottom w:val="single" w:sz="4" w:space="1" w:color="auto"/>
          <w:right w:val="single" w:sz="4" w:space="1" w:color="auto"/>
        </w:pBdr>
        <w:shd w:val="clear" w:color="auto" w:fill="D5DCE4"/>
        <w:rPr>
          <w:sz w:val="20"/>
          <w:szCs w:val="20"/>
        </w:rPr>
      </w:pPr>
      <w:r w:rsidRPr="00014943">
        <w:rPr>
          <w:sz w:val="20"/>
          <w:szCs w:val="20"/>
        </w:rPr>
        <w:t>the revenues generated by art centres;</w:t>
      </w:r>
    </w:p>
    <w:p w14:paraId="60A2B8B3" w14:textId="77777777" w:rsidR="001D0F1A" w:rsidRPr="00014943" w:rsidRDefault="001D0F1A" w:rsidP="00170528">
      <w:pPr>
        <w:pStyle w:val="Listparagraphbullets"/>
        <w:pBdr>
          <w:top w:val="single" w:sz="4" w:space="1" w:color="auto"/>
          <w:left w:val="single" w:sz="4" w:space="1" w:color="auto"/>
          <w:bottom w:val="single" w:sz="4" w:space="1" w:color="auto"/>
          <w:right w:val="single" w:sz="4" w:space="1" w:color="auto"/>
        </w:pBdr>
        <w:shd w:val="clear" w:color="auto" w:fill="D5DCE4"/>
        <w:rPr>
          <w:sz w:val="20"/>
          <w:szCs w:val="20"/>
        </w:rPr>
      </w:pPr>
      <w:r w:rsidRPr="00014943">
        <w:rPr>
          <w:sz w:val="20"/>
          <w:szCs w:val="20"/>
        </w:rPr>
        <w:t>the barriers facing art centres and First Nations artists who wish to sell fine art or souvenir style items in mainstream markets; and</w:t>
      </w:r>
    </w:p>
    <w:p w14:paraId="5D9490DA" w14:textId="77777777" w:rsidR="001D0F1A" w:rsidRPr="00014943" w:rsidRDefault="001D0F1A" w:rsidP="00170528">
      <w:pPr>
        <w:pStyle w:val="Listparagraphbullets"/>
        <w:pBdr>
          <w:top w:val="single" w:sz="4" w:space="1" w:color="auto"/>
          <w:left w:val="single" w:sz="4" w:space="1" w:color="auto"/>
          <w:bottom w:val="single" w:sz="4" w:space="1" w:color="auto"/>
          <w:right w:val="single" w:sz="4" w:space="1" w:color="auto"/>
        </w:pBdr>
        <w:shd w:val="clear" w:color="auto" w:fill="D5DCE4"/>
        <w:rPr>
          <w:rFonts w:eastAsiaTheme="minorEastAsia"/>
          <w:sz w:val="20"/>
          <w:szCs w:val="20"/>
        </w:rPr>
      </w:pPr>
      <w:proofErr w:type="gramStart"/>
      <w:r w:rsidRPr="00014943">
        <w:rPr>
          <w:sz w:val="20"/>
          <w:szCs w:val="20"/>
        </w:rPr>
        <w:t>a</w:t>
      </w:r>
      <w:proofErr w:type="gramEnd"/>
      <w:r w:rsidRPr="00014943">
        <w:rPr>
          <w:sz w:val="20"/>
          <w:szCs w:val="20"/>
        </w:rPr>
        <w:t xml:space="preserve"> summary reflecting both the number and value of imported imitation low end Indigenous products, and a like summary for products made and/or licenced in Australia.</w:t>
      </w:r>
    </w:p>
    <w:p w14:paraId="324D003E" w14:textId="5194B325" w:rsidR="001D0F1A" w:rsidRPr="00786B07" w:rsidRDefault="001D0F1A" w:rsidP="001D0F1A">
      <w:r w:rsidRPr="00786B07">
        <w:t xml:space="preserve">The Government </w:t>
      </w:r>
      <w:r w:rsidRPr="00170528">
        <w:rPr>
          <w:b/>
        </w:rPr>
        <w:t>agrees to this recommendation</w:t>
      </w:r>
      <w:r w:rsidR="00170528">
        <w:t>.</w:t>
      </w:r>
    </w:p>
    <w:p w14:paraId="4F0F1959" w14:textId="77777777" w:rsidR="001D0F1A" w:rsidRPr="00786B07" w:rsidRDefault="001D0F1A" w:rsidP="001D0F1A">
      <w:r w:rsidRPr="00786B07">
        <w:t>The Government will commission a Productivity Commission study into the nature and structure of the Aboriginal and Torres Strait Islander arts and crafts market, and policies to address deficiencies in the market. The study’s scope and terms of reference will be developed in consultation with the Productivity Commission and relevant Aboriginal and Torres Strait Islander stakeholders.</w:t>
      </w:r>
      <w:r w:rsidRPr="00786B07">
        <w:br w:type="page"/>
      </w:r>
    </w:p>
    <w:p w14:paraId="114C4879" w14:textId="302C5767" w:rsidR="001D0F1A" w:rsidRPr="00786B07" w:rsidRDefault="001D0F1A" w:rsidP="00016A0C">
      <w:pPr>
        <w:pStyle w:val="Heading3"/>
      </w:pPr>
      <w:bookmarkStart w:id="10" w:name="_Toc13727804"/>
      <w:bookmarkStart w:id="11" w:name="_Toc514149369"/>
      <w:bookmarkStart w:id="12" w:name="_Toc34126552"/>
      <w:r w:rsidRPr="00786B07">
        <w:lastRenderedPageBreak/>
        <w:t>Recommendation 2</w:t>
      </w:r>
      <w:bookmarkEnd w:id="10"/>
      <w:r w:rsidR="00FD3D26">
        <w:t>:</w:t>
      </w:r>
      <w:bookmarkEnd w:id="12"/>
    </w:p>
    <w:bookmarkEnd w:id="11"/>
    <w:p w14:paraId="5233A873" w14:textId="53EB8694" w:rsidR="00170528" w:rsidRPr="00786B07" w:rsidRDefault="00170528" w:rsidP="00741CDC">
      <w:pPr>
        <w:pStyle w:val="Box"/>
      </w:pPr>
      <w:r w:rsidRPr="00786B07">
        <w:t>The committee recommends as a matter of urgency that the Australian Government consults with the Indigenous Art Code and the First Nations art sector on what resourcing is required for the Indigenous Art Code Ltd to fulfil its considerable potential, and provides this funding as a means of protecting both our unique Indigenous cultures and protecting the future and value of this market for Australian and In</w:t>
      </w:r>
      <w:r w:rsidR="00014943">
        <w:t>ternational visitor purchasing.</w:t>
      </w:r>
    </w:p>
    <w:p w14:paraId="22D217C6" w14:textId="77777777" w:rsidR="00170528" w:rsidRPr="00786B07" w:rsidRDefault="00170528" w:rsidP="00741CDC">
      <w:pPr>
        <w:pStyle w:val="Box"/>
      </w:pPr>
      <w:r w:rsidRPr="00786B07">
        <w:t>The committee further recommends that a detailed evaluation of industry practices take place no later than two years after the provision of this funding. A mandatory code should be introduced if that review reveals few improvements in industry behaviour and little reduction in the prevalence of imitation First Nations art and craft.</w:t>
      </w:r>
    </w:p>
    <w:p w14:paraId="7BE6907C" w14:textId="77777777" w:rsidR="001D0F1A" w:rsidRPr="00786B07" w:rsidRDefault="001D0F1A" w:rsidP="001D0F1A">
      <w:r w:rsidRPr="00786B07">
        <w:t xml:space="preserve">The Government </w:t>
      </w:r>
      <w:r w:rsidRPr="00170528">
        <w:rPr>
          <w:b/>
        </w:rPr>
        <w:t>agrees in part to this recommendation</w:t>
      </w:r>
      <w:r w:rsidRPr="00786B07">
        <w:t>.</w:t>
      </w:r>
    </w:p>
    <w:p w14:paraId="5741E65F" w14:textId="13E17CE5" w:rsidR="001D0F1A" w:rsidRPr="00786B07" w:rsidRDefault="001D0F1A" w:rsidP="001D0F1A">
      <w:r w:rsidRPr="00786B07">
        <w:t xml:space="preserve">Funding to the Indigenous Art Code (the Code) has increased from </w:t>
      </w:r>
      <w:r w:rsidR="00D627FA">
        <w:t>2019–2020</w:t>
      </w:r>
      <w:r w:rsidRPr="00786B07">
        <w:t>, with a national funding commitment from all states and territories and further funding from the Australian Government, to enable the Code to expand its remit to better promote ethical art dealing, as well as taking action in response to inauthentic Indigenous products.</w:t>
      </w:r>
    </w:p>
    <w:p w14:paraId="162FB822" w14:textId="77777777" w:rsidR="001D0F1A" w:rsidRPr="00786B07" w:rsidRDefault="001D0F1A" w:rsidP="001D0F1A">
      <w:r w:rsidRPr="00786B07">
        <w:t>The Code was established to guide ethical dealing between fine art dealers and Aboriginal and Torres Strait Islander artists. The Code is funded through the Australian Government’s Indigenous Visual Arts Industry Support (IVAIS) program.</w:t>
      </w:r>
    </w:p>
    <w:p w14:paraId="3FB7C03A" w14:textId="77777777" w:rsidR="001D0F1A" w:rsidRPr="00786B07" w:rsidRDefault="001D0F1A" w:rsidP="001D0F1A">
      <w:r w:rsidRPr="00786B07">
        <w:t xml:space="preserve">The important and expanded role of the organisation was recognised at the September 2018 Meeting of Cultural Ministers where all jurisdictions agreed to provide additional support to the Code. </w:t>
      </w:r>
    </w:p>
    <w:p w14:paraId="07563CAD" w14:textId="77777777" w:rsidR="001D0F1A" w:rsidRPr="00786B07" w:rsidRDefault="001D0F1A" w:rsidP="001D0F1A">
      <w:r w:rsidRPr="00786B07">
        <w:t xml:space="preserve">This additional funding will enable the engagement of a second staff member, expanded program delivery and travel to Indigenous visual art events and organisations. The additional resources will substantially increase the Code’s capacity to support Aboriginal and Torres Strait Islander artists and arts organisations, promote ethical dealing and respond to inauthentic products. </w:t>
      </w:r>
    </w:p>
    <w:p w14:paraId="126276E4" w14:textId="77777777" w:rsidR="001D0F1A" w:rsidRPr="00786B07" w:rsidRDefault="001D0F1A" w:rsidP="001D0F1A">
      <w:r w:rsidRPr="00786B07">
        <w:t xml:space="preserve">The Government </w:t>
      </w:r>
      <w:r w:rsidRPr="00170528">
        <w:rPr>
          <w:b/>
        </w:rPr>
        <w:t>notes</w:t>
      </w:r>
      <w:r w:rsidRPr="00786B07">
        <w:t xml:space="preserve"> the recommendation for a detailed evaluation of industry practices no later than two years after the provision of new funding to the Code, and that consideration be given to the introduction of a mandatory code if industry behaviour has not improved. </w:t>
      </w:r>
    </w:p>
    <w:p w14:paraId="6677CB96" w14:textId="77777777" w:rsidR="001D0F1A" w:rsidRPr="00786B07" w:rsidRDefault="001D0F1A" w:rsidP="001D0F1A">
      <w:r w:rsidRPr="00786B07">
        <w:t xml:space="preserve">The Government </w:t>
      </w:r>
      <w:r w:rsidRPr="00170528">
        <w:rPr>
          <w:b/>
        </w:rPr>
        <w:t>notes</w:t>
      </w:r>
      <w:r w:rsidRPr="00786B07">
        <w:t xml:space="preserve"> the recommendation to introduce a mandatory code of conduct, should the review reveal little improvement in industry behaviour.</w:t>
      </w:r>
    </w:p>
    <w:p w14:paraId="1CCA33A1" w14:textId="77777777" w:rsidR="001D0F1A" w:rsidRPr="00786B07" w:rsidRDefault="001D0F1A" w:rsidP="001D0F1A">
      <w:r w:rsidRPr="00786B07">
        <w:t xml:space="preserve">Mandatory industry codes, set out in Part IVB of the </w:t>
      </w:r>
      <w:r w:rsidRPr="00014943">
        <w:rPr>
          <w:i/>
        </w:rPr>
        <w:t>Competition and Consumer Act 2010</w:t>
      </w:r>
      <w:r w:rsidRPr="00786B07">
        <w:t>, regulate the conduct of participants in a particular market to provide a minimum standard of protection to firms and consumers, and to foster more efficient markets. Mandatory codes are binding on all industry participants.</w:t>
      </w:r>
    </w:p>
    <w:p w14:paraId="142B5DD0" w14:textId="77777777" w:rsidR="001D0F1A" w:rsidRPr="00786B07" w:rsidRDefault="001D0F1A" w:rsidP="001D0F1A">
      <w:r w:rsidRPr="00786B07">
        <w:t>Industry codes are a serious market intervention, and as a general principle, the Government only prescribes industry codes where there is sufficient evidence of market failure and industry has attempted to self-regulate without success. A compelling case for regulatory intervention must be made before Government considers prescribing an enforceable code of conduct. An industry will generally only be subject to government intervention where there is a demonstrable problem affecting other participants and consumers which the market cannot or will not overcome.</w:t>
      </w:r>
    </w:p>
    <w:p w14:paraId="3DC40BA7" w14:textId="1E7D4094" w:rsidR="001D0F1A" w:rsidRPr="00786B07" w:rsidRDefault="001D0F1A" w:rsidP="001D0F1A">
      <w:r w:rsidRPr="00786B07">
        <w:t>The report identifies a number of options that could be implemented to improve industry practices, and these options should be explored before any Government consideration of a</w:t>
      </w:r>
      <w:r w:rsidR="00170528">
        <w:t xml:space="preserve"> new mandatory code of conduct.</w:t>
      </w:r>
      <w:bookmarkStart w:id="13" w:name="_Toc514149371"/>
      <w:r w:rsidRPr="00786B07">
        <w:br w:type="page"/>
      </w:r>
    </w:p>
    <w:p w14:paraId="24FFE222" w14:textId="72577FD5" w:rsidR="001D0F1A" w:rsidRPr="00786B07" w:rsidRDefault="001D0F1A" w:rsidP="00016A0C">
      <w:pPr>
        <w:pStyle w:val="Heading3"/>
      </w:pPr>
      <w:bookmarkStart w:id="14" w:name="_Toc13727805"/>
      <w:bookmarkStart w:id="15" w:name="_Toc34126553"/>
      <w:r w:rsidRPr="00786B07">
        <w:lastRenderedPageBreak/>
        <w:t>Recommendation 3</w:t>
      </w:r>
      <w:bookmarkEnd w:id="13"/>
      <w:bookmarkEnd w:id="14"/>
      <w:r w:rsidR="00FD3D26">
        <w:t>:</w:t>
      </w:r>
      <w:bookmarkEnd w:id="15"/>
    </w:p>
    <w:p w14:paraId="51D223B6" w14:textId="77777777" w:rsidR="00170528" w:rsidRPr="00140BFE" w:rsidRDefault="00170528" w:rsidP="00D627FA">
      <w:pPr>
        <w:pBdr>
          <w:top w:val="single" w:sz="4" w:space="1" w:color="auto"/>
          <w:left w:val="single" w:sz="4" w:space="1" w:color="auto"/>
          <w:bottom w:val="single" w:sz="4" w:space="1" w:color="auto"/>
          <w:right w:val="single" w:sz="4" w:space="1" w:color="auto"/>
        </w:pBdr>
        <w:shd w:val="clear" w:color="auto" w:fill="D5DCE4"/>
        <w:rPr>
          <w:szCs w:val="20"/>
        </w:rPr>
      </w:pPr>
      <w:r w:rsidRPr="00677B3F">
        <w:rPr>
          <w:szCs w:val="20"/>
        </w:rPr>
        <w:t>The committee recommends that the Australian Government establishes and funds a separate arm of the Indigenous Business Sector Strategy that is specifically aimed at art centres. This arm should incorporate the following aspects:</w:t>
      </w:r>
    </w:p>
    <w:p w14:paraId="05B0E50C" w14:textId="77777777" w:rsidR="00170528" w:rsidRPr="00014943" w:rsidRDefault="00170528" w:rsidP="00D627FA">
      <w:pPr>
        <w:pStyle w:val="Listparagraphbullets"/>
        <w:pBdr>
          <w:top w:val="single" w:sz="4" w:space="1" w:color="auto"/>
          <w:left w:val="single" w:sz="4" w:space="1" w:color="auto"/>
          <w:bottom w:val="single" w:sz="4" w:space="1" w:color="auto"/>
          <w:right w:val="single" w:sz="4" w:space="1" w:color="auto"/>
        </w:pBdr>
        <w:shd w:val="clear" w:color="auto" w:fill="D5DCE4"/>
        <w:rPr>
          <w:sz w:val="20"/>
          <w:szCs w:val="20"/>
        </w:rPr>
      </w:pPr>
      <w:r w:rsidRPr="00014943">
        <w:rPr>
          <w:sz w:val="20"/>
          <w:szCs w:val="20"/>
        </w:rPr>
        <w:t>a business advisory hub that will advise art centres on how to access mainstream souvenir markets;</w:t>
      </w:r>
    </w:p>
    <w:p w14:paraId="6E4FAE5C" w14:textId="77777777" w:rsidR="00170528" w:rsidRPr="00014943" w:rsidRDefault="00170528" w:rsidP="00D627FA">
      <w:pPr>
        <w:pStyle w:val="Listparagraphbullets"/>
        <w:pBdr>
          <w:top w:val="single" w:sz="4" w:space="1" w:color="auto"/>
          <w:left w:val="single" w:sz="4" w:space="1" w:color="auto"/>
          <w:bottom w:val="single" w:sz="4" w:space="1" w:color="auto"/>
          <w:right w:val="single" w:sz="4" w:space="1" w:color="auto"/>
        </w:pBdr>
        <w:shd w:val="clear" w:color="auto" w:fill="D5DCE4"/>
        <w:rPr>
          <w:sz w:val="20"/>
          <w:szCs w:val="20"/>
        </w:rPr>
      </w:pPr>
      <w:r w:rsidRPr="00014943">
        <w:rPr>
          <w:sz w:val="20"/>
          <w:szCs w:val="20"/>
        </w:rPr>
        <w:t>seed funding for art centres to build capacity, including staff training, to enter mainstream souvenir markets, including mentoring and monitoring strategies; and</w:t>
      </w:r>
    </w:p>
    <w:p w14:paraId="01E0F7B0" w14:textId="77777777" w:rsidR="00170528" w:rsidRPr="00014943" w:rsidRDefault="00170528" w:rsidP="00D627FA">
      <w:pPr>
        <w:pStyle w:val="Listparagraphbullets"/>
        <w:pBdr>
          <w:top w:val="single" w:sz="4" w:space="1" w:color="auto"/>
          <w:left w:val="single" w:sz="4" w:space="1" w:color="auto"/>
          <w:bottom w:val="single" w:sz="4" w:space="1" w:color="auto"/>
          <w:right w:val="single" w:sz="4" w:space="1" w:color="auto"/>
        </w:pBdr>
        <w:shd w:val="clear" w:color="auto" w:fill="D5DCE4"/>
        <w:rPr>
          <w:rFonts w:eastAsiaTheme="minorEastAsia"/>
          <w:sz w:val="20"/>
          <w:szCs w:val="20"/>
        </w:rPr>
      </w:pPr>
      <w:proofErr w:type="gramStart"/>
      <w:r w:rsidRPr="00014943">
        <w:rPr>
          <w:sz w:val="20"/>
          <w:szCs w:val="20"/>
        </w:rPr>
        <w:t>solutions</w:t>
      </w:r>
      <w:proofErr w:type="gramEnd"/>
      <w:r w:rsidRPr="00014943">
        <w:rPr>
          <w:sz w:val="20"/>
          <w:szCs w:val="20"/>
        </w:rPr>
        <w:t xml:space="preserve"> to the lack of infrastructure, particularly housing, that prevents many art centres from hiring and retaining art centre managers.</w:t>
      </w:r>
    </w:p>
    <w:p w14:paraId="5E71701B" w14:textId="77777777" w:rsidR="001D0F1A" w:rsidRPr="00786B07" w:rsidRDefault="001D0F1A" w:rsidP="001D0F1A">
      <w:bookmarkStart w:id="16" w:name="_Toc514149372"/>
      <w:r w:rsidRPr="00786B07">
        <w:t xml:space="preserve">The Government </w:t>
      </w:r>
      <w:r w:rsidRPr="00170528">
        <w:rPr>
          <w:b/>
        </w:rPr>
        <w:t>notes this recommendation</w:t>
      </w:r>
      <w:r w:rsidRPr="00786B07">
        <w:t>.</w:t>
      </w:r>
    </w:p>
    <w:p w14:paraId="40E69BCB" w14:textId="73D1F058" w:rsidR="001D0F1A" w:rsidRPr="00786B07" w:rsidRDefault="001D0F1A" w:rsidP="001D0F1A">
      <w:r w:rsidRPr="00786B07">
        <w:t xml:space="preserve">The Indigenous Business Sector Strategy (IBSS) is a 10-year plan to improve the Indigenous business sector’s access to business and financial support. It was developed following extensive consultation with the Indigenous business community and launched by the Government in February 2018. At this stage, it would not be practical to establish a separate arm of the IBSS specifically aimed at art centres given the IBSS is still in its early stages of rollout, and was developed in response to the needs identified by </w:t>
      </w:r>
      <w:r w:rsidR="00A2184A">
        <w:t>the Indigenous business sector.</w:t>
      </w:r>
    </w:p>
    <w:p w14:paraId="69F3885F" w14:textId="77777777" w:rsidR="001D0F1A" w:rsidRPr="00786B07" w:rsidRDefault="001D0F1A" w:rsidP="001D0F1A">
      <w:r w:rsidRPr="00786B07">
        <w:t>Opportunities for targeted support for art centres will be considered under the existing structure of the IBSS. For example, if there is a local demand the Indigenous Business and Employment Hubs (initially located in Western Sydney and Perth, along with an Innovation Hub in Adelaide) could provide specialised advice and support for art centres. Advice could cover matters such as accessing mainstream souvenir markets, accessing seed funding and options to fund infrastructure.</w:t>
      </w:r>
    </w:p>
    <w:p w14:paraId="3EC3853F" w14:textId="77777777" w:rsidR="001D0F1A" w:rsidRPr="00786B07" w:rsidRDefault="001D0F1A" w:rsidP="001D0F1A">
      <w:r w:rsidRPr="00786B07">
        <w:t xml:space="preserve">Art centres in the Northern Territory are able to apply for funding through the Aboriginal Benefit Account (ABA). The ABA receives monies from the Commonwealth based on the value of royalties generated from mining on Aboriginal land in the NT. Funding can be utilised for services in the Northern Territory for land and property acquisition, construction or to improve infrastructure. </w:t>
      </w:r>
    </w:p>
    <w:p w14:paraId="6DDB8877" w14:textId="77777777" w:rsidR="001D0F1A" w:rsidRPr="00786B07" w:rsidRDefault="001D0F1A" w:rsidP="001D0F1A">
      <w:r w:rsidRPr="00786B07">
        <w:t>ABA funding is provided on the provision the project is a one off and projects are specifically for the benefit of Aboriginal people in the NT. All applications are reviewed by the ABA Advisory Committee (ABAAC). ABAAC considers applications based on the benefit for Aboriginal people in the NT and then provides advice to the Minister. Members of ABAAC are representatives from across the NT and are nominated by their respective land councils.</w:t>
      </w:r>
    </w:p>
    <w:p w14:paraId="1A0F417B" w14:textId="0633999F" w:rsidR="001D0F1A" w:rsidRPr="00786B07" w:rsidRDefault="001D0F1A" w:rsidP="00016A0C">
      <w:pPr>
        <w:pStyle w:val="Heading3"/>
      </w:pPr>
      <w:r w:rsidRPr="00786B07">
        <w:br w:type="page"/>
      </w:r>
      <w:bookmarkStart w:id="17" w:name="_Toc13727806"/>
      <w:bookmarkStart w:id="18" w:name="_Toc34126554"/>
      <w:r w:rsidRPr="00786B07">
        <w:lastRenderedPageBreak/>
        <w:t>Recommendation 4</w:t>
      </w:r>
      <w:bookmarkEnd w:id="16"/>
      <w:bookmarkEnd w:id="17"/>
      <w:r w:rsidR="00FD3D26">
        <w:t>:</w:t>
      </w:r>
      <w:bookmarkEnd w:id="18"/>
    </w:p>
    <w:p w14:paraId="34DCB4C0" w14:textId="77777777" w:rsidR="00170528" w:rsidRPr="00786B07" w:rsidRDefault="00170528" w:rsidP="00741CDC">
      <w:pPr>
        <w:pStyle w:val="Box"/>
      </w:pPr>
      <w:r w:rsidRPr="00786B07">
        <w:t>The committee recommends that the Australian Government develops an Information Standard for authentic First Nations art in full consultation with First Nations artists and communities and the Indigenous Art Code.</w:t>
      </w:r>
    </w:p>
    <w:p w14:paraId="6B3A4D15" w14:textId="77777777" w:rsidR="001D0F1A" w:rsidRPr="00786B07" w:rsidRDefault="001D0F1A" w:rsidP="001D0F1A">
      <w:r w:rsidRPr="00786B07">
        <w:t xml:space="preserve">The Government </w:t>
      </w:r>
      <w:r w:rsidRPr="00170528">
        <w:rPr>
          <w:b/>
        </w:rPr>
        <w:t>notes this recommendation</w:t>
      </w:r>
      <w:r w:rsidRPr="00786B07">
        <w:t>.</w:t>
      </w:r>
    </w:p>
    <w:p w14:paraId="36AC0355" w14:textId="43B4EDED" w:rsidR="001D0F1A" w:rsidRPr="00786B07" w:rsidRDefault="001D0F1A" w:rsidP="001D0F1A">
      <w:r w:rsidRPr="00786B07">
        <w:t>The report sets out a wide range of potential policy responses to increase demand for authentic Aboriginal and Torres Strait Islander products. The Government supports an education campaign to assist consumers to make informed choices between authentic and inauthentic products</w:t>
      </w:r>
      <w:r w:rsidR="00170528">
        <w:t>.</w:t>
      </w:r>
    </w:p>
    <w:p w14:paraId="0008B284" w14:textId="77777777" w:rsidR="001D0F1A" w:rsidRPr="00786B07" w:rsidRDefault="001D0F1A" w:rsidP="001D0F1A">
      <w:r w:rsidRPr="00786B07">
        <w:t>Further, the Government (through IP Australia) has agreed in-principle to work with Indigenous communities to consider the viability of a certification trade mark (CTM) scheme for authentic products. If well designed and widely adopted by Aboriginal and Torres Strait Islander artists across urban, regional and remote locations, this could give artists the capacity for their product to stand out from imitations, and provide a further basis for a consumer information campaign.</w:t>
      </w:r>
    </w:p>
    <w:p w14:paraId="68B5353D" w14:textId="7A8BD0A8" w:rsidR="001D0F1A" w:rsidRPr="00786B07" w:rsidRDefault="001D0F1A" w:rsidP="001D0F1A">
      <w:r w:rsidRPr="00786B07">
        <w:t xml:space="preserve">The Federal Court judgment in ACCC v </w:t>
      </w:r>
      <w:proofErr w:type="spellStart"/>
      <w:r w:rsidRPr="00786B07">
        <w:t>Birubi</w:t>
      </w:r>
      <w:proofErr w:type="spellEnd"/>
      <w:r w:rsidRPr="00786B07">
        <w:t xml:space="preserve"> Art Pty Ltd [2018] FCA 1595 made clear that the Australian Consumer Law (ACL) prohibits businesses from misleading consumers about the authenticity of goods, even in circumstances where authenticity is implied by symbols and imagery rather than a specific statement that a good is authentic. In June 2019, the Court ordered </w:t>
      </w:r>
      <w:proofErr w:type="spellStart"/>
      <w:r w:rsidRPr="00786B07">
        <w:t>Birubi</w:t>
      </w:r>
      <w:proofErr w:type="spellEnd"/>
      <w:r w:rsidRPr="00786B07">
        <w:t xml:space="preserve"> to pay penalties totalling $2.3 million. The application of the ACL through the judgment has led to the souvenirs / artwork which were the subject of the case now being offered to consumers with fine print labelling giving advice to the effect that the products are made in Indonesia and are hand painted by Indonesian artists following original artworks by an Indigenous artist.</w:t>
      </w:r>
    </w:p>
    <w:p w14:paraId="0AC8435A" w14:textId="77777777" w:rsidR="001D0F1A" w:rsidRPr="00786B07" w:rsidRDefault="001D0F1A" w:rsidP="001D0F1A">
      <w:r w:rsidRPr="00786B07">
        <w:t>The ACCC will undertake compliance initiatives to provide greater clarity and awareness to souvenir wholesalers and retailers about their obligations under the ACL. An information standard remains a longer-term option if other responses are not effective to assist business and consumers to make informed choices.</w:t>
      </w:r>
    </w:p>
    <w:p w14:paraId="3FCC7ACF" w14:textId="77777777" w:rsidR="001D0F1A" w:rsidRPr="00786B07" w:rsidRDefault="001D0F1A" w:rsidP="001D0F1A">
      <w:r w:rsidRPr="00786B07">
        <w:t xml:space="preserve">As part of its consideration of non-regulatory labelling options, the Government has funded a trial to test the viability of using digital labels on authentic Indigenous products to assist consumers to make informed, ethical purchases and to increase economic and cultural opportunities for Aboriginal and Torres Strait Islander artists and designers. </w:t>
      </w:r>
    </w:p>
    <w:p w14:paraId="229029FF" w14:textId="0DC04FC8" w:rsidR="001D0F1A" w:rsidRPr="00786B07" w:rsidRDefault="001D0F1A" w:rsidP="001D0F1A">
      <w:r w:rsidRPr="00786B07">
        <w:t xml:space="preserve">This contemporary approach to labelling is being trialled by </w:t>
      </w:r>
      <w:proofErr w:type="spellStart"/>
      <w:r w:rsidRPr="00786B07">
        <w:t>Desart</w:t>
      </w:r>
      <w:proofErr w:type="spellEnd"/>
      <w:r w:rsidRPr="00786B07">
        <w:t>, the peak body for central Australian Aboriginal art centres. Three Indigenous-owned art centres across the Northern Territory, Western Australia and Queensland are participating in the trial, which commenced on 1</w:t>
      </w:r>
      <w:r w:rsidR="00170528">
        <w:t> July 2019.</w:t>
      </w:r>
    </w:p>
    <w:p w14:paraId="37DA8E01" w14:textId="77777777" w:rsidR="001D0F1A" w:rsidRPr="00786B07" w:rsidRDefault="001D0F1A" w:rsidP="001D0F1A">
      <w:pPr>
        <w:rPr>
          <w:highlight w:val="yellow"/>
        </w:rPr>
      </w:pPr>
      <w:r w:rsidRPr="00786B07">
        <w:t>The digital labels use QR Codes to provide a portal for consumers to obtain provenance and artist information, and can also be used by producers and wholesalers to promote and track products, and promote their organisations. Importantly, art centres using the new QR Code can continue to use their own unique branding, and determine what information is provided to consumers, thereby protecting their market presence and share.</w:t>
      </w:r>
    </w:p>
    <w:p w14:paraId="56868DBC" w14:textId="38E257EA" w:rsidR="001D0F1A" w:rsidRPr="00786B07" w:rsidRDefault="001D0F1A" w:rsidP="001D0F1A">
      <w:r w:rsidRPr="00786B07">
        <w:t>The digital labelling trial is using Stories Art Money (SAM) as its platform. SAM is the national, web-based arts sales and cataloguing system used by around 90 Indigenous art centres, m</w:t>
      </w:r>
      <w:r w:rsidR="00A2184A">
        <w:t>ost in very-remote communities.</w:t>
      </w:r>
    </w:p>
    <w:p w14:paraId="02F8492E" w14:textId="02953881" w:rsidR="001D0F1A" w:rsidRPr="00786B07" w:rsidRDefault="001D0F1A" w:rsidP="001D0F1A">
      <w:r w:rsidRPr="00786B07">
        <w:t xml:space="preserve">To provide consumers with an augmented experience, </w:t>
      </w:r>
      <w:proofErr w:type="spellStart"/>
      <w:r w:rsidRPr="00786B07">
        <w:t>Desart</w:t>
      </w:r>
      <w:proofErr w:type="spellEnd"/>
      <w:r w:rsidRPr="00786B07">
        <w:t xml:space="preserve"> worked with the three art centres participating in the trial to develop content relating to the product, artists or art centre that is activated when the product is scanned.</w:t>
      </w:r>
    </w:p>
    <w:p w14:paraId="745363B4" w14:textId="67A1C56D" w:rsidR="001D0F1A" w:rsidRPr="00786B07" w:rsidRDefault="001D0F1A" w:rsidP="001D0F1A">
      <w:r w:rsidRPr="00786B07">
        <w:t>Digital labelling technologies are a low cost form of self-regulation, and build on existing labelling methods. Following the trial, stage two could involve extending the system to other Indigenous art centres that use SAM.</w:t>
      </w:r>
      <w:bookmarkStart w:id="19" w:name="_Toc514149373"/>
      <w:r w:rsidRPr="00786B07">
        <w:br w:type="page"/>
      </w:r>
    </w:p>
    <w:p w14:paraId="3E24E173" w14:textId="4131C97E" w:rsidR="001D0F1A" w:rsidRPr="00786B07" w:rsidRDefault="001D0F1A" w:rsidP="00016A0C">
      <w:pPr>
        <w:pStyle w:val="Heading3"/>
      </w:pPr>
      <w:bookmarkStart w:id="20" w:name="_Toc13727807"/>
      <w:bookmarkStart w:id="21" w:name="_Toc34126555"/>
      <w:r w:rsidRPr="00786B07">
        <w:lastRenderedPageBreak/>
        <w:t>Recommendation 5</w:t>
      </w:r>
      <w:bookmarkEnd w:id="19"/>
      <w:bookmarkEnd w:id="20"/>
      <w:r w:rsidR="00FD3D26">
        <w:t>:</w:t>
      </w:r>
      <w:bookmarkEnd w:id="21"/>
    </w:p>
    <w:p w14:paraId="1A55CB8D" w14:textId="68BDE566" w:rsidR="00170528" w:rsidRPr="00786B07" w:rsidRDefault="00170528" w:rsidP="00170528">
      <w:pPr>
        <w:pBdr>
          <w:top w:val="single" w:sz="4" w:space="1" w:color="auto"/>
          <w:left w:val="single" w:sz="4" w:space="4" w:color="auto"/>
          <w:bottom w:val="single" w:sz="4" w:space="1" w:color="auto"/>
          <w:right w:val="single" w:sz="4" w:space="4" w:color="auto"/>
        </w:pBdr>
        <w:shd w:val="clear" w:color="auto" w:fill="D5DCE4"/>
      </w:pPr>
      <w:r w:rsidRPr="00786B07">
        <w:t>The committee recommends that the Australian Government develops an information guide on authentic First Nations art to be provided to all arriving passengers at an airport or any other port of entry to Australia, with a preference for a short pre-arrival video presentation.</w:t>
      </w:r>
    </w:p>
    <w:p w14:paraId="4E9B8976" w14:textId="77777777" w:rsidR="001D0F1A" w:rsidRPr="00786B07" w:rsidRDefault="001D0F1A" w:rsidP="001D0F1A">
      <w:r w:rsidRPr="00786B07">
        <w:t xml:space="preserve">The Government </w:t>
      </w:r>
      <w:r w:rsidRPr="00886115">
        <w:rPr>
          <w:b/>
        </w:rPr>
        <w:t>agrees in part to this recommendation</w:t>
      </w:r>
      <w:r w:rsidRPr="00786B07">
        <w:t>.</w:t>
      </w:r>
    </w:p>
    <w:p w14:paraId="3FF544DD" w14:textId="77777777" w:rsidR="001D0F1A" w:rsidRPr="00786B07" w:rsidRDefault="001D0F1A" w:rsidP="001D0F1A">
      <w:r w:rsidRPr="00786B07">
        <w:t>Options will be investigated on how best to guide consumers, including domestic and international tourists, on the purchase of authentic Indigenous products, and on the role of the Australian Consumer Law.</w:t>
      </w:r>
    </w:p>
    <w:p w14:paraId="3F5FB9B0" w14:textId="59F969B2" w:rsidR="001D0F1A" w:rsidRPr="00FD3D26" w:rsidRDefault="001D0F1A" w:rsidP="001D0F1A">
      <w:pPr>
        <w:rPr>
          <w:szCs w:val="20"/>
        </w:rPr>
      </w:pPr>
      <w:r w:rsidRPr="00FD3D26">
        <w:rPr>
          <w:szCs w:val="20"/>
        </w:rPr>
        <w:t>Tourism Australia will disseminate the informa</w:t>
      </w:r>
      <w:r w:rsidR="00741CDC">
        <w:rPr>
          <w:szCs w:val="20"/>
        </w:rPr>
        <w:t>tion on the following channels:</w:t>
      </w:r>
    </w:p>
    <w:p w14:paraId="566361E3" w14:textId="77777777" w:rsidR="001D0F1A" w:rsidRPr="00014943" w:rsidRDefault="001D0F1A" w:rsidP="00886115">
      <w:pPr>
        <w:pStyle w:val="Listparagraphbullets"/>
        <w:rPr>
          <w:sz w:val="20"/>
          <w:szCs w:val="20"/>
        </w:rPr>
      </w:pPr>
      <w:r w:rsidRPr="00014943">
        <w:rPr>
          <w:sz w:val="20"/>
          <w:szCs w:val="20"/>
        </w:rPr>
        <w:t>Essentials industry newsletter story</w:t>
      </w:r>
    </w:p>
    <w:p w14:paraId="6CEDEBC2" w14:textId="2C5DD420" w:rsidR="00886115" w:rsidRPr="00014943" w:rsidRDefault="001D0F1A" w:rsidP="00886115">
      <w:pPr>
        <w:pStyle w:val="Listparagraphbullets"/>
        <w:rPr>
          <w:sz w:val="20"/>
          <w:szCs w:val="20"/>
        </w:rPr>
      </w:pPr>
      <w:r w:rsidRPr="00014943">
        <w:rPr>
          <w:sz w:val="20"/>
          <w:szCs w:val="20"/>
        </w:rPr>
        <w:t>Corporate website</w:t>
      </w:r>
      <w:r w:rsidR="00741CDC">
        <w:rPr>
          <w:sz w:val="20"/>
          <w:szCs w:val="20"/>
        </w:rPr>
        <w:t>—</w:t>
      </w:r>
      <w:r w:rsidRPr="00014943">
        <w:rPr>
          <w:sz w:val="20"/>
          <w:szCs w:val="20"/>
        </w:rPr>
        <w:t>tourism.australia.com</w:t>
      </w:r>
    </w:p>
    <w:p w14:paraId="04D94CEE" w14:textId="30DDDE08" w:rsidR="001D0F1A" w:rsidRPr="00014943" w:rsidRDefault="001D0F1A" w:rsidP="00886115">
      <w:pPr>
        <w:pStyle w:val="Listparagraphbullets"/>
        <w:rPr>
          <w:sz w:val="20"/>
          <w:szCs w:val="20"/>
        </w:rPr>
      </w:pPr>
      <w:r w:rsidRPr="00014943">
        <w:rPr>
          <w:sz w:val="20"/>
          <w:szCs w:val="20"/>
        </w:rPr>
        <w:t>Consumer website</w:t>
      </w:r>
      <w:r w:rsidR="00741CDC">
        <w:rPr>
          <w:sz w:val="20"/>
          <w:szCs w:val="20"/>
        </w:rPr>
        <w:t>—</w:t>
      </w:r>
      <w:r w:rsidRPr="00014943">
        <w:rPr>
          <w:sz w:val="20"/>
          <w:szCs w:val="20"/>
        </w:rPr>
        <w:t>Australia.com</w:t>
      </w:r>
    </w:p>
    <w:p w14:paraId="1F68FA9D" w14:textId="77777777" w:rsidR="001D0F1A" w:rsidRPr="00014943" w:rsidRDefault="001D0F1A" w:rsidP="00886115">
      <w:pPr>
        <w:pStyle w:val="Listparagraphbullets"/>
        <w:rPr>
          <w:sz w:val="20"/>
          <w:szCs w:val="20"/>
        </w:rPr>
      </w:pPr>
      <w:r w:rsidRPr="00014943">
        <w:rPr>
          <w:sz w:val="20"/>
          <w:szCs w:val="20"/>
        </w:rPr>
        <w:t>Aussie Specialist Program Indigenous module</w:t>
      </w:r>
    </w:p>
    <w:p w14:paraId="19631CB3" w14:textId="77777777" w:rsidR="001D0F1A" w:rsidRPr="00014943" w:rsidRDefault="001D0F1A" w:rsidP="00886115">
      <w:pPr>
        <w:pStyle w:val="Listparagraphbullets"/>
        <w:rPr>
          <w:sz w:val="20"/>
          <w:szCs w:val="20"/>
        </w:rPr>
      </w:pPr>
      <w:r w:rsidRPr="00014943">
        <w:rPr>
          <w:sz w:val="20"/>
          <w:szCs w:val="20"/>
        </w:rPr>
        <w:t>Share the information with the States and Territories through the Australian Standing Committee on Tourism.</w:t>
      </w:r>
    </w:p>
    <w:p w14:paraId="0A50B355" w14:textId="2A9AA1A6" w:rsidR="001D0F1A" w:rsidRPr="00786B07" w:rsidRDefault="001D0F1A" w:rsidP="001D0F1A">
      <w:r w:rsidRPr="00786B07">
        <w:t xml:space="preserve">The Aussie Specialist Program Indigenous module is an online training platform about Australia for travel agents around the world. More information can be found here: </w:t>
      </w:r>
      <w:hyperlink r:id="rId14" w:history="1">
        <w:r w:rsidRPr="00786B07">
          <w:rPr>
            <w:rStyle w:val="Hyperlink"/>
          </w:rPr>
          <w:t>www.tourism.australia.com/en/about/our-programs/aussie-specialist-program.html?cid=DM11220&amp;bid=14606604</w:t>
        </w:r>
      </w:hyperlink>
      <w:r w:rsidRPr="00786B07">
        <w:t>.</w:t>
      </w:r>
    </w:p>
    <w:p w14:paraId="54FC6F1D" w14:textId="77777777" w:rsidR="001D0F1A" w:rsidRPr="00786B07" w:rsidRDefault="001D0F1A" w:rsidP="001D0F1A">
      <w:r w:rsidRPr="00786B07">
        <w:t>The Australian Competition and Consumer Commission and the Department of Infrastructure, Transport, Regional Development and Communications will contribute to the development of a Guide for consumers, with a focus on the application of the Australian Consumer Law.</w:t>
      </w:r>
    </w:p>
    <w:p w14:paraId="733F7DF4" w14:textId="4CE63549" w:rsidR="001D0F1A" w:rsidRPr="00786B07" w:rsidRDefault="001D0F1A" w:rsidP="001D0F1A">
      <w:pPr>
        <w:rPr>
          <w:highlight w:val="yellow"/>
        </w:rPr>
      </w:pPr>
      <w:r w:rsidRPr="00786B07">
        <w:t>Guidance material would also be developed if a voluntary certification trade mark scheme for authentic Indigenous products were to be adopted.</w:t>
      </w:r>
    </w:p>
    <w:p w14:paraId="65CFF259" w14:textId="77777777" w:rsidR="001D0F1A" w:rsidRPr="00786B07" w:rsidRDefault="001D0F1A" w:rsidP="001D0F1A">
      <w:bookmarkStart w:id="22" w:name="_Toc514149374"/>
      <w:r w:rsidRPr="00786B07">
        <w:br w:type="page"/>
      </w:r>
    </w:p>
    <w:p w14:paraId="75913225" w14:textId="417F74F6" w:rsidR="001D0F1A" w:rsidRPr="00786B07" w:rsidRDefault="001D0F1A" w:rsidP="00016A0C">
      <w:pPr>
        <w:pStyle w:val="Heading3"/>
      </w:pPr>
      <w:bookmarkStart w:id="23" w:name="_Toc13727808"/>
      <w:bookmarkStart w:id="24" w:name="_Toc34126556"/>
      <w:r w:rsidRPr="00786B07">
        <w:lastRenderedPageBreak/>
        <w:t>Recommendation 6</w:t>
      </w:r>
      <w:bookmarkEnd w:id="22"/>
      <w:bookmarkEnd w:id="23"/>
      <w:r w:rsidR="00FD3D26">
        <w:t>:</w:t>
      </w:r>
      <w:bookmarkEnd w:id="24"/>
    </w:p>
    <w:p w14:paraId="0A6277ED" w14:textId="77777777" w:rsidR="00886115" w:rsidRPr="00786B07" w:rsidRDefault="00886115" w:rsidP="00886115">
      <w:pPr>
        <w:pBdr>
          <w:top w:val="single" w:sz="4" w:space="1" w:color="auto"/>
          <w:left w:val="single" w:sz="4" w:space="4" w:color="auto"/>
          <w:bottom w:val="single" w:sz="4" w:space="1" w:color="auto"/>
          <w:right w:val="single" w:sz="4" w:space="4" w:color="auto"/>
        </w:pBdr>
        <w:shd w:val="clear" w:color="auto" w:fill="D5DCE4"/>
      </w:pPr>
      <w:r w:rsidRPr="00786B07">
        <w:t>The committee recommends that IP Australia develops a Certification Trade Mark scheme for authentic First Nations art and craft in full consultation with all relevant stakeholders</w:t>
      </w:r>
    </w:p>
    <w:p w14:paraId="404381F2" w14:textId="77777777" w:rsidR="001D0F1A" w:rsidRPr="00786B07" w:rsidRDefault="001D0F1A" w:rsidP="001D0F1A">
      <w:r w:rsidRPr="00786B07">
        <w:t xml:space="preserve">The Government </w:t>
      </w:r>
      <w:r w:rsidRPr="00886115">
        <w:rPr>
          <w:b/>
        </w:rPr>
        <w:t>agrees in principle to this recommendation</w:t>
      </w:r>
      <w:r w:rsidRPr="00786B07">
        <w:t>.</w:t>
      </w:r>
    </w:p>
    <w:p w14:paraId="78DD0A7C" w14:textId="77777777" w:rsidR="001D0F1A" w:rsidRPr="00786B07" w:rsidRDefault="001D0F1A" w:rsidP="001D0F1A">
      <w:r w:rsidRPr="00786B07">
        <w:t xml:space="preserve">The Australian Government supports initiatives that enhance the information available to consumers and enable them to make informed purchasing decisions. If well designed and widely adopted, a certification trade mark that indicates provenance and authenticity of Indigenous goods and services could help overcome a number of the problems that have been identified by the Committee. The Government sees value in investigating sector support for such a scheme. </w:t>
      </w:r>
    </w:p>
    <w:p w14:paraId="52E834A0" w14:textId="77777777" w:rsidR="001D0F1A" w:rsidRPr="00786B07" w:rsidRDefault="001D0F1A" w:rsidP="001D0F1A">
      <w:r w:rsidRPr="00786B07">
        <w:t xml:space="preserve">There are differing views among stakeholders on this issue and IP Australia will work with Indigenous communities and industry peak organisations to consider whether a scheme can be developed that recognises and balances these different interests. In investigating this, IP Australia will take into consideration existing voluntary labelling schemes, including the digital labelling scheme that </w:t>
      </w:r>
      <w:proofErr w:type="spellStart"/>
      <w:r w:rsidRPr="00786B07">
        <w:t>Desart</w:t>
      </w:r>
      <w:proofErr w:type="spellEnd"/>
      <w:r w:rsidRPr="00786B07">
        <w:t xml:space="preserve"> is trialling, and other supply chain verification options that could be developed using different technologies.</w:t>
      </w:r>
    </w:p>
    <w:p w14:paraId="3137C873" w14:textId="77777777" w:rsidR="001D0F1A" w:rsidRPr="00786B07" w:rsidRDefault="001D0F1A" w:rsidP="001D0F1A">
      <w:r w:rsidRPr="00786B07">
        <w:br w:type="page"/>
      </w:r>
    </w:p>
    <w:p w14:paraId="4411B3F3" w14:textId="6BAF04A4" w:rsidR="001D0F1A" w:rsidRPr="00786B07" w:rsidRDefault="001D0F1A" w:rsidP="00016A0C">
      <w:pPr>
        <w:pStyle w:val="Heading3"/>
      </w:pPr>
      <w:bookmarkStart w:id="25" w:name="_Toc514149375"/>
      <w:bookmarkStart w:id="26" w:name="_Toc13727809"/>
      <w:bookmarkStart w:id="27" w:name="_Toc34126557"/>
      <w:r w:rsidRPr="00786B07">
        <w:lastRenderedPageBreak/>
        <w:t>Recommendation 7</w:t>
      </w:r>
      <w:bookmarkEnd w:id="25"/>
      <w:bookmarkEnd w:id="26"/>
      <w:r w:rsidR="00FD3D26">
        <w:t>:</w:t>
      </w:r>
      <w:bookmarkEnd w:id="27"/>
    </w:p>
    <w:p w14:paraId="0CC7DFC4" w14:textId="77777777" w:rsidR="00886115" w:rsidRPr="00FD3D26" w:rsidRDefault="00886115" w:rsidP="00886115">
      <w:pPr>
        <w:pBdr>
          <w:top w:val="single" w:sz="4" w:space="1" w:color="auto"/>
          <w:left w:val="single" w:sz="4" w:space="1" w:color="auto"/>
          <w:bottom w:val="single" w:sz="4" w:space="1" w:color="auto"/>
          <w:right w:val="single" w:sz="4" w:space="1" w:color="auto"/>
        </w:pBdr>
        <w:shd w:val="clear" w:color="auto" w:fill="D5DCE4"/>
        <w:rPr>
          <w:szCs w:val="20"/>
        </w:rPr>
      </w:pPr>
      <w:r w:rsidRPr="00FD3D26">
        <w:rPr>
          <w:szCs w:val="20"/>
        </w:rPr>
        <w:t>The committee recommends that additional funding be provided through the Indigenous Visual Arts Industry Support program to:</w:t>
      </w:r>
    </w:p>
    <w:p w14:paraId="6AE02543" w14:textId="77777777" w:rsidR="00886115" w:rsidRPr="00014943" w:rsidRDefault="00886115" w:rsidP="00886115">
      <w:pPr>
        <w:pStyle w:val="Listparagraphbullets"/>
        <w:pBdr>
          <w:top w:val="single" w:sz="4" w:space="1" w:color="auto"/>
          <w:left w:val="single" w:sz="4" w:space="1" w:color="auto"/>
          <w:bottom w:val="single" w:sz="4" w:space="1" w:color="auto"/>
          <w:right w:val="single" w:sz="4" w:space="1" w:color="auto"/>
        </w:pBdr>
        <w:shd w:val="clear" w:color="auto" w:fill="D5DCE4"/>
        <w:rPr>
          <w:sz w:val="20"/>
          <w:szCs w:val="20"/>
        </w:rPr>
      </w:pPr>
      <w:r w:rsidRPr="00014943">
        <w:rPr>
          <w:sz w:val="20"/>
          <w:szCs w:val="20"/>
        </w:rPr>
        <w:t xml:space="preserve">enable First Nations organisations such as art centres to advise and support artists who have been affected by </w:t>
      </w:r>
      <w:proofErr w:type="spellStart"/>
      <w:r w:rsidRPr="00014943">
        <w:rPr>
          <w:sz w:val="20"/>
          <w:szCs w:val="20"/>
        </w:rPr>
        <w:t>carpetbagging</w:t>
      </w:r>
      <w:proofErr w:type="spellEnd"/>
      <w:r w:rsidRPr="00014943">
        <w:rPr>
          <w:sz w:val="20"/>
          <w:szCs w:val="20"/>
        </w:rPr>
        <w:t>; and</w:t>
      </w:r>
    </w:p>
    <w:p w14:paraId="34026AFC" w14:textId="77777777" w:rsidR="00886115" w:rsidRPr="00014943" w:rsidRDefault="00886115" w:rsidP="00886115">
      <w:pPr>
        <w:pStyle w:val="Listparagraphbullets"/>
        <w:pBdr>
          <w:top w:val="single" w:sz="4" w:space="1" w:color="auto"/>
          <w:left w:val="single" w:sz="4" w:space="1" w:color="auto"/>
          <w:bottom w:val="single" w:sz="4" w:space="1" w:color="auto"/>
          <w:right w:val="single" w:sz="4" w:space="1" w:color="auto"/>
        </w:pBdr>
        <w:shd w:val="clear" w:color="auto" w:fill="D5DCE4"/>
        <w:rPr>
          <w:rFonts w:eastAsiaTheme="minorEastAsia"/>
          <w:sz w:val="20"/>
          <w:szCs w:val="20"/>
        </w:rPr>
      </w:pPr>
      <w:proofErr w:type="gramStart"/>
      <w:r w:rsidRPr="00014943">
        <w:rPr>
          <w:sz w:val="20"/>
          <w:szCs w:val="20"/>
        </w:rPr>
        <w:t>work</w:t>
      </w:r>
      <w:proofErr w:type="gramEnd"/>
      <w:r w:rsidRPr="00014943">
        <w:rPr>
          <w:sz w:val="20"/>
          <w:szCs w:val="20"/>
        </w:rPr>
        <w:t xml:space="preserve"> with advisors from the Departments of Social Services, Employment and Prime Minister and Cabinet to plan a detailed program of interactive, financially viable assistance for First Nations artists or individuals who have been abused in this way, including a model to estimate any budgetary implications.</w:t>
      </w:r>
    </w:p>
    <w:p w14:paraId="33025A4A" w14:textId="77777777" w:rsidR="001D0F1A" w:rsidRPr="00786B07" w:rsidRDefault="001D0F1A" w:rsidP="001D0F1A">
      <w:r w:rsidRPr="00786B07">
        <w:t xml:space="preserve">The Government </w:t>
      </w:r>
      <w:r w:rsidRPr="00CD6096">
        <w:rPr>
          <w:b/>
        </w:rPr>
        <w:t>notes this recommendation</w:t>
      </w:r>
      <w:r w:rsidRPr="00786B07">
        <w:t>.</w:t>
      </w:r>
    </w:p>
    <w:p w14:paraId="7C4E88DE" w14:textId="33B97DAE" w:rsidR="001D0F1A" w:rsidRPr="00786B07" w:rsidRDefault="001D0F1A" w:rsidP="001D0F1A">
      <w:r w:rsidRPr="00786B07">
        <w:t xml:space="preserve">The Government acknowledges the significant hardship caused by </w:t>
      </w:r>
      <w:proofErr w:type="spellStart"/>
      <w:r w:rsidRPr="00786B07">
        <w:t>carpetbagging</w:t>
      </w:r>
      <w:proofErr w:type="spellEnd"/>
      <w:r w:rsidRPr="00786B07">
        <w:t>, whereby a dealer takes advantage of an Aboriginal or Torres Strait Islander artist’s need for cash or other goods or services, and offers significantly less tha</w:t>
      </w:r>
      <w:r w:rsidR="00014943">
        <w:t>n market value for an art work.</w:t>
      </w:r>
    </w:p>
    <w:p w14:paraId="6BE5B17E" w14:textId="77777777" w:rsidR="001D0F1A" w:rsidRPr="00FD3D26" w:rsidRDefault="001D0F1A" w:rsidP="00CD6096">
      <w:pPr>
        <w:keepNext/>
        <w:rPr>
          <w:szCs w:val="20"/>
        </w:rPr>
      </w:pPr>
      <w:r w:rsidRPr="00786B07">
        <w:t>The outcomes sought through the Government’s Indigenous Visual Arts Industry Support (IVAIS) program are:</w:t>
      </w:r>
    </w:p>
    <w:p w14:paraId="65D730EC" w14:textId="77777777" w:rsidR="001D0F1A" w:rsidRPr="00014943" w:rsidRDefault="001D0F1A" w:rsidP="00CD6096">
      <w:pPr>
        <w:pStyle w:val="Listparagraphbullets"/>
        <w:rPr>
          <w:sz w:val="20"/>
          <w:szCs w:val="20"/>
        </w:rPr>
      </w:pPr>
      <w:r w:rsidRPr="00014943">
        <w:rPr>
          <w:sz w:val="20"/>
          <w:szCs w:val="20"/>
        </w:rPr>
        <w:t>a professional, viable and ethical Indigenous visual arts industry that features strong participation and provides economic opportunities for Aboriginal and Torres Strait Islander people</w:t>
      </w:r>
    </w:p>
    <w:p w14:paraId="0B7CBB35" w14:textId="77777777" w:rsidR="001D0F1A" w:rsidRPr="00014943" w:rsidRDefault="001D0F1A" w:rsidP="00CD6096">
      <w:pPr>
        <w:pStyle w:val="Listparagraphbullets"/>
        <w:rPr>
          <w:sz w:val="20"/>
          <w:szCs w:val="20"/>
        </w:rPr>
      </w:pPr>
      <w:proofErr w:type="gramStart"/>
      <w:r w:rsidRPr="00014943">
        <w:rPr>
          <w:sz w:val="20"/>
          <w:szCs w:val="20"/>
        </w:rPr>
        <w:t>the</w:t>
      </w:r>
      <w:proofErr w:type="gramEnd"/>
      <w:r w:rsidRPr="00014943">
        <w:rPr>
          <w:sz w:val="20"/>
          <w:szCs w:val="20"/>
        </w:rPr>
        <w:t xml:space="preserve"> continued production, exhibition, critique, purchase and collection of Indigenous visual art.</w:t>
      </w:r>
    </w:p>
    <w:p w14:paraId="4B26A231" w14:textId="77777777" w:rsidR="001D0F1A" w:rsidRPr="00786B07" w:rsidRDefault="001D0F1A" w:rsidP="001D0F1A">
      <w:r w:rsidRPr="00786B07">
        <w:t>Each year, the IVAIS program contributes over $22.9 million (incl. GST) towards the operations of around 80 Indigenous</w:t>
      </w:r>
      <w:r w:rsidRPr="00786B07">
        <w:noBreakHyphen/>
        <w:t xml:space="preserve">owned art centres, and a number of art fairs, regional hubs and service organisations that are at the heart of Australia’s internationally renowned Indigenous visual art movement. Approximately $2.7 million (incl. GST) of the annual IVAIS budget is provided to seven service organisations that support artists and art centres, and work to raise professional and ethical standards across the industry. </w:t>
      </w:r>
    </w:p>
    <w:p w14:paraId="242905A6" w14:textId="77777777" w:rsidR="001D0F1A" w:rsidRPr="00786B07" w:rsidRDefault="001D0F1A" w:rsidP="001D0F1A">
      <w:r w:rsidRPr="00786B07">
        <w:t>The Indigenous Art Code (the Code) establishes standards for commercial dealings between dealers and Aboriginal and Torres Strait Islander artists to support fair and ethical trade in artwork, transparency in the process of promotion and sale of artwork, and that disputes arising under the Code are dealt with efficiently and fairly. It also has a role in educating artists, art centre staff and art dealers to encourage best practice in commercial dealings.</w:t>
      </w:r>
    </w:p>
    <w:p w14:paraId="54CA6E98" w14:textId="77777777" w:rsidR="001D0F1A" w:rsidRPr="00786B07" w:rsidRDefault="001D0F1A" w:rsidP="001D0F1A">
      <w:r w:rsidRPr="00786B07">
        <w:t xml:space="preserve">Arts Laws Centre of Australia’s (Arts Law) </w:t>
      </w:r>
      <w:r w:rsidRPr="00014943">
        <w:rPr>
          <w:i/>
        </w:rPr>
        <w:t>Artists in the Black</w:t>
      </w:r>
      <w:r w:rsidRPr="00786B07">
        <w:t xml:space="preserve"> program provides specialised free or low-cost tailored legal assistance for Aboriginal and Torres Strait Islander artists. This includes brokering significant pro-bono legal support for more complex cases and the Adopt a Lawyer program for art centres.  </w:t>
      </w:r>
    </w:p>
    <w:p w14:paraId="7501AD62" w14:textId="77777777" w:rsidR="001D0F1A" w:rsidRPr="00786B07" w:rsidRDefault="001D0F1A" w:rsidP="001D0F1A">
      <w:r w:rsidRPr="00786B07">
        <w:t xml:space="preserve">In addition to the tailored support offered by the Code and the Arts Law respectively in relation to ethical dealing and legal matters, five other Indigenous-owned and governed service organisations provide regionally specific professional development, training, referrals and advice to address endemic problems. </w:t>
      </w:r>
    </w:p>
    <w:p w14:paraId="5C658595" w14:textId="2E33B17D" w:rsidR="001D0F1A" w:rsidRPr="00786B07" w:rsidRDefault="001D0F1A" w:rsidP="001D0F1A">
      <w:r w:rsidRPr="00786B07">
        <w:t xml:space="preserve">These organisations play a pivotal role in supporting artists and professional arts practice and include </w:t>
      </w:r>
      <w:proofErr w:type="spellStart"/>
      <w:r w:rsidRPr="00786B07">
        <w:t>Desart</w:t>
      </w:r>
      <w:proofErr w:type="spellEnd"/>
      <w:r w:rsidRPr="00786B07">
        <w:t xml:space="preserve"> and the Arnhem, Northern and Kimberley Artists Aboriginal Corporation (ANKA) in the Northern Territory, the Indigenous Art Centre Alliance in Far North Queensland, </w:t>
      </w:r>
      <w:proofErr w:type="spellStart"/>
      <w:r w:rsidRPr="00786B07">
        <w:t>Ananguku</w:t>
      </w:r>
      <w:proofErr w:type="spellEnd"/>
      <w:r w:rsidRPr="00786B07">
        <w:t xml:space="preserve"> Arts in South Australia and the Aboriginal Art Centre Hub of Western Australia. A number of these organisations received additional one-off funding in 2018</w:t>
      </w:r>
      <w:r w:rsidR="00014943">
        <w:t>–</w:t>
      </w:r>
      <w:r w:rsidR="00D846EE">
        <w:t>20</w:t>
      </w:r>
      <w:r w:rsidRPr="00786B07">
        <w:t xml:space="preserve">19 to support marketing and promotional opportunities for their member art centres.  </w:t>
      </w:r>
    </w:p>
    <w:p w14:paraId="696B4351" w14:textId="529F1927" w:rsidR="001D0F1A" w:rsidRPr="00786B07" w:rsidRDefault="001D0F1A" w:rsidP="001D0F1A">
      <w:r w:rsidRPr="00786B07">
        <w:t>The IVAIS funded network of Indigenous art centres and service organisations provides significant support and protection for artists in relation to unethical dealing. The Department of Infrastructure, Transport, Regional Development and Communications will continue to work with this group to identify any further action that can be taken in relation to this issue.</w:t>
      </w:r>
      <w:bookmarkStart w:id="28" w:name="_Toc514149376"/>
      <w:r w:rsidRPr="00786B07">
        <w:br w:type="page"/>
      </w:r>
    </w:p>
    <w:p w14:paraId="18A9A6BE" w14:textId="421A65D5" w:rsidR="001D0F1A" w:rsidRPr="00786B07" w:rsidRDefault="001D0F1A" w:rsidP="00016A0C">
      <w:pPr>
        <w:pStyle w:val="Heading3"/>
      </w:pPr>
      <w:bookmarkStart w:id="29" w:name="_Toc13727810"/>
      <w:bookmarkStart w:id="30" w:name="_Toc34126558"/>
      <w:r w:rsidRPr="00786B07">
        <w:lastRenderedPageBreak/>
        <w:t>Recommendation 8</w:t>
      </w:r>
      <w:bookmarkEnd w:id="28"/>
      <w:bookmarkEnd w:id="29"/>
      <w:r w:rsidR="00FD3D26">
        <w:t>:</w:t>
      </w:r>
      <w:bookmarkEnd w:id="30"/>
    </w:p>
    <w:p w14:paraId="395652C2" w14:textId="36434C16" w:rsidR="00D4731D" w:rsidRPr="00786B07" w:rsidRDefault="00D4731D" w:rsidP="00D4731D">
      <w:pPr>
        <w:pBdr>
          <w:top w:val="single" w:sz="4" w:space="1" w:color="auto"/>
          <w:left w:val="single" w:sz="4" w:space="4" w:color="auto"/>
          <w:bottom w:val="single" w:sz="4" w:space="1" w:color="auto"/>
          <w:right w:val="single" w:sz="4" w:space="4" w:color="auto"/>
        </w:pBdr>
        <w:shd w:val="clear" w:color="auto" w:fill="D5DCE4"/>
      </w:pPr>
      <w:r w:rsidRPr="00786B07">
        <w:t>The committee recommends that the Australian Government begins a consultation process to develop stand-alone legislation protecting Indigenous Cultural Intellectual Property, including traditional know</w:t>
      </w:r>
      <w:r w:rsidR="00741CDC">
        <w:t>ledge and cultural expressions.</w:t>
      </w:r>
    </w:p>
    <w:p w14:paraId="3FB1A741" w14:textId="77777777" w:rsidR="00D4731D" w:rsidRPr="00786B07" w:rsidRDefault="00D4731D" w:rsidP="00D4731D">
      <w:pPr>
        <w:pBdr>
          <w:top w:val="single" w:sz="4" w:space="1" w:color="auto"/>
          <w:left w:val="single" w:sz="4" w:space="4" w:color="auto"/>
          <w:bottom w:val="single" w:sz="4" w:space="1" w:color="auto"/>
          <w:right w:val="single" w:sz="4" w:space="4" w:color="auto"/>
        </w:pBdr>
        <w:shd w:val="clear" w:color="auto" w:fill="D5DCE4"/>
      </w:pPr>
      <w:r w:rsidRPr="00786B07">
        <w:t>The committee is mindful of the current Australia Council inquiry into the feasibility of a National Indigenous Art and Cultural Authority. The committee fully supports the establishment of this body and recommends that it be part of the consultation process.</w:t>
      </w:r>
    </w:p>
    <w:p w14:paraId="016FC59A" w14:textId="77777777" w:rsidR="001D0F1A" w:rsidRPr="00786B07" w:rsidRDefault="001D0F1A" w:rsidP="001D0F1A">
      <w:r w:rsidRPr="00786B07">
        <w:t xml:space="preserve">The Government </w:t>
      </w:r>
      <w:r w:rsidRPr="00D4731D">
        <w:rPr>
          <w:b/>
        </w:rPr>
        <w:t>agrees to this recommendation</w:t>
      </w:r>
      <w:r w:rsidRPr="00786B07">
        <w:t>.</w:t>
      </w:r>
    </w:p>
    <w:p w14:paraId="693A5D7D" w14:textId="77777777" w:rsidR="001D0F1A" w:rsidRPr="00786B07" w:rsidRDefault="001D0F1A" w:rsidP="001D0F1A">
      <w:r w:rsidRPr="00786B07">
        <w:t xml:space="preserve">The Government recognises that the misappropriation of Indigenous knowledge and cultural expressions causes significant offence to Indigenous communities and damage to Indigenous culture and identity. Existing intellectual property (IP) laws provide certain types of protection in specific circumstances, enabling people to earn economic benefits from, and to be recognised for, their innovation and creativity. IP laws focus on individual ownership and do not reflect the emphasis of custodianship over proprietorship that is fundamental within Indigenous culture. </w:t>
      </w:r>
    </w:p>
    <w:p w14:paraId="411D8CE9" w14:textId="450142FF" w:rsidR="001D0F1A" w:rsidRPr="00786B07" w:rsidRDefault="001D0F1A" w:rsidP="001D0F1A">
      <w:r w:rsidRPr="00786B07">
        <w:t>As noted by the Committee, developing stand-alone legislation would be a complex and long-term project, requiring significant engagement and consultation with Indigenous communities. The Government considers that further work is needed to assess the scope and feasibility of new legislation before the recommended consultation process could be commenced. The Government has asked the Intellectual Property Policy Group (IPPG), which coordinates IP policy development across government, to und</w:t>
      </w:r>
      <w:r w:rsidR="00D4731D">
        <w:t>ertake this further assessment.</w:t>
      </w:r>
    </w:p>
    <w:p w14:paraId="759F580C" w14:textId="77777777" w:rsidR="001D0F1A" w:rsidRPr="00786B07" w:rsidRDefault="001D0F1A" w:rsidP="001D0F1A">
      <w:r w:rsidRPr="00786B07">
        <w:t>The Australia Council is providing interim secretariat support to the First Nations arts sector for the development of a National Indigenous Art and Cultural Authority (NIACA), including the facilitation of a national consultation process. In 2019, the consultation process included an online survey, a consultation paper and written submissions, consultation forums and regional summits. In 2020, expert roundtables are scheduled to conclude in June. The consultation process will feed into a national summit on First Nations arts and culture scheduled for October 2020. The IPPG’s scope and feasibility assessment will take into account the Australia Council for the Arts’ consultation on a NIACA.</w:t>
      </w:r>
    </w:p>
    <w:sectPr w:rsidR="001D0F1A" w:rsidRPr="00786B07" w:rsidSect="00170528">
      <w:footerReference w:type="first" r:id="rId15"/>
      <w:pgSz w:w="11906" w:h="16838"/>
      <w:pgMar w:top="1418" w:right="1133" w:bottom="851" w:left="1440" w:header="510"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ED4C9" w14:textId="77777777" w:rsidR="00EB374C" w:rsidRDefault="00EB374C" w:rsidP="002117E6">
      <w:pPr>
        <w:spacing w:after="0"/>
      </w:pPr>
      <w:r>
        <w:separator/>
      </w:r>
    </w:p>
  </w:endnote>
  <w:endnote w:type="continuationSeparator" w:id="0">
    <w:p w14:paraId="1CFEBD5C" w14:textId="77777777" w:rsidR="00EB374C" w:rsidRDefault="00EB374C"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504795"/>
      <w:docPartObj>
        <w:docPartGallery w:val="Page Numbers (Bottom of Page)"/>
        <w:docPartUnique/>
      </w:docPartObj>
    </w:sdtPr>
    <w:sdtEndPr>
      <w:rPr>
        <w:noProof/>
      </w:rPr>
    </w:sdtEndPr>
    <w:sdtContent>
      <w:p w14:paraId="3A9C5BE9" w14:textId="77777777" w:rsidR="00F85D1B" w:rsidRDefault="00F85D1B" w:rsidP="00CA4F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682289"/>
      <w:docPartObj>
        <w:docPartGallery w:val="Page Numbers (Bottom of Page)"/>
        <w:docPartUnique/>
      </w:docPartObj>
    </w:sdtPr>
    <w:sdtEndPr>
      <w:rPr>
        <w:noProof/>
      </w:rPr>
    </w:sdtEndPr>
    <w:sdtContent>
      <w:p w14:paraId="67FD7653" w14:textId="3A0CD812" w:rsidR="00F85D1B" w:rsidRDefault="00F85D1B" w:rsidP="00CA4FC9">
        <w:pPr>
          <w:pStyle w:val="Footer"/>
          <w:jc w:val="right"/>
        </w:pPr>
        <w:r>
          <w:fldChar w:fldCharType="begin"/>
        </w:r>
        <w:r>
          <w:instrText xml:space="preserve"> PAGE   \* MERGEFORMAT </w:instrText>
        </w:r>
        <w:r>
          <w:fldChar w:fldCharType="separate"/>
        </w:r>
        <w:r w:rsidR="00BE1FD7">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707307"/>
      <w:docPartObj>
        <w:docPartGallery w:val="Page Numbers (Bottom of Page)"/>
        <w:docPartUnique/>
      </w:docPartObj>
    </w:sdtPr>
    <w:sdtEndPr>
      <w:rPr>
        <w:noProof/>
      </w:rPr>
    </w:sdtEndPr>
    <w:sdtContent>
      <w:p w14:paraId="0879DD5B" w14:textId="076E5681" w:rsidR="00F85D1B" w:rsidRDefault="00F85D1B" w:rsidP="00CA4FC9">
        <w:pPr>
          <w:pStyle w:val="Footer"/>
          <w:jc w:val="right"/>
        </w:pPr>
        <w:r>
          <w:fldChar w:fldCharType="begin"/>
        </w:r>
        <w:r>
          <w:instrText xml:space="preserve"> PAGE   \* MERGEFORMAT </w:instrText>
        </w:r>
        <w:r>
          <w:fldChar w:fldCharType="separate"/>
        </w:r>
        <w:r w:rsidR="00BE1FD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F8ADD" w14:textId="77777777" w:rsidR="00EB374C" w:rsidRDefault="00EB374C" w:rsidP="002117E6">
      <w:pPr>
        <w:spacing w:after="0"/>
      </w:pPr>
      <w:r>
        <w:separator/>
      </w:r>
    </w:p>
  </w:footnote>
  <w:footnote w:type="continuationSeparator" w:id="0">
    <w:p w14:paraId="2603528C" w14:textId="77777777" w:rsidR="00EB374C" w:rsidRDefault="00EB374C" w:rsidP="002117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5BE5222"/>
    <w:lvl w:ilvl="0">
      <w:start w:val="1"/>
      <w:numFmt w:val="decimal"/>
      <w:pStyle w:val="ListNumber"/>
      <w:lvlText w:val="%1."/>
      <w:lvlJc w:val="left"/>
      <w:pPr>
        <w:tabs>
          <w:tab w:val="num" w:pos="360"/>
        </w:tabs>
        <w:ind w:left="360" w:hanging="360"/>
      </w:pPr>
      <w:rPr>
        <w:b w:val="0"/>
        <w:color w:val="auto"/>
      </w:rPr>
    </w:lvl>
  </w:abstractNum>
  <w:abstractNum w:abstractNumId="1" w15:restartNumberingAfterBreak="0">
    <w:nsid w:val="00000402"/>
    <w:multiLevelType w:val="multilevel"/>
    <w:tmpl w:val="00000885"/>
    <w:lvl w:ilvl="0">
      <w:start w:val="1"/>
      <w:numFmt w:val="decimal"/>
      <w:lvlText w:val="%1"/>
      <w:lvlJc w:val="left"/>
      <w:pPr>
        <w:ind w:hanging="850"/>
      </w:pPr>
    </w:lvl>
    <w:lvl w:ilvl="1">
      <w:start w:val="1"/>
      <w:numFmt w:val="decimal"/>
      <w:lvlText w:val="%1.%2"/>
      <w:lvlJc w:val="left"/>
      <w:pPr>
        <w:ind w:hanging="850"/>
      </w:pPr>
      <w:rPr>
        <w:rFonts w:ascii="Times New Roman" w:hAnsi="Times New Roman" w:cs="Times New Roman"/>
        <w:b w:val="0"/>
        <w:bCs w:val="0"/>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D2542B"/>
    <w:multiLevelType w:val="hybridMultilevel"/>
    <w:tmpl w:val="1FDE067C"/>
    <w:lvl w:ilvl="0" w:tplc="FFFAA1D6">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F446364"/>
    <w:multiLevelType w:val="hybridMultilevel"/>
    <w:tmpl w:val="9552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46712"/>
    <w:multiLevelType w:val="hybridMultilevel"/>
    <w:tmpl w:val="E2F460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F01FE"/>
    <w:multiLevelType w:val="hybridMultilevel"/>
    <w:tmpl w:val="1EAC1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E92756"/>
    <w:multiLevelType w:val="hybridMultilevel"/>
    <w:tmpl w:val="8AA67B3C"/>
    <w:lvl w:ilvl="0" w:tplc="4FC6B1C6">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1B57C1"/>
    <w:multiLevelType w:val="hybridMultilevel"/>
    <w:tmpl w:val="C352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935523"/>
    <w:multiLevelType w:val="hybridMultilevel"/>
    <w:tmpl w:val="E17AA5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37656B42"/>
    <w:multiLevelType w:val="hybridMultilevel"/>
    <w:tmpl w:val="121AF0C6"/>
    <w:lvl w:ilvl="0" w:tplc="C2586334">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22"/>
        </w:tabs>
        <w:ind w:left="22" w:hanging="360"/>
      </w:pPr>
      <w:rPr>
        <w:rFonts w:ascii="Courier New" w:hAnsi="Courier New" w:cs="Courier New" w:hint="default"/>
      </w:rPr>
    </w:lvl>
    <w:lvl w:ilvl="2" w:tplc="0C090005">
      <w:start w:val="1"/>
      <w:numFmt w:val="bullet"/>
      <w:lvlText w:val=""/>
      <w:lvlJc w:val="left"/>
      <w:pPr>
        <w:tabs>
          <w:tab w:val="num" w:pos="742"/>
        </w:tabs>
        <w:ind w:left="742" w:hanging="360"/>
      </w:pPr>
      <w:rPr>
        <w:rFonts w:ascii="Wingdings" w:hAnsi="Wingdings" w:hint="default"/>
      </w:rPr>
    </w:lvl>
    <w:lvl w:ilvl="3" w:tplc="0C090001" w:tentative="1">
      <w:start w:val="1"/>
      <w:numFmt w:val="bullet"/>
      <w:lvlText w:val=""/>
      <w:lvlJc w:val="left"/>
      <w:pPr>
        <w:tabs>
          <w:tab w:val="num" w:pos="1462"/>
        </w:tabs>
        <w:ind w:left="1462" w:hanging="360"/>
      </w:pPr>
      <w:rPr>
        <w:rFonts w:ascii="Symbol" w:hAnsi="Symbol" w:hint="default"/>
      </w:rPr>
    </w:lvl>
    <w:lvl w:ilvl="4" w:tplc="0C090003" w:tentative="1">
      <w:start w:val="1"/>
      <w:numFmt w:val="bullet"/>
      <w:lvlText w:val="o"/>
      <w:lvlJc w:val="left"/>
      <w:pPr>
        <w:tabs>
          <w:tab w:val="num" w:pos="2182"/>
        </w:tabs>
        <w:ind w:left="2182" w:hanging="360"/>
      </w:pPr>
      <w:rPr>
        <w:rFonts w:ascii="Courier New" w:hAnsi="Courier New" w:cs="Courier New" w:hint="default"/>
      </w:rPr>
    </w:lvl>
    <w:lvl w:ilvl="5" w:tplc="0C090005" w:tentative="1">
      <w:start w:val="1"/>
      <w:numFmt w:val="bullet"/>
      <w:lvlText w:val=""/>
      <w:lvlJc w:val="left"/>
      <w:pPr>
        <w:tabs>
          <w:tab w:val="num" w:pos="2902"/>
        </w:tabs>
        <w:ind w:left="2902" w:hanging="360"/>
      </w:pPr>
      <w:rPr>
        <w:rFonts w:ascii="Wingdings" w:hAnsi="Wingdings" w:hint="default"/>
      </w:rPr>
    </w:lvl>
    <w:lvl w:ilvl="6" w:tplc="0C090001" w:tentative="1">
      <w:start w:val="1"/>
      <w:numFmt w:val="bullet"/>
      <w:lvlText w:val=""/>
      <w:lvlJc w:val="left"/>
      <w:pPr>
        <w:tabs>
          <w:tab w:val="num" w:pos="3622"/>
        </w:tabs>
        <w:ind w:left="3622" w:hanging="360"/>
      </w:pPr>
      <w:rPr>
        <w:rFonts w:ascii="Symbol" w:hAnsi="Symbol" w:hint="default"/>
      </w:rPr>
    </w:lvl>
    <w:lvl w:ilvl="7" w:tplc="0C090003" w:tentative="1">
      <w:start w:val="1"/>
      <w:numFmt w:val="bullet"/>
      <w:lvlText w:val="o"/>
      <w:lvlJc w:val="left"/>
      <w:pPr>
        <w:tabs>
          <w:tab w:val="num" w:pos="4342"/>
        </w:tabs>
        <w:ind w:left="4342" w:hanging="360"/>
      </w:pPr>
      <w:rPr>
        <w:rFonts w:ascii="Courier New" w:hAnsi="Courier New" w:cs="Courier New" w:hint="default"/>
      </w:rPr>
    </w:lvl>
    <w:lvl w:ilvl="8" w:tplc="0C090005" w:tentative="1">
      <w:start w:val="1"/>
      <w:numFmt w:val="bullet"/>
      <w:lvlText w:val=""/>
      <w:lvlJc w:val="left"/>
      <w:pPr>
        <w:tabs>
          <w:tab w:val="num" w:pos="5062"/>
        </w:tabs>
        <w:ind w:left="5062" w:hanging="360"/>
      </w:pPr>
      <w:rPr>
        <w:rFonts w:ascii="Wingdings" w:hAnsi="Wingdings" w:hint="default"/>
      </w:rPr>
    </w:lvl>
  </w:abstractNum>
  <w:abstractNum w:abstractNumId="12" w15:restartNumberingAfterBreak="0">
    <w:nsid w:val="41D377F1"/>
    <w:multiLevelType w:val="hybridMultilevel"/>
    <w:tmpl w:val="4968A03E"/>
    <w:lvl w:ilvl="0" w:tplc="0C090001">
      <w:start w:val="1"/>
      <w:numFmt w:val="bullet"/>
      <w:lvlText w:val=""/>
      <w:lvlJc w:val="left"/>
      <w:pPr>
        <w:ind w:left="1103" w:hanging="360"/>
      </w:pPr>
      <w:rPr>
        <w:rFonts w:ascii="Symbol" w:hAnsi="Symbol" w:hint="default"/>
      </w:rPr>
    </w:lvl>
    <w:lvl w:ilvl="1" w:tplc="0C090003" w:tentative="1">
      <w:start w:val="1"/>
      <w:numFmt w:val="bullet"/>
      <w:lvlText w:val="o"/>
      <w:lvlJc w:val="left"/>
      <w:pPr>
        <w:ind w:left="1823" w:hanging="360"/>
      </w:pPr>
      <w:rPr>
        <w:rFonts w:ascii="Courier New" w:hAnsi="Courier New" w:cs="Courier New" w:hint="default"/>
      </w:rPr>
    </w:lvl>
    <w:lvl w:ilvl="2" w:tplc="0C090005" w:tentative="1">
      <w:start w:val="1"/>
      <w:numFmt w:val="bullet"/>
      <w:lvlText w:val=""/>
      <w:lvlJc w:val="left"/>
      <w:pPr>
        <w:ind w:left="2543" w:hanging="360"/>
      </w:pPr>
      <w:rPr>
        <w:rFonts w:ascii="Wingdings" w:hAnsi="Wingdings" w:hint="default"/>
      </w:rPr>
    </w:lvl>
    <w:lvl w:ilvl="3" w:tplc="0C090001" w:tentative="1">
      <w:start w:val="1"/>
      <w:numFmt w:val="bullet"/>
      <w:lvlText w:val=""/>
      <w:lvlJc w:val="left"/>
      <w:pPr>
        <w:ind w:left="3263" w:hanging="360"/>
      </w:pPr>
      <w:rPr>
        <w:rFonts w:ascii="Symbol" w:hAnsi="Symbol" w:hint="default"/>
      </w:rPr>
    </w:lvl>
    <w:lvl w:ilvl="4" w:tplc="0C090003" w:tentative="1">
      <w:start w:val="1"/>
      <w:numFmt w:val="bullet"/>
      <w:lvlText w:val="o"/>
      <w:lvlJc w:val="left"/>
      <w:pPr>
        <w:ind w:left="3983" w:hanging="360"/>
      </w:pPr>
      <w:rPr>
        <w:rFonts w:ascii="Courier New" w:hAnsi="Courier New" w:cs="Courier New" w:hint="default"/>
      </w:rPr>
    </w:lvl>
    <w:lvl w:ilvl="5" w:tplc="0C090005" w:tentative="1">
      <w:start w:val="1"/>
      <w:numFmt w:val="bullet"/>
      <w:lvlText w:val=""/>
      <w:lvlJc w:val="left"/>
      <w:pPr>
        <w:ind w:left="4703" w:hanging="360"/>
      </w:pPr>
      <w:rPr>
        <w:rFonts w:ascii="Wingdings" w:hAnsi="Wingdings" w:hint="default"/>
      </w:rPr>
    </w:lvl>
    <w:lvl w:ilvl="6" w:tplc="0C090001" w:tentative="1">
      <w:start w:val="1"/>
      <w:numFmt w:val="bullet"/>
      <w:lvlText w:val=""/>
      <w:lvlJc w:val="left"/>
      <w:pPr>
        <w:ind w:left="5423" w:hanging="360"/>
      </w:pPr>
      <w:rPr>
        <w:rFonts w:ascii="Symbol" w:hAnsi="Symbol" w:hint="default"/>
      </w:rPr>
    </w:lvl>
    <w:lvl w:ilvl="7" w:tplc="0C090003" w:tentative="1">
      <w:start w:val="1"/>
      <w:numFmt w:val="bullet"/>
      <w:lvlText w:val="o"/>
      <w:lvlJc w:val="left"/>
      <w:pPr>
        <w:ind w:left="6143" w:hanging="360"/>
      </w:pPr>
      <w:rPr>
        <w:rFonts w:ascii="Courier New" w:hAnsi="Courier New" w:cs="Courier New" w:hint="default"/>
      </w:rPr>
    </w:lvl>
    <w:lvl w:ilvl="8" w:tplc="0C090005" w:tentative="1">
      <w:start w:val="1"/>
      <w:numFmt w:val="bullet"/>
      <w:lvlText w:val=""/>
      <w:lvlJc w:val="left"/>
      <w:pPr>
        <w:ind w:left="6863" w:hanging="360"/>
      </w:pPr>
      <w:rPr>
        <w:rFonts w:ascii="Wingdings" w:hAnsi="Wingdings" w:hint="default"/>
      </w:rPr>
    </w:lvl>
  </w:abstractNum>
  <w:abstractNum w:abstractNumId="13" w15:restartNumberingAfterBreak="0">
    <w:nsid w:val="468936BE"/>
    <w:multiLevelType w:val="hybridMultilevel"/>
    <w:tmpl w:val="B6F21792"/>
    <w:lvl w:ilvl="0" w:tplc="04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48594D7E"/>
    <w:multiLevelType w:val="hybridMultilevel"/>
    <w:tmpl w:val="08BC90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D672384"/>
    <w:multiLevelType w:val="hybridMultilevel"/>
    <w:tmpl w:val="8968C134"/>
    <w:lvl w:ilvl="0" w:tplc="954AA94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DB850A8"/>
    <w:multiLevelType w:val="hybridMultilevel"/>
    <w:tmpl w:val="8E68CBC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591B3B"/>
    <w:multiLevelType w:val="hybridMultilevel"/>
    <w:tmpl w:val="D67AC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17C3B8B"/>
    <w:multiLevelType w:val="hybridMultilevel"/>
    <w:tmpl w:val="25EE88F2"/>
    <w:lvl w:ilvl="0" w:tplc="954AA9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A07054"/>
    <w:multiLevelType w:val="hybridMultilevel"/>
    <w:tmpl w:val="4A3670A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7E07099"/>
    <w:multiLevelType w:val="hybridMultilevel"/>
    <w:tmpl w:val="DDCA3242"/>
    <w:lvl w:ilvl="0" w:tplc="805AA444">
      <w:start w:val="1"/>
      <w:numFmt w:val="bullet"/>
      <w:lvlText w:val=""/>
      <w:lvlJc w:val="left"/>
      <w:pPr>
        <w:ind w:left="360" w:hanging="360"/>
      </w:pPr>
      <w:rPr>
        <w:rFonts w:ascii="Symbol" w:hAnsi="Symbol" w:hint="default"/>
      </w:rPr>
    </w:lvl>
    <w:lvl w:ilvl="1" w:tplc="5F08128A" w:tentative="1">
      <w:start w:val="1"/>
      <w:numFmt w:val="bullet"/>
      <w:lvlText w:val="o"/>
      <w:lvlJc w:val="left"/>
      <w:pPr>
        <w:ind w:left="1080" w:hanging="360"/>
      </w:pPr>
      <w:rPr>
        <w:rFonts w:ascii="Courier New" w:hAnsi="Courier New" w:cs="Courier New" w:hint="default"/>
      </w:rPr>
    </w:lvl>
    <w:lvl w:ilvl="2" w:tplc="742661E4" w:tentative="1">
      <w:start w:val="1"/>
      <w:numFmt w:val="bullet"/>
      <w:lvlText w:val=""/>
      <w:lvlJc w:val="left"/>
      <w:pPr>
        <w:ind w:left="1800" w:hanging="360"/>
      </w:pPr>
      <w:rPr>
        <w:rFonts w:ascii="Wingdings" w:hAnsi="Wingdings" w:hint="default"/>
      </w:rPr>
    </w:lvl>
    <w:lvl w:ilvl="3" w:tplc="E8BADA62" w:tentative="1">
      <w:start w:val="1"/>
      <w:numFmt w:val="bullet"/>
      <w:lvlText w:val=""/>
      <w:lvlJc w:val="left"/>
      <w:pPr>
        <w:ind w:left="2520" w:hanging="360"/>
      </w:pPr>
      <w:rPr>
        <w:rFonts w:ascii="Symbol" w:hAnsi="Symbol" w:hint="default"/>
      </w:rPr>
    </w:lvl>
    <w:lvl w:ilvl="4" w:tplc="9E327C08" w:tentative="1">
      <w:start w:val="1"/>
      <w:numFmt w:val="bullet"/>
      <w:lvlText w:val="o"/>
      <w:lvlJc w:val="left"/>
      <w:pPr>
        <w:ind w:left="3240" w:hanging="360"/>
      </w:pPr>
      <w:rPr>
        <w:rFonts w:ascii="Courier New" w:hAnsi="Courier New" w:cs="Courier New" w:hint="default"/>
      </w:rPr>
    </w:lvl>
    <w:lvl w:ilvl="5" w:tplc="A7364F42" w:tentative="1">
      <w:start w:val="1"/>
      <w:numFmt w:val="bullet"/>
      <w:lvlText w:val=""/>
      <w:lvlJc w:val="left"/>
      <w:pPr>
        <w:ind w:left="3960" w:hanging="360"/>
      </w:pPr>
      <w:rPr>
        <w:rFonts w:ascii="Wingdings" w:hAnsi="Wingdings" w:hint="default"/>
      </w:rPr>
    </w:lvl>
    <w:lvl w:ilvl="6" w:tplc="0A141BAE" w:tentative="1">
      <w:start w:val="1"/>
      <w:numFmt w:val="bullet"/>
      <w:lvlText w:val=""/>
      <w:lvlJc w:val="left"/>
      <w:pPr>
        <w:ind w:left="4680" w:hanging="360"/>
      </w:pPr>
      <w:rPr>
        <w:rFonts w:ascii="Symbol" w:hAnsi="Symbol" w:hint="default"/>
      </w:rPr>
    </w:lvl>
    <w:lvl w:ilvl="7" w:tplc="489E3F24" w:tentative="1">
      <w:start w:val="1"/>
      <w:numFmt w:val="bullet"/>
      <w:lvlText w:val="o"/>
      <w:lvlJc w:val="left"/>
      <w:pPr>
        <w:ind w:left="5400" w:hanging="360"/>
      </w:pPr>
      <w:rPr>
        <w:rFonts w:ascii="Courier New" w:hAnsi="Courier New" w:cs="Courier New" w:hint="default"/>
      </w:rPr>
    </w:lvl>
    <w:lvl w:ilvl="8" w:tplc="A4500E34" w:tentative="1">
      <w:start w:val="1"/>
      <w:numFmt w:val="bullet"/>
      <w:lvlText w:val=""/>
      <w:lvlJc w:val="left"/>
      <w:pPr>
        <w:ind w:left="6120" w:hanging="360"/>
      </w:pPr>
      <w:rPr>
        <w:rFonts w:ascii="Wingdings" w:hAnsi="Wingdings" w:hint="default"/>
      </w:rPr>
    </w:lvl>
  </w:abstractNum>
  <w:abstractNum w:abstractNumId="21" w15:restartNumberingAfterBreak="0">
    <w:nsid w:val="59E44DD4"/>
    <w:multiLevelType w:val="hybridMultilevel"/>
    <w:tmpl w:val="F06C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EC424E"/>
    <w:multiLevelType w:val="hybridMultilevel"/>
    <w:tmpl w:val="E2A20A12"/>
    <w:lvl w:ilvl="0" w:tplc="C79C2CD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270669"/>
    <w:multiLevelType w:val="hybridMultilevel"/>
    <w:tmpl w:val="713EF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CF7EBF"/>
    <w:multiLevelType w:val="hybridMultilevel"/>
    <w:tmpl w:val="5CEA0746"/>
    <w:lvl w:ilvl="0" w:tplc="0C090001">
      <w:start w:val="1"/>
      <w:numFmt w:val="bullet"/>
      <w:lvlText w:val=""/>
      <w:lvlJc w:val="left"/>
      <w:pPr>
        <w:ind w:left="983" w:hanging="360"/>
      </w:pPr>
      <w:rPr>
        <w:rFonts w:ascii="Symbol" w:hAnsi="Symbol" w:hint="default"/>
      </w:rPr>
    </w:lvl>
    <w:lvl w:ilvl="1" w:tplc="0C090003" w:tentative="1">
      <w:start w:val="1"/>
      <w:numFmt w:val="bullet"/>
      <w:lvlText w:val="o"/>
      <w:lvlJc w:val="left"/>
      <w:pPr>
        <w:ind w:left="1703" w:hanging="360"/>
      </w:pPr>
      <w:rPr>
        <w:rFonts w:ascii="Courier New" w:hAnsi="Courier New" w:cs="Courier New" w:hint="default"/>
      </w:rPr>
    </w:lvl>
    <w:lvl w:ilvl="2" w:tplc="0C090005" w:tentative="1">
      <w:start w:val="1"/>
      <w:numFmt w:val="bullet"/>
      <w:lvlText w:val=""/>
      <w:lvlJc w:val="left"/>
      <w:pPr>
        <w:ind w:left="2423" w:hanging="360"/>
      </w:pPr>
      <w:rPr>
        <w:rFonts w:ascii="Wingdings" w:hAnsi="Wingdings" w:hint="default"/>
      </w:rPr>
    </w:lvl>
    <w:lvl w:ilvl="3" w:tplc="0C090001" w:tentative="1">
      <w:start w:val="1"/>
      <w:numFmt w:val="bullet"/>
      <w:lvlText w:val=""/>
      <w:lvlJc w:val="left"/>
      <w:pPr>
        <w:ind w:left="3143" w:hanging="360"/>
      </w:pPr>
      <w:rPr>
        <w:rFonts w:ascii="Symbol" w:hAnsi="Symbol" w:hint="default"/>
      </w:rPr>
    </w:lvl>
    <w:lvl w:ilvl="4" w:tplc="0C090003" w:tentative="1">
      <w:start w:val="1"/>
      <w:numFmt w:val="bullet"/>
      <w:lvlText w:val="o"/>
      <w:lvlJc w:val="left"/>
      <w:pPr>
        <w:ind w:left="3863" w:hanging="360"/>
      </w:pPr>
      <w:rPr>
        <w:rFonts w:ascii="Courier New" w:hAnsi="Courier New" w:cs="Courier New" w:hint="default"/>
      </w:rPr>
    </w:lvl>
    <w:lvl w:ilvl="5" w:tplc="0C090005" w:tentative="1">
      <w:start w:val="1"/>
      <w:numFmt w:val="bullet"/>
      <w:lvlText w:val=""/>
      <w:lvlJc w:val="left"/>
      <w:pPr>
        <w:ind w:left="4583" w:hanging="360"/>
      </w:pPr>
      <w:rPr>
        <w:rFonts w:ascii="Wingdings" w:hAnsi="Wingdings" w:hint="default"/>
      </w:rPr>
    </w:lvl>
    <w:lvl w:ilvl="6" w:tplc="0C090001" w:tentative="1">
      <w:start w:val="1"/>
      <w:numFmt w:val="bullet"/>
      <w:lvlText w:val=""/>
      <w:lvlJc w:val="left"/>
      <w:pPr>
        <w:ind w:left="5303" w:hanging="360"/>
      </w:pPr>
      <w:rPr>
        <w:rFonts w:ascii="Symbol" w:hAnsi="Symbol" w:hint="default"/>
      </w:rPr>
    </w:lvl>
    <w:lvl w:ilvl="7" w:tplc="0C090003" w:tentative="1">
      <w:start w:val="1"/>
      <w:numFmt w:val="bullet"/>
      <w:lvlText w:val="o"/>
      <w:lvlJc w:val="left"/>
      <w:pPr>
        <w:ind w:left="6023" w:hanging="360"/>
      </w:pPr>
      <w:rPr>
        <w:rFonts w:ascii="Courier New" w:hAnsi="Courier New" w:cs="Courier New" w:hint="default"/>
      </w:rPr>
    </w:lvl>
    <w:lvl w:ilvl="8" w:tplc="0C090005" w:tentative="1">
      <w:start w:val="1"/>
      <w:numFmt w:val="bullet"/>
      <w:lvlText w:val=""/>
      <w:lvlJc w:val="left"/>
      <w:pPr>
        <w:ind w:left="6743" w:hanging="360"/>
      </w:pPr>
      <w:rPr>
        <w:rFonts w:ascii="Wingdings" w:hAnsi="Wingdings" w:hint="default"/>
      </w:rPr>
    </w:lvl>
  </w:abstractNum>
  <w:abstractNum w:abstractNumId="25" w15:restartNumberingAfterBreak="0">
    <w:nsid w:val="5F5F05A2"/>
    <w:multiLevelType w:val="hybridMultilevel"/>
    <w:tmpl w:val="783E4878"/>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2466FA"/>
    <w:multiLevelType w:val="hybridMultilevel"/>
    <w:tmpl w:val="861A0508"/>
    <w:lvl w:ilvl="0" w:tplc="61CEBA96">
      <w:start w:val="1"/>
      <w:numFmt w:val="bullet"/>
      <w:lvlText w:val=""/>
      <w:lvlJc w:val="left"/>
      <w:pPr>
        <w:ind w:left="2008" w:hanging="360"/>
      </w:pPr>
      <w:rPr>
        <w:rFonts w:ascii="Symbol" w:hAnsi="Symbol" w:hint="default"/>
      </w:rPr>
    </w:lvl>
    <w:lvl w:ilvl="1" w:tplc="199E2E72">
      <w:numFmt w:val="bullet"/>
      <w:lvlText w:val="•"/>
      <w:lvlJc w:val="left"/>
      <w:pPr>
        <w:ind w:left="2728" w:firstLine="0"/>
      </w:pPr>
      <w:rPr>
        <w:rFonts w:ascii="Arial" w:eastAsia="Times New Roman" w:hAnsi="Arial" w:cs="Arial" w:hint="default"/>
      </w:rPr>
    </w:lvl>
    <w:lvl w:ilvl="2" w:tplc="28C6856C" w:tentative="1">
      <w:start w:val="1"/>
      <w:numFmt w:val="bullet"/>
      <w:lvlText w:val=""/>
      <w:lvlJc w:val="left"/>
      <w:pPr>
        <w:ind w:left="3808" w:hanging="360"/>
      </w:pPr>
      <w:rPr>
        <w:rFonts w:ascii="Wingdings" w:hAnsi="Wingdings" w:hint="default"/>
      </w:rPr>
    </w:lvl>
    <w:lvl w:ilvl="3" w:tplc="E5E8A472" w:tentative="1">
      <w:start w:val="1"/>
      <w:numFmt w:val="bullet"/>
      <w:lvlText w:val=""/>
      <w:lvlJc w:val="left"/>
      <w:pPr>
        <w:ind w:left="4528" w:hanging="360"/>
      </w:pPr>
      <w:rPr>
        <w:rFonts w:ascii="Symbol" w:hAnsi="Symbol" w:hint="default"/>
      </w:rPr>
    </w:lvl>
    <w:lvl w:ilvl="4" w:tplc="1D325662" w:tentative="1">
      <w:start w:val="1"/>
      <w:numFmt w:val="bullet"/>
      <w:lvlText w:val="o"/>
      <w:lvlJc w:val="left"/>
      <w:pPr>
        <w:ind w:left="5248" w:hanging="360"/>
      </w:pPr>
      <w:rPr>
        <w:rFonts w:ascii="Courier New" w:hAnsi="Courier New" w:cs="Courier New" w:hint="default"/>
      </w:rPr>
    </w:lvl>
    <w:lvl w:ilvl="5" w:tplc="889076FE" w:tentative="1">
      <w:start w:val="1"/>
      <w:numFmt w:val="bullet"/>
      <w:lvlText w:val=""/>
      <w:lvlJc w:val="left"/>
      <w:pPr>
        <w:ind w:left="5968" w:hanging="360"/>
      </w:pPr>
      <w:rPr>
        <w:rFonts w:ascii="Wingdings" w:hAnsi="Wingdings" w:hint="default"/>
      </w:rPr>
    </w:lvl>
    <w:lvl w:ilvl="6" w:tplc="820210CE" w:tentative="1">
      <w:start w:val="1"/>
      <w:numFmt w:val="bullet"/>
      <w:lvlText w:val=""/>
      <w:lvlJc w:val="left"/>
      <w:pPr>
        <w:ind w:left="6688" w:hanging="360"/>
      </w:pPr>
      <w:rPr>
        <w:rFonts w:ascii="Symbol" w:hAnsi="Symbol" w:hint="default"/>
      </w:rPr>
    </w:lvl>
    <w:lvl w:ilvl="7" w:tplc="F1F62482" w:tentative="1">
      <w:start w:val="1"/>
      <w:numFmt w:val="bullet"/>
      <w:lvlText w:val="o"/>
      <w:lvlJc w:val="left"/>
      <w:pPr>
        <w:ind w:left="7408" w:hanging="360"/>
      </w:pPr>
      <w:rPr>
        <w:rFonts w:ascii="Courier New" w:hAnsi="Courier New" w:cs="Courier New" w:hint="default"/>
      </w:rPr>
    </w:lvl>
    <w:lvl w:ilvl="8" w:tplc="F7D41A3A" w:tentative="1">
      <w:start w:val="1"/>
      <w:numFmt w:val="bullet"/>
      <w:lvlText w:val=""/>
      <w:lvlJc w:val="left"/>
      <w:pPr>
        <w:ind w:left="8128" w:hanging="360"/>
      </w:pPr>
      <w:rPr>
        <w:rFonts w:ascii="Wingdings" w:hAnsi="Wingdings" w:hint="default"/>
      </w:rPr>
    </w:lvl>
  </w:abstractNum>
  <w:abstractNum w:abstractNumId="27" w15:restartNumberingAfterBreak="0">
    <w:nsid w:val="661E523C"/>
    <w:multiLevelType w:val="hybridMultilevel"/>
    <w:tmpl w:val="C9DC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E859B0"/>
    <w:multiLevelType w:val="hybridMultilevel"/>
    <w:tmpl w:val="0CDC9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C5E1F69"/>
    <w:multiLevelType w:val="hybridMultilevel"/>
    <w:tmpl w:val="7114AE7E"/>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FC5418"/>
    <w:multiLevelType w:val="hybridMultilevel"/>
    <w:tmpl w:val="DC6EE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73B6832"/>
    <w:multiLevelType w:val="hybridMultilevel"/>
    <w:tmpl w:val="4964F78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D545A3"/>
    <w:multiLevelType w:val="hybridMultilevel"/>
    <w:tmpl w:val="9A46F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8A4DCC"/>
    <w:multiLevelType w:val="hybridMultilevel"/>
    <w:tmpl w:val="858E1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BE6536"/>
    <w:multiLevelType w:val="hybridMultilevel"/>
    <w:tmpl w:val="2078E5CA"/>
    <w:lvl w:ilvl="0" w:tplc="0C09000F">
      <w:start w:val="1"/>
      <w:numFmt w:val="decimal"/>
      <w:pStyle w:val="BP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D1502F"/>
    <w:multiLevelType w:val="hybridMultilevel"/>
    <w:tmpl w:val="D1008B3E"/>
    <w:lvl w:ilvl="0" w:tplc="BBCADF80">
      <w:start w:val="1"/>
      <w:numFmt w:val="bullet"/>
      <w:lvlText w:val=""/>
      <w:lvlJc w:val="left"/>
      <w:pPr>
        <w:ind w:left="360" w:hanging="360"/>
      </w:pPr>
      <w:rPr>
        <w:rFonts w:ascii="Symbol" w:hAnsi="Symbol" w:hint="default"/>
      </w:rPr>
    </w:lvl>
    <w:lvl w:ilvl="1" w:tplc="AE080452">
      <w:numFmt w:val="bullet"/>
      <w:lvlText w:val="•"/>
      <w:lvlJc w:val="left"/>
      <w:pPr>
        <w:ind w:left="1440" w:hanging="720"/>
      </w:pPr>
      <w:rPr>
        <w:rFonts w:ascii="Arial" w:eastAsia="Times New Roman" w:hAnsi="Arial" w:cs="Arial" w:hint="default"/>
      </w:rPr>
    </w:lvl>
    <w:lvl w:ilvl="2" w:tplc="0F963944" w:tentative="1">
      <w:start w:val="1"/>
      <w:numFmt w:val="bullet"/>
      <w:lvlText w:val=""/>
      <w:lvlJc w:val="left"/>
      <w:pPr>
        <w:ind w:left="1800" w:hanging="360"/>
      </w:pPr>
      <w:rPr>
        <w:rFonts w:ascii="Wingdings" w:hAnsi="Wingdings" w:hint="default"/>
      </w:rPr>
    </w:lvl>
    <w:lvl w:ilvl="3" w:tplc="6FF44B82" w:tentative="1">
      <w:start w:val="1"/>
      <w:numFmt w:val="bullet"/>
      <w:lvlText w:val=""/>
      <w:lvlJc w:val="left"/>
      <w:pPr>
        <w:ind w:left="2520" w:hanging="360"/>
      </w:pPr>
      <w:rPr>
        <w:rFonts w:ascii="Symbol" w:hAnsi="Symbol" w:hint="default"/>
      </w:rPr>
    </w:lvl>
    <w:lvl w:ilvl="4" w:tplc="11F6800A" w:tentative="1">
      <w:start w:val="1"/>
      <w:numFmt w:val="bullet"/>
      <w:lvlText w:val="o"/>
      <w:lvlJc w:val="left"/>
      <w:pPr>
        <w:ind w:left="3240" w:hanging="360"/>
      </w:pPr>
      <w:rPr>
        <w:rFonts w:ascii="Courier New" w:hAnsi="Courier New" w:cs="Courier New" w:hint="default"/>
      </w:rPr>
    </w:lvl>
    <w:lvl w:ilvl="5" w:tplc="8DCC3784" w:tentative="1">
      <w:start w:val="1"/>
      <w:numFmt w:val="bullet"/>
      <w:lvlText w:val=""/>
      <w:lvlJc w:val="left"/>
      <w:pPr>
        <w:ind w:left="3960" w:hanging="360"/>
      </w:pPr>
      <w:rPr>
        <w:rFonts w:ascii="Wingdings" w:hAnsi="Wingdings" w:hint="default"/>
      </w:rPr>
    </w:lvl>
    <w:lvl w:ilvl="6" w:tplc="4D3672EC" w:tentative="1">
      <w:start w:val="1"/>
      <w:numFmt w:val="bullet"/>
      <w:lvlText w:val=""/>
      <w:lvlJc w:val="left"/>
      <w:pPr>
        <w:ind w:left="4680" w:hanging="360"/>
      </w:pPr>
      <w:rPr>
        <w:rFonts w:ascii="Symbol" w:hAnsi="Symbol" w:hint="default"/>
      </w:rPr>
    </w:lvl>
    <w:lvl w:ilvl="7" w:tplc="5010FEE2" w:tentative="1">
      <w:start w:val="1"/>
      <w:numFmt w:val="bullet"/>
      <w:lvlText w:val="o"/>
      <w:lvlJc w:val="left"/>
      <w:pPr>
        <w:ind w:left="5400" w:hanging="360"/>
      </w:pPr>
      <w:rPr>
        <w:rFonts w:ascii="Courier New" w:hAnsi="Courier New" w:cs="Courier New" w:hint="default"/>
      </w:rPr>
    </w:lvl>
    <w:lvl w:ilvl="8" w:tplc="BBAE8CAE" w:tentative="1">
      <w:start w:val="1"/>
      <w:numFmt w:val="bullet"/>
      <w:lvlText w:val=""/>
      <w:lvlJc w:val="left"/>
      <w:pPr>
        <w:ind w:left="6120" w:hanging="360"/>
      </w:pPr>
      <w:rPr>
        <w:rFonts w:ascii="Wingdings" w:hAnsi="Wingdings" w:hint="default"/>
      </w:rPr>
    </w:lvl>
  </w:abstractNum>
  <w:num w:numId="1">
    <w:abstractNumId w:val="6"/>
  </w:num>
  <w:num w:numId="2">
    <w:abstractNumId w:val="31"/>
  </w:num>
  <w:num w:numId="3">
    <w:abstractNumId w:val="2"/>
  </w:num>
  <w:num w:numId="4">
    <w:abstractNumId w:val="11"/>
  </w:num>
  <w:num w:numId="5">
    <w:abstractNumId w:val="12"/>
  </w:num>
  <w:num w:numId="6">
    <w:abstractNumId w:val="5"/>
  </w:num>
  <w:num w:numId="7">
    <w:abstractNumId w:val="14"/>
  </w:num>
  <w:num w:numId="8">
    <w:abstractNumId w:val="26"/>
  </w:num>
  <w:num w:numId="9">
    <w:abstractNumId w:val="0"/>
  </w:num>
  <w:num w:numId="10">
    <w:abstractNumId w:val="24"/>
  </w:num>
  <w:num w:numId="11">
    <w:abstractNumId w:val="28"/>
  </w:num>
  <w:num w:numId="12">
    <w:abstractNumId w:val="35"/>
  </w:num>
  <w:num w:numId="13">
    <w:abstractNumId w:val="1"/>
  </w:num>
  <w:num w:numId="14">
    <w:abstractNumId w:val="15"/>
  </w:num>
  <w:num w:numId="15">
    <w:abstractNumId w:val="4"/>
  </w:num>
  <w:num w:numId="16">
    <w:abstractNumId w:val="36"/>
  </w:num>
  <w:num w:numId="17">
    <w:abstractNumId w:val="34"/>
  </w:num>
  <w:num w:numId="18">
    <w:abstractNumId w:val="9"/>
  </w:num>
  <w:num w:numId="19">
    <w:abstractNumId w:val="29"/>
  </w:num>
  <w:num w:numId="20">
    <w:abstractNumId w:val="16"/>
  </w:num>
  <w:num w:numId="21">
    <w:abstractNumId w:val="32"/>
  </w:num>
  <w:num w:numId="22">
    <w:abstractNumId w:val="20"/>
  </w:num>
  <w:num w:numId="23">
    <w:abstractNumId w:val="25"/>
  </w:num>
  <w:num w:numId="24">
    <w:abstractNumId w:val="1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2"/>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
  </w:num>
  <w:num w:numId="31">
    <w:abstractNumId w:val="21"/>
  </w:num>
  <w:num w:numId="32">
    <w:abstractNumId w:val="23"/>
  </w:num>
  <w:num w:numId="33">
    <w:abstractNumId w:val="27"/>
  </w:num>
  <w:num w:numId="34">
    <w:abstractNumId w:val="19"/>
  </w:num>
  <w:num w:numId="35">
    <w:abstractNumId w:val="7"/>
  </w:num>
  <w:num w:numId="36">
    <w:abstractNumId w:val="30"/>
  </w:num>
  <w:num w:numId="37">
    <w:abstractNumId w:val="18"/>
  </w:num>
  <w:num w:numId="38">
    <w:abstractNumId w:val="3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4C"/>
    <w:rsid w:val="00014943"/>
    <w:rsid w:val="00016A0C"/>
    <w:rsid w:val="000373A1"/>
    <w:rsid w:val="00121161"/>
    <w:rsid w:val="00140BFE"/>
    <w:rsid w:val="001471EA"/>
    <w:rsid w:val="001472FC"/>
    <w:rsid w:val="00170528"/>
    <w:rsid w:val="00185E9F"/>
    <w:rsid w:val="0019701B"/>
    <w:rsid w:val="001C2AB6"/>
    <w:rsid w:val="001D0F1A"/>
    <w:rsid w:val="001D7905"/>
    <w:rsid w:val="002027BE"/>
    <w:rsid w:val="002117E6"/>
    <w:rsid w:val="00245116"/>
    <w:rsid w:val="0028397E"/>
    <w:rsid w:val="00293DD6"/>
    <w:rsid w:val="002A6FF9"/>
    <w:rsid w:val="002B5844"/>
    <w:rsid w:val="002F16F9"/>
    <w:rsid w:val="00322D04"/>
    <w:rsid w:val="00326453"/>
    <w:rsid w:val="00335334"/>
    <w:rsid w:val="00336DDD"/>
    <w:rsid w:val="00381364"/>
    <w:rsid w:val="003F495D"/>
    <w:rsid w:val="00400E77"/>
    <w:rsid w:val="0044455C"/>
    <w:rsid w:val="00450D6E"/>
    <w:rsid w:val="00544465"/>
    <w:rsid w:val="00565B47"/>
    <w:rsid w:val="00566967"/>
    <w:rsid w:val="00575A5A"/>
    <w:rsid w:val="005932D0"/>
    <w:rsid w:val="00597F9B"/>
    <w:rsid w:val="0061446D"/>
    <w:rsid w:val="00625397"/>
    <w:rsid w:val="006301A3"/>
    <w:rsid w:val="0064138E"/>
    <w:rsid w:val="00651934"/>
    <w:rsid w:val="00677B3F"/>
    <w:rsid w:val="006A2F0E"/>
    <w:rsid w:val="006F06FD"/>
    <w:rsid w:val="00705B86"/>
    <w:rsid w:val="00741CDC"/>
    <w:rsid w:val="00741E19"/>
    <w:rsid w:val="00753BB6"/>
    <w:rsid w:val="00816F32"/>
    <w:rsid w:val="008237DD"/>
    <w:rsid w:val="008555D4"/>
    <w:rsid w:val="00886115"/>
    <w:rsid w:val="008A4B1F"/>
    <w:rsid w:val="009313D2"/>
    <w:rsid w:val="0094124E"/>
    <w:rsid w:val="009B7EF0"/>
    <w:rsid w:val="009D55CE"/>
    <w:rsid w:val="009E12E4"/>
    <w:rsid w:val="00A20294"/>
    <w:rsid w:val="00A2184A"/>
    <w:rsid w:val="00A241FE"/>
    <w:rsid w:val="00A26F64"/>
    <w:rsid w:val="00A61FAA"/>
    <w:rsid w:val="00A87C26"/>
    <w:rsid w:val="00A96961"/>
    <w:rsid w:val="00AA1A7D"/>
    <w:rsid w:val="00AA75C3"/>
    <w:rsid w:val="00AE4F02"/>
    <w:rsid w:val="00B049A4"/>
    <w:rsid w:val="00B325A8"/>
    <w:rsid w:val="00B51863"/>
    <w:rsid w:val="00B55747"/>
    <w:rsid w:val="00B82A48"/>
    <w:rsid w:val="00B87D68"/>
    <w:rsid w:val="00BC329E"/>
    <w:rsid w:val="00BC7D72"/>
    <w:rsid w:val="00BE1FD7"/>
    <w:rsid w:val="00BE720E"/>
    <w:rsid w:val="00BE7E66"/>
    <w:rsid w:val="00C16794"/>
    <w:rsid w:val="00C33797"/>
    <w:rsid w:val="00C60E43"/>
    <w:rsid w:val="00CA0D17"/>
    <w:rsid w:val="00CA4FC9"/>
    <w:rsid w:val="00CB0D05"/>
    <w:rsid w:val="00CD6096"/>
    <w:rsid w:val="00D110D4"/>
    <w:rsid w:val="00D4731D"/>
    <w:rsid w:val="00D627FA"/>
    <w:rsid w:val="00D846EE"/>
    <w:rsid w:val="00D919B3"/>
    <w:rsid w:val="00DC2DFA"/>
    <w:rsid w:val="00DD5D52"/>
    <w:rsid w:val="00E52AC1"/>
    <w:rsid w:val="00E72407"/>
    <w:rsid w:val="00E8756D"/>
    <w:rsid w:val="00E971AA"/>
    <w:rsid w:val="00EA6D34"/>
    <w:rsid w:val="00EB374C"/>
    <w:rsid w:val="00EB40A5"/>
    <w:rsid w:val="00EF14FE"/>
    <w:rsid w:val="00F25AA3"/>
    <w:rsid w:val="00F25D68"/>
    <w:rsid w:val="00F3567E"/>
    <w:rsid w:val="00F408EE"/>
    <w:rsid w:val="00F7051B"/>
    <w:rsid w:val="00F85D1B"/>
    <w:rsid w:val="00FD3D26"/>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07CBF7"/>
  <w15:chartTrackingRefBased/>
  <w15:docId w15:val="{569B9B7A-5568-4941-AB61-C637D994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CDC"/>
    <w:pPr>
      <w:spacing w:line="240" w:lineRule="auto"/>
    </w:pPr>
    <w:rPr>
      <w:rFonts w:ascii="Segoe UI" w:hAnsi="Segoe UI"/>
      <w:sz w:val="20"/>
    </w:rPr>
  </w:style>
  <w:style w:type="paragraph" w:styleId="Heading1">
    <w:name w:val="heading 1"/>
    <w:basedOn w:val="Normal"/>
    <w:next w:val="Normal"/>
    <w:link w:val="Heading1Char"/>
    <w:uiPriority w:val="9"/>
    <w:qFormat/>
    <w:rsid w:val="00AA1A7D"/>
    <w:pPr>
      <w:keepNext/>
      <w:spacing w:before="3000" w:after="1080"/>
      <w:jc w:val="center"/>
      <w:outlineLvl w:val="0"/>
    </w:pPr>
    <w:rPr>
      <w:rFonts w:ascii="Segoe UI Semibold" w:eastAsiaTheme="majorEastAsia" w:hAnsi="Segoe UI Semibold" w:cstheme="majorBidi"/>
      <w:sz w:val="40"/>
      <w:szCs w:val="32"/>
      <w:lang w:eastAsia="en-US"/>
    </w:rPr>
  </w:style>
  <w:style w:type="paragraph" w:styleId="Heading2">
    <w:name w:val="heading 2"/>
    <w:basedOn w:val="Normal"/>
    <w:next w:val="Normal"/>
    <w:link w:val="Heading2Char"/>
    <w:uiPriority w:val="9"/>
    <w:unhideWhenUsed/>
    <w:qFormat/>
    <w:rsid w:val="00AA1A7D"/>
    <w:pPr>
      <w:keepNext/>
      <w:outlineLvl w:val="1"/>
    </w:pPr>
    <w:rPr>
      <w:rFonts w:ascii="Segoe UI Semibold" w:eastAsiaTheme="majorEastAsia" w:hAnsi="Segoe UI Semibold" w:cstheme="majorBidi"/>
      <w:sz w:val="32"/>
      <w:szCs w:val="26"/>
      <w:lang w:eastAsia="en-US"/>
    </w:rPr>
  </w:style>
  <w:style w:type="paragraph" w:styleId="Heading3">
    <w:name w:val="heading 3"/>
    <w:basedOn w:val="Normal"/>
    <w:next w:val="Normal"/>
    <w:link w:val="Heading3Char"/>
    <w:uiPriority w:val="9"/>
    <w:unhideWhenUsed/>
    <w:qFormat/>
    <w:rsid w:val="00AA1A7D"/>
    <w:pPr>
      <w:keepNext/>
      <w:spacing w:after="120"/>
      <w:outlineLvl w:val="2"/>
    </w:pPr>
    <w:rPr>
      <w:rFonts w:ascii="Segoe UI Semibold" w:eastAsiaTheme="majorEastAsia" w:hAnsi="Segoe UI Semibold" w:cstheme="majorBidi"/>
      <w:sz w:val="28"/>
      <w:szCs w:val="24"/>
      <w:lang w:eastAsia="en-US"/>
    </w:rPr>
  </w:style>
  <w:style w:type="paragraph" w:styleId="Heading4">
    <w:name w:val="heading 4"/>
    <w:basedOn w:val="Normal"/>
    <w:next w:val="Normal"/>
    <w:link w:val="Heading4Char"/>
    <w:uiPriority w:val="9"/>
    <w:unhideWhenUsed/>
    <w:qFormat/>
    <w:rsid w:val="00AA1A7D"/>
    <w:pPr>
      <w:keepNext/>
      <w:keepLines/>
      <w:spacing w:after="120"/>
      <w:outlineLvl w:val="3"/>
    </w:pPr>
    <w:rPr>
      <w:rFonts w:ascii="Segoe UI Semibold" w:eastAsiaTheme="majorEastAsia" w:hAnsi="Segoe UI Semibold" w:cstheme="majorBidi"/>
      <w:bCs/>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A7D"/>
    <w:rPr>
      <w:rFonts w:ascii="Segoe UI Semibold" w:eastAsiaTheme="majorEastAsia" w:hAnsi="Segoe UI Semibold" w:cstheme="majorBidi"/>
      <w:sz w:val="40"/>
      <w:szCs w:val="32"/>
      <w:lang w:eastAsia="en-US"/>
    </w:rPr>
  </w:style>
  <w:style w:type="character" w:customStyle="1" w:styleId="Heading2Char">
    <w:name w:val="Heading 2 Char"/>
    <w:basedOn w:val="DefaultParagraphFont"/>
    <w:link w:val="Heading2"/>
    <w:uiPriority w:val="9"/>
    <w:rsid w:val="00AA1A7D"/>
    <w:rPr>
      <w:rFonts w:ascii="Segoe UI Semibold" w:eastAsiaTheme="majorEastAsia" w:hAnsi="Segoe UI Semibold" w:cstheme="majorBidi"/>
      <w:sz w:val="32"/>
      <w:szCs w:val="26"/>
      <w:lang w:eastAsia="en-US"/>
    </w:rPr>
  </w:style>
  <w:style w:type="character" w:customStyle="1" w:styleId="Heading3Char">
    <w:name w:val="Heading 3 Char"/>
    <w:basedOn w:val="DefaultParagraphFont"/>
    <w:link w:val="Heading3"/>
    <w:uiPriority w:val="9"/>
    <w:rsid w:val="00AA1A7D"/>
    <w:rPr>
      <w:rFonts w:ascii="Segoe UI Semibold" w:eastAsiaTheme="majorEastAsia" w:hAnsi="Segoe UI Semibold" w:cstheme="majorBidi"/>
      <w:sz w:val="28"/>
      <w:szCs w:val="24"/>
      <w:lang w:eastAsia="en-US"/>
    </w:rPr>
  </w:style>
  <w:style w:type="character" w:customStyle="1" w:styleId="Heading4Char">
    <w:name w:val="Heading 4 Char"/>
    <w:basedOn w:val="DefaultParagraphFont"/>
    <w:link w:val="Heading4"/>
    <w:uiPriority w:val="9"/>
    <w:rsid w:val="00AA1A7D"/>
    <w:rPr>
      <w:rFonts w:ascii="Segoe UI Semibold" w:eastAsiaTheme="majorEastAsia" w:hAnsi="Segoe UI Semibold" w:cstheme="majorBidi"/>
      <w:bCs/>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styleId="NoSpacing">
    <w:name w:val="No Spacing"/>
    <w:uiPriority w:val="1"/>
    <w:qFormat/>
    <w:rsid w:val="002117E6"/>
    <w:pPr>
      <w:spacing w:after="0" w:line="240" w:lineRule="auto"/>
    </w:p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style>
  <w:style w:type="paragraph" w:customStyle="1" w:styleId="Heading3-notshowing">
    <w:name w:val="Heading 3 - not showing"/>
    <w:basedOn w:val="Heading3"/>
    <w:qFormat/>
    <w:rsid w:val="00625397"/>
  </w:style>
  <w:style w:type="paragraph" w:styleId="TOC1">
    <w:name w:val="toc 1"/>
    <w:basedOn w:val="Normal"/>
    <w:next w:val="Normal"/>
    <w:autoRedefine/>
    <w:uiPriority w:val="39"/>
    <w:unhideWhenUsed/>
    <w:rsid w:val="00B51863"/>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Cs w:val="20"/>
    </w:rPr>
  </w:style>
  <w:style w:type="paragraph" w:styleId="ListParagraph">
    <w:name w:val="List Paragraph"/>
    <w:aliases w:val="Bullet List,Bullet li,Bulletr List Paragraph,FooterText,L,List Paragraph1,List Paragraph2,List Paragraph21,Listeafsnit1,Paragraphe de liste1,Parágrafo da Lista1,Párrafo de lista1,bullet point list,numbered,リスト段落1,列出段落,列出段落1"/>
    <w:basedOn w:val="Normal"/>
    <w:link w:val="ListParagraphChar"/>
    <w:uiPriority w:val="34"/>
    <w:qFormat/>
    <w:rsid w:val="00C16794"/>
    <w:pPr>
      <w:numPr>
        <w:numId w:val="3"/>
      </w:numPr>
      <w:ind w:left="567" w:hanging="567"/>
      <w:contextualSpacing/>
    </w:p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CA4FC9"/>
  </w:style>
  <w:style w:type="paragraph" w:customStyle="1" w:styleId="Mainheading">
    <w:name w:val="Main heading"/>
    <w:basedOn w:val="Normal"/>
    <w:link w:val="MainheadingChar"/>
    <w:qFormat/>
    <w:rsid w:val="00CA4FC9"/>
    <w:pPr>
      <w:spacing w:after="0"/>
      <w:jc w:val="center"/>
    </w:pPr>
    <w:rPr>
      <w:rFonts w:ascii="Times New Roman" w:eastAsia="Times New Roman" w:hAnsi="Times New Roman" w:cs="Times New Roman"/>
      <w:b/>
      <w:sz w:val="36"/>
      <w:szCs w:val="36"/>
      <w:lang w:eastAsia="en-US"/>
    </w:rPr>
  </w:style>
  <w:style w:type="character" w:customStyle="1" w:styleId="MainheadingChar">
    <w:name w:val="Main heading Char"/>
    <w:basedOn w:val="DefaultParagraphFont"/>
    <w:link w:val="Mainheading"/>
    <w:rsid w:val="00CA4FC9"/>
    <w:rPr>
      <w:rFonts w:ascii="Times New Roman" w:eastAsia="Times New Roman" w:hAnsi="Times New Roman" w:cs="Times New Roman"/>
      <w:b/>
      <w:sz w:val="36"/>
      <w:szCs w:val="36"/>
      <w:lang w:eastAsia="en-US"/>
    </w:rPr>
  </w:style>
  <w:style w:type="paragraph" w:customStyle="1" w:styleId="Recommendation">
    <w:name w:val="Recommendation"/>
    <w:basedOn w:val="Normal"/>
    <w:link w:val="RecommendationChar"/>
    <w:qFormat/>
    <w:rsid w:val="00CA4FC9"/>
    <w:pPr>
      <w:shd w:val="clear" w:color="auto" w:fill="D9D9D9" w:themeFill="background1" w:themeFillShade="D9"/>
      <w:autoSpaceDE w:val="0"/>
      <w:autoSpaceDN w:val="0"/>
      <w:adjustRightInd w:val="0"/>
      <w:spacing w:before="120" w:after="120"/>
      <w:ind w:left="1440" w:right="272" w:hanging="720"/>
      <w:jc w:val="both"/>
    </w:pPr>
    <w:rPr>
      <w:rFonts w:ascii="Times New Roman" w:eastAsia="Times New Roman" w:hAnsi="Times New Roman" w:cs="Arial"/>
      <w:bCs/>
      <w:sz w:val="24"/>
      <w:szCs w:val="24"/>
      <w:lang w:eastAsia="en-AU"/>
    </w:rPr>
  </w:style>
  <w:style w:type="character" w:customStyle="1" w:styleId="RecommendationChar">
    <w:name w:val="Recommendation Char"/>
    <w:basedOn w:val="DefaultParagraphFont"/>
    <w:link w:val="Recommendation"/>
    <w:rsid w:val="00CA4FC9"/>
    <w:rPr>
      <w:rFonts w:ascii="Times New Roman" w:eastAsia="Times New Roman" w:hAnsi="Times New Roman" w:cs="Arial"/>
      <w:bCs/>
      <w:sz w:val="24"/>
      <w:szCs w:val="24"/>
      <w:shd w:val="clear" w:color="auto" w:fill="D9D9D9" w:themeFill="background1" w:themeFillShade="D9"/>
      <w:lang w:eastAsia="en-AU"/>
    </w:rPr>
  </w:style>
  <w:style w:type="paragraph" w:customStyle="1" w:styleId="Bulletlist">
    <w:name w:val="Bullet list"/>
    <w:basedOn w:val="ListParagraph"/>
    <w:link w:val="BulletlistChar"/>
    <w:qFormat/>
    <w:rsid w:val="00CA4FC9"/>
    <w:pPr>
      <w:numPr>
        <w:numId w:val="0"/>
      </w:numPr>
      <w:spacing w:after="0"/>
      <w:ind w:left="360" w:hanging="360"/>
      <w:contextualSpacing w:val="0"/>
      <w:jc w:val="both"/>
    </w:pPr>
    <w:rPr>
      <w:rFonts w:ascii="Times New Roman" w:eastAsia="Calibri" w:hAnsi="Times New Roman" w:cs="Times New Roman"/>
      <w:sz w:val="24"/>
      <w:szCs w:val="24"/>
      <w:lang w:eastAsia="en-US"/>
    </w:rPr>
  </w:style>
  <w:style w:type="character" w:customStyle="1" w:styleId="BulletlistChar">
    <w:name w:val="Bullet list Char"/>
    <w:basedOn w:val="DefaultParagraphFont"/>
    <w:link w:val="Bulletlist"/>
    <w:rsid w:val="00CA4FC9"/>
    <w:rPr>
      <w:rFonts w:ascii="Times New Roman" w:eastAsia="Calibri" w:hAnsi="Times New Roman" w:cs="Times New Roman"/>
      <w:sz w:val="24"/>
      <w:szCs w:val="24"/>
      <w:lang w:eastAsia="en-US"/>
    </w:rPr>
  </w:style>
  <w:style w:type="paragraph" w:styleId="ListNumber">
    <w:name w:val="List Number"/>
    <w:basedOn w:val="Normal"/>
    <w:rsid w:val="00CA4FC9"/>
    <w:pPr>
      <w:numPr>
        <w:numId w:val="9"/>
      </w:numPr>
      <w:spacing w:after="0" w:line="360" w:lineRule="auto"/>
      <w:jc w:val="both"/>
    </w:pPr>
    <w:rPr>
      <w:rFonts w:ascii="Arial" w:eastAsia="Times New Roman" w:hAnsi="Arial" w:cs="Times New Roman"/>
      <w:sz w:val="28"/>
      <w:szCs w:val="20"/>
      <w:lang w:eastAsia="en-US"/>
    </w:rPr>
  </w:style>
  <w:style w:type="paragraph" w:customStyle="1" w:styleId="BPnumbered">
    <w:name w:val="BP numbered"/>
    <w:basedOn w:val="ListNumber"/>
    <w:link w:val="BPnumberedChar"/>
    <w:qFormat/>
    <w:rsid w:val="00CA4FC9"/>
    <w:pPr>
      <w:numPr>
        <w:numId w:val="12"/>
      </w:numPr>
      <w:tabs>
        <w:tab w:val="num" w:pos="709"/>
      </w:tabs>
      <w:autoSpaceDE w:val="0"/>
      <w:autoSpaceDN w:val="0"/>
      <w:adjustRightInd w:val="0"/>
      <w:ind w:left="709" w:hanging="709"/>
    </w:pPr>
    <w:rPr>
      <w:rFonts w:cs="Arial"/>
      <w:bCs/>
      <w:szCs w:val="24"/>
      <w:lang w:eastAsia="en-AU"/>
    </w:rPr>
  </w:style>
  <w:style w:type="character" w:customStyle="1" w:styleId="BPnumberedChar">
    <w:name w:val="BP numbered Char"/>
    <w:basedOn w:val="DefaultParagraphFont"/>
    <w:link w:val="BPnumbered"/>
    <w:rsid w:val="00CA4FC9"/>
    <w:rPr>
      <w:rFonts w:ascii="Arial" w:eastAsia="Times New Roman" w:hAnsi="Arial" w:cs="Arial"/>
      <w:bCs/>
      <w:sz w:val="28"/>
      <w:szCs w:val="24"/>
      <w:lang w:eastAsia="en-AU"/>
    </w:rPr>
  </w:style>
  <w:style w:type="paragraph" w:styleId="BodyText">
    <w:name w:val="Body Text"/>
    <w:basedOn w:val="Normal"/>
    <w:link w:val="BodyTextChar"/>
    <w:uiPriority w:val="1"/>
    <w:qFormat/>
    <w:rsid w:val="00CA4FC9"/>
    <w:pPr>
      <w:widowControl w:val="0"/>
      <w:autoSpaceDE w:val="0"/>
      <w:autoSpaceDN w:val="0"/>
      <w:adjustRightInd w:val="0"/>
      <w:spacing w:after="0"/>
      <w:ind w:left="140"/>
      <w:jc w:val="both"/>
    </w:pPr>
    <w:rPr>
      <w:rFonts w:ascii="Times New Roman" w:hAnsi="Times New Roman" w:cs="Times New Roman"/>
      <w:sz w:val="26"/>
      <w:szCs w:val="26"/>
      <w:lang w:eastAsia="en-AU"/>
    </w:rPr>
  </w:style>
  <w:style w:type="character" w:customStyle="1" w:styleId="BodyTextChar">
    <w:name w:val="Body Text Char"/>
    <w:basedOn w:val="DefaultParagraphFont"/>
    <w:link w:val="BodyText"/>
    <w:uiPriority w:val="1"/>
    <w:rsid w:val="00CA4FC9"/>
    <w:rPr>
      <w:rFonts w:ascii="Times New Roman" w:hAnsi="Times New Roman" w:cs="Times New Roman"/>
      <w:sz w:val="26"/>
      <w:szCs w:val="26"/>
      <w:lang w:eastAsia="en-AU"/>
    </w:rPr>
  </w:style>
  <w:style w:type="paragraph" w:customStyle="1" w:styleId="Default">
    <w:name w:val="Default"/>
    <w:rsid w:val="00CA4F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FootnoteText">
    <w:name w:val="footnote text"/>
    <w:basedOn w:val="Normal"/>
    <w:link w:val="FootnoteTextChar"/>
    <w:uiPriority w:val="99"/>
    <w:unhideWhenUsed/>
    <w:rsid w:val="0028397E"/>
    <w:pPr>
      <w:spacing w:after="0"/>
    </w:pPr>
    <w:rPr>
      <w:rFonts w:ascii="Calibri" w:eastAsia="Times New Roman" w:hAnsi="Calibri" w:cs="Times New Roman"/>
      <w:szCs w:val="20"/>
      <w:lang w:eastAsia="en-US"/>
    </w:rPr>
  </w:style>
  <w:style w:type="character" w:customStyle="1" w:styleId="FootnoteTextChar">
    <w:name w:val="Footnote Text Char"/>
    <w:basedOn w:val="DefaultParagraphFont"/>
    <w:link w:val="FootnoteText"/>
    <w:uiPriority w:val="99"/>
    <w:rsid w:val="0028397E"/>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CA4FC9"/>
    <w:rPr>
      <w:vertAlign w:val="superscript"/>
    </w:rPr>
  </w:style>
  <w:style w:type="paragraph" w:styleId="PlainText">
    <w:name w:val="Plain Text"/>
    <w:basedOn w:val="Normal"/>
    <w:link w:val="PlainTextChar"/>
    <w:uiPriority w:val="99"/>
    <w:unhideWhenUsed/>
    <w:rsid w:val="00CA4FC9"/>
    <w:pPr>
      <w:spacing w:after="0"/>
      <w:jc w:val="both"/>
    </w:pPr>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CA4FC9"/>
    <w:rPr>
      <w:rFonts w:ascii="Consolas" w:eastAsia="Calibri" w:hAnsi="Consolas" w:cs="Consolas"/>
      <w:sz w:val="21"/>
      <w:szCs w:val="21"/>
      <w:lang w:eastAsia="en-AU"/>
    </w:rPr>
  </w:style>
  <w:style w:type="paragraph" w:styleId="BalloonText">
    <w:name w:val="Balloon Text"/>
    <w:basedOn w:val="Normal"/>
    <w:link w:val="BalloonTextChar"/>
    <w:uiPriority w:val="99"/>
    <w:semiHidden/>
    <w:unhideWhenUsed/>
    <w:rsid w:val="00CA4FC9"/>
    <w:pPr>
      <w:spacing w:after="0"/>
      <w:jc w:val="both"/>
    </w:pPr>
    <w:rPr>
      <w:rFonts w:eastAsia="Times New Roman" w:cs="Segoe UI"/>
      <w:sz w:val="18"/>
      <w:szCs w:val="18"/>
      <w:lang w:eastAsia="en-US"/>
    </w:rPr>
  </w:style>
  <w:style w:type="character" w:customStyle="1" w:styleId="BalloonTextChar">
    <w:name w:val="Balloon Text Char"/>
    <w:basedOn w:val="DefaultParagraphFont"/>
    <w:link w:val="BalloonText"/>
    <w:uiPriority w:val="99"/>
    <w:semiHidden/>
    <w:rsid w:val="00CA4FC9"/>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CA4FC9"/>
    <w:rPr>
      <w:sz w:val="16"/>
      <w:szCs w:val="16"/>
    </w:rPr>
  </w:style>
  <w:style w:type="paragraph" w:styleId="CommentText">
    <w:name w:val="annotation text"/>
    <w:basedOn w:val="Normal"/>
    <w:link w:val="CommentTextChar"/>
    <w:uiPriority w:val="99"/>
    <w:semiHidden/>
    <w:unhideWhenUsed/>
    <w:rsid w:val="00CA4FC9"/>
    <w:pPr>
      <w:spacing w:after="0"/>
      <w:jc w:val="both"/>
    </w:pPr>
    <w:rPr>
      <w:rFonts w:ascii="Times New Roman" w:eastAsia="Times New Roman" w:hAnsi="Times New Roman" w:cs="Times New Roman"/>
      <w:szCs w:val="20"/>
      <w:lang w:eastAsia="en-US"/>
    </w:rPr>
  </w:style>
  <w:style w:type="character" w:customStyle="1" w:styleId="CommentTextChar">
    <w:name w:val="Comment Text Char"/>
    <w:basedOn w:val="DefaultParagraphFont"/>
    <w:link w:val="CommentText"/>
    <w:uiPriority w:val="99"/>
    <w:semiHidden/>
    <w:rsid w:val="00CA4F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A4FC9"/>
    <w:rPr>
      <w:b/>
      <w:bCs/>
    </w:rPr>
  </w:style>
  <w:style w:type="character" w:customStyle="1" w:styleId="CommentSubjectChar">
    <w:name w:val="Comment Subject Char"/>
    <w:basedOn w:val="CommentTextChar"/>
    <w:link w:val="CommentSubject"/>
    <w:uiPriority w:val="99"/>
    <w:semiHidden/>
    <w:rsid w:val="00CA4FC9"/>
    <w:rPr>
      <w:rFonts w:ascii="Times New Roman" w:eastAsia="Times New Roman" w:hAnsi="Times New Roman" w:cs="Times New Roman"/>
      <w:b/>
      <w:bCs/>
      <w:sz w:val="20"/>
      <w:szCs w:val="20"/>
      <w:lang w:eastAsia="en-US"/>
    </w:rPr>
  </w:style>
  <w:style w:type="paragraph" w:customStyle="1" w:styleId="Box">
    <w:name w:val="Box"/>
    <w:basedOn w:val="Normal"/>
    <w:qFormat/>
    <w:rsid w:val="00741CDC"/>
    <w:pPr>
      <w:pBdr>
        <w:top w:val="single" w:sz="4" w:space="1" w:color="auto"/>
        <w:left w:val="single" w:sz="4" w:space="4" w:color="auto"/>
        <w:bottom w:val="single" w:sz="4" w:space="1" w:color="auto"/>
        <w:right w:val="single" w:sz="4" w:space="4" w:color="auto"/>
      </w:pBdr>
      <w:shd w:val="clear" w:color="auto" w:fill="D5DCE4"/>
    </w:pPr>
  </w:style>
  <w:style w:type="paragraph" w:customStyle="1" w:styleId="reporttitle">
    <w:name w:val="report title"/>
    <w:basedOn w:val="Normal"/>
    <w:qFormat/>
    <w:rsid w:val="00AA1A7D"/>
    <w:pPr>
      <w:spacing w:after="4080"/>
      <w:jc w:val="center"/>
    </w:pPr>
    <w:rPr>
      <w:rFonts w:ascii="Segoe UI Semibold" w:hAnsi="Segoe UI Semibold"/>
      <w:sz w:val="40"/>
      <w:szCs w:val="44"/>
    </w:rPr>
  </w:style>
  <w:style w:type="paragraph" w:customStyle="1" w:styleId="monthyearoncover">
    <w:name w:val="month/year on cover"/>
    <w:basedOn w:val="Normal"/>
    <w:qFormat/>
    <w:rsid w:val="00F85D1B"/>
    <w:pPr>
      <w:spacing w:after="0"/>
      <w:jc w:val="right"/>
    </w:pPr>
    <w:rPr>
      <w:lang w:eastAsia="en-US"/>
    </w:rPr>
  </w:style>
  <w:style w:type="paragraph" w:customStyle="1" w:styleId="Heading2notshowing">
    <w:name w:val="Heading 2—not showing"/>
    <w:basedOn w:val="Normal"/>
    <w:next w:val="Normal"/>
    <w:qFormat/>
    <w:rsid w:val="00AA1A7D"/>
    <w:pPr>
      <w:keepNext/>
      <w:spacing w:after="120"/>
    </w:pPr>
    <w:rPr>
      <w:rFonts w:ascii="Segoe UI Semibold" w:eastAsia="MingLiU" w:hAnsi="Segoe UI Semibold" w:cs="Segoe UI Semibold"/>
      <w:color w:val="626E81"/>
      <w:sz w:val="28"/>
      <w:szCs w:val="26"/>
      <w:lang w:eastAsia="en-US"/>
    </w:rPr>
  </w:style>
  <w:style w:type="paragraph" w:customStyle="1" w:styleId="Heading3notshowing">
    <w:name w:val="Heading 3—not showing"/>
    <w:basedOn w:val="Normal"/>
    <w:next w:val="Normal"/>
    <w:qFormat/>
    <w:rsid w:val="00AA1A7D"/>
    <w:pPr>
      <w:keepNext/>
      <w:spacing w:after="120"/>
    </w:pPr>
    <w:rPr>
      <w:rFonts w:ascii="Segoe UI Semibold" w:eastAsia="MingLiU" w:hAnsi="Segoe UI Semibold" w:cs="Segoe UI Semibold"/>
      <w:color w:val="626E81"/>
      <w:sz w:val="24"/>
      <w:szCs w:val="30"/>
      <w:lang w:eastAsia="en-US"/>
    </w:rPr>
  </w:style>
  <w:style w:type="paragraph" w:customStyle="1" w:styleId="Listparagraphbullets">
    <w:name w:val="List paragraph—bullets"/>
    <w:basedOn w:val="ListParagraph"/>
    <w:qFormat/>
    <w:rsid w:val="00170528"/>
    <w:pPr>
      <w:numPr>
        <w:numId w:val="39"/>
      </w:numPr>
      <w:ind w:left="567" w:hanging="567"/>
    </w:pPr>
    <w:rPr>
      <w:rFonts w:eastAsiaTheme="minorHAnsi"/>
      <w:sz w:val="21"/>
    </w:rPr>
  </w:style>
  <w:style w:type="table" w:styleId="PlainTable1">
    <w:name w:val="Plain Table 1"/>
    <w:basedOn w:val="TableNormal"/>
    <w:uiPriority w:val="41"/>
    <w:rsid w:val="00AA1A7D"/>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1D0F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ism.australia.com/en/about/our-programs/aussie-specialist-program.html?cid=DM11220&amp;bid=14606604"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27304581EA0E4EBFAE7FFF5B2F5C55" ma:contentTypeVersion="0" ma:contentTypeDescription="Create a new document." ma:contentTypeScope="" ma:versionID="5aef79ae41396b70abbe83df74194d2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62FF9-4D92-4EA1-8318-444F53769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8EC2B4-261F-4516-8385-4AC12C2045A3}">
  <ds:schemaRefs>
    <ds:schemaRef ds:uri="http://schemas.microsoft.com/sharepoint/v3/contenttype/forms"/>
  </ds:schemaRefs>
</ds:datastoreItem>
</file>

<file path=customXml/itemProps3.xml><?xml version="1.0" encoding="utf-8"?>
<ds:datastoreItem xmlns:ds="http://schemas.openxmlformats.org/officeDocument/2006/customXml" ds:itemID="{E67B99B2-EF1D-45A3-A47C-F683310DD50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8CA4C358-9216-4859-B5DF-414085BA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3584</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Australian Government response to the House of Representatives Standing Committee on Indigenous Affairs—Report on the impact of inauthentic art and craft in the style of First Nations peoples</vt:lpstr>
    </vt:vector>
  </TitlesOfParts>
  <Company>Department of Infrastructure, Transport, Regional Development and Communications</Company>
  <LinksUpToDate>false</LinksUpToDate>
  <CharactersWithSpaces>23966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of Representatives Standing Committee on Indigenous Affairs—Report on the impact of inauthentic art and craft in the style of First Nations peoples</dc:title>
  <dc:subject/>
  <dc:creator>Department of Infrastructure, Transport, Regional Development and Communications</dc:creator>
  <cp:keywords/>
  <dc:description>March 2020</dc:description>
  <cp:lastModifiedBy>Hall, Theresa</cp:lastModifiedBy>
  <cp:revision>5</cp:revision>
  <dcterms:created xsi:type="dcterms:W3CDTF">2020-03-02T06:16:00Z</dcterms:created>
  <dcterms:modified xsi:type="dcterms:W3CDTF">2020-03-03T00:16:00Z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0x0101008527304581EA0E4EBFAE7FFF5B2F5C55</vt:lpwstr>
  </property>
  <property fmtid="{D5CDD505-2E9C-101B-9397-08002B2CF9AE}" pid="3" name="TrimRevisionNumber">
    <vt:i4>1</vt:i4>
  </property>
</Properties>
</file>