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53040" w14:textId="77777777" w:rsidR="00827AF6" w:rsidRDefault="00827AF6" w:rsidP="00827AF6">
      <w:pPr>
        <w:tabs>
          <w:tab w:val="left" w:pos="6096"/>
        </w:tabs>
        <w:ind w:left="567"/>
        <w:sectPr w:rsidR="00827AF6" w:rsidSect="00827AF6">
          <w:footerReference w:type="default" r:id="rId13"/>
          <w:type w:val="continuous"/>
          <w:pgSz w:w="12240" w:h="15840"/>
          <w:pgMar w:top="142" w:right="964" w:bottom="964" w:left="964" w:header="142" w:footer="311" w:gutter="0"/>
          <w:cols w:space="708"/>
          <w:docGrid w:linePitch="360"/>
        </w:sectPr>
      </w:pPr>
      <w:r>
        <w:rPr>
          <w:noProof/>
          <w:lang w:eastAsia="zh-TW" w:bidi="hi-IN"/>
        </w:rPr>
        <w:drawing>
          <wp:inline distT="0" distB="0" distL="0" distR="0" wp14:anchorId="36828803" wp14:editId="48A8BDFF">
            <wp:extent cx="2514600" cy="1819275"/>
            <wp:effectExtent l="0" t="0" r="0" b="9525"/>
            <wp:docPr id="2" name="Picture 2" descr="Comonwealth Crest with the words Australian Government, Attorney-General's Department, Ministry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onwealth Crest with the words Australian Government, Attorney-General's Department, Ministry for the Ar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Pr>
          <w:noProof/>
          <w:lang w:eastAsia="en-AU"/>
        </w:rPr>
        <w:tab/>
      </w:r>
      <w:r>
        <w:rPr>
          <w:noProof/>
          <w:lang w:eastAsia="zh-TW" w:bidi="hi-IN"/>
        </w:rPr>
        <w:drawing>
          <wp:inline distT="0" distB="0" distL="0" distR="0" wp14:anchorId="0C8DB07D" wp14:editId="32B85E83">
            <wp:extent cx="1933575" cy="2057400"/>
            <wp:effectExtent l="0" t="0" r="9525" b="0"/>
            <wp:docPr id="3" name="Picture 1" descr="100 yeas of Anzac the spirit lives 2014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yeas of Anzac the spirit lives 2014 to 2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2057400"/>
                    </a:xfrm>
                    <a:prstGeom prst="rect">
                      <a:avLst/>
                    </a:prstGeom>
                    <a:noFill/>
                    <a:ln>
                      <a:noFill/>
                    </a:ln>
                  </pic:spPr>
                </pic:pic>
              </a:graphicData>
            </a:graphic>
          </wp:inline>
        </w:drawing>
      </w:r>
    </w:p>
    <w:p w14:paraId="718907AD" w14:textId="39574EE1" w:rsidR="00827AF6" w:rsidRPr="00777D26" w:rsidRDefault="00827AF6" w:rsidP="00732C85">
      <w:pPr>
        <w:pStyle w:val="Heading1"/>
        <w:spacing w:before="840" w:after="360"/>
        <w:jc w:val="center"/>
      </w:pPr>
      <w:r w:rsidRPr="0065120B">
        <w:t>Anzac Centenary Arts and Culture Fund</w:t>
      </w:r>
      <w:r>
        <w:br/>
      </w:r>
      <w:r w:rsidRPr="0065120B">
        <w:t>Public Grants Program</w:t>
      </w:r>
      <w:r>
        <w:t xml:space="preserve"> Round 2 Guidelines</w:t>
      </w:r>
      <w:r>
        <w:br/>
      </w:r>
      <w:r w:rsidRPr="0065120B">
        <w:t>2014</w:t>
      </w:r>
      <w:r>
        <w:t>–</w:t>
      </w:r>
      <w:r w:rsidRPr="0065120B">
        <w:t>2018</w:t>
      </w:r>
    </w:p>
    <w:p w14:paraId="30F85E6D" w14:textId="77777777" w:rsidR="00827AF6" w:rsidRPr="00FC4BF8" w:rsidRDefault="00827AF6" w:rsidP="00FC4BF8">
      <w:pPr>
        <w:pStyle w:val="Heading2"/>
        <w:rPr>
          <w:color w:val="auto"/>
          <w:sz w:val="22"/>
          <w:szCs w:val="22"/>
        </w:rPr>
      </w:pPr>
      <w:r w:rsidRPr="00FC4BF8">
        <w:rPr>
          <w:color w:val="auto"/>
          <w:sz w:val="22"/>
          <w:szCs w:val="22"/>
        </w:rPr>
        <w:t>CONTACT DETAILS</w:t>
      </w:r>
    </w:p>
    <w:p w14:paraId="434B48B3" w14:textId="77777777" w:rsidR="00827AF6" w:rsidRPr="00F148FD" w:rsidRDefault="00827AF6" w:rsidP="00732C85">
      <w:r w:rsidRPr="00F148FD">
        <w:t xml:space="preserve">If you have any questions regarding the </w:t>
      </w:r>
      <w:r>
        <w:t>Anzac Centenary Arts and Culture Fund Public Grants Program</w:t>
      </w:r>
      <w:r w:rsidRPr="00F148FD">
        <w:t xml:space="preserve">, </w:t>
      </w:r>
      <w:r>
        <w:t>or if you require a hard copy of the application form and these guidelines please</w:t>
      </w:r>
      <w:r w:rsidRPr="00F148FD">
        <w:t>:</w:t>
      </w:r>
    </w:p>
    <w:p w14:paraId="3A30D158" w14:textId="77777777" w:rsidR="00827AF6" w:rsidRPr="00F148FD" w:rsidRDefault="00827AF6" w:rsidP="003D1885">
      <w:pPr>
        <w:pStyle w:val="Bullet1"/>
      </w:pPr>
      <w:r w:rsidRPr="00F148FD">
        <w:t xml:space="preserve">visit </w:t>
      </w:r>
      <w:r>
        <w:t>www.arts.gov.au/anzac</w:t>
      </w:r>
    </w:p>
    <w:p w14:paraId="7DDC0065" w14:textId="77777777" w:rsidR="00827AF6" w:rsidRPr="00F148FD" w:rsidRDefault="00827AF6" w:rsidP="003D1885">
      <w:pPr>
        <w:pStyle w:val="Bullet1"/>
      </w:pPr>
      <w:r w:rsidRPr="00F148FD">
        <w:t xml:space="preserve">email </w:t>
      </w:r>
      <w:hyperlink r:id="rId16" w:history="1">
        <w:r w:rsidRPr="00D10ABD">
          <w:rPr>
            <w:rStyle w:val="Hyperlink"/>
            <w:rFonts w:cs="Arial"/>
            <w:szCs w:val="18"/>
          </w:rPr>
          <w:t>anzac@arts.gov.au</w:t>
        </w:r>
      </w:hyperlink>
      <w:r w:rsidRPr="00F148FD">
        <w:t>, or</w:t>
      </w:r>
    </w:p>
    <w:p w14:paraId="7C082450" w14:textId="77777777" w:rsidR="00827AF6" w:rsidRPr="00777D26" w:rsidRDefault="00827AF6" w:rsidP="003D1885">
      <w:pPr>
        <w:pStyle w:val="Bullet1"/>
      </w:pPr>
      <w:proofErr w:type="gramStart"/>
      <w:r w:rsidRPr="00F148FD">
        <w:t>phone</w:t>
      </w:r>
      <w:proofErr w:type="gramEnd"/>
      <w:r w:rsidRPr="00F148FD">
        <w:t xml:space="preserve"> </w:t>
      </w:r>
      <w:r>
        <w:t>02 6141 4994</w:t>
      </w:r>
      <w:r w:rsidRPr="00F148FD">
        <w:t>.</w:t>
      </w:r>
    </w:p>
    <w:p w14:paraId="5F661A68" w14:textId="77777777" w:rsidR="00827AF6" w:rsidRPr="00FC4BF8" w:rsidRDefault="00827AF6" w:rsidP="00FC4BF8">
      <w:pPr>
        <w:pStyle w:val="Heading2"/>
        <w:rPr>
          <w:color w:val="auto"/>
          <w:sz w:val="22"/>
          <w:szCs w:val="22"/>
        </w:rPr>
      </w:pPr>
      <w:r w:rsidRPr="00FC4BF8">
        <w:rPr>
          <w:color w:val="auto"/>
          <w:sz w:val="22"/>
          <w:szCs w:val="22"/>
        </w:rPr>
        <w:t>CLOSING DATE</w:t>
      </w:r>
    </w:p>
    <w:p w14:paraId="6B0FDFAB" w14:textId="77777777" w:rsidR="00827AF6" w:rsidRPr="002D7945" w:rsidRDefault="00827AF6" w:rsidP="00827AF6">
      <w:r w:rsidRPr="002D7945">
        <w:t xml:space="preserve">Applications close at 5pm </w:t>
      </w:r>
      <w:r>
        <w:t xml:space="preserve">AEST </w:t>
      </w:r>
      <w:r w:rsidRPr="002D7945">
        <w:t>on</w:t>
      </w:r>
      <w:r>
        <w:t xml:space="preserve"> F</w:t>
      </w:r>
      <w:bookmarkStart w:id="0" w:name="_GoBack"/>
      <w:bookmarkEnd w:id="0"/>
      <w:r>
        <w:t>riday</w:t>
      </w:r>
      <w:r w:rsidRPr="002D7945">
        <w:t xml:space="preserve"> </w:t>
      </w:r>
      <w:r>
        <w:t>9 October 2015</w:t>
      </w:r>
      <w:r w:rsidRPr="002D7945">
        <w:t>.</w:t>
      </w:r>
    </w:p>
    <w:p w14:paraId="5C59548E" w14:textId="77777777" w:rsidR="00827AF6" w:rsidRDefault="00827AF6" w:rsidP="00827AF6">
      <w:r w:rsidRPr="00F148FD">
        <w:t>Please note that lat</w:t>
      </w:r>
      <w:r>
        <w:t>e entries will not be accepted.</w:t>
      </w:r>
    </w:p>
    <w:p w14:paraId="2B1C9AEA" w14:textId="77777777" w:rsidR="00827AF6" w:rsidRDefault="00827AF6" w:rsidP="00827AF6">
      <w:pPr>
        <w:rPr>
          <w:b/>
        </w:rPr>
      </w:pPr>
      <w:r w:rsidRPr="00414972">
        <w:rPr>
          <w:b/>
        </w:rPr>
        <w:t xml:space="preserve">Applications must be submitted by email to </w:t>
      </w:r>
      <w:hyperlink r:id="rId17" w:history="1">
        <w:r w:rsidRPr="00414972">
          <w:rPr>
            <w:rStyle w:val="Hyperlink"/>
            <w:rFonts w:cs="Arial"/>
            <w:szCs w:val="18"/>
          </w:rPr>
          <w:t>anzac@arts.gov.au</w:t>
        </w:r>
      </w:hyperlink>
      <w:r>
        <w:rPr>
          <w:b/>
        </w:rPr>
        <w:t>.</w:t>
      </w:r>
    </w:p>
    <w:p w14:paraId="7330BCC1" w14:textId="77777777" w:rsidR="00827AF6" w:rsidRDefault="00827AF6" w:rsidP="00827AF6">
      <w:r>
        <w:t xml:space="preserve">In exceptional circumstances only, applications can be posted to: </w:t>
      </w:r>
    </w:p>
    <w:p w14:paraId="2FC63073" w14:textId="77777777" w:rsidR="00827AF6" w:rsidRDefault="00827AF6" w:rsidP="00827AF6">
      <w:pPr>
        <w:spacing w:after="0"/>
        <w:ind w:left="567"/>
      </w:pPr>
      <w:r>
        <w:t>Anzac Centenary Arts and Culture Fund</w:t>
      </w:r>
    </w:p>
    <w:p w14:paraId="613D7AAD" w14:textId="77777777" w:rsidR="00827AF6" w:rsidRDefault="00827AF6" w:rsidP="00827AF6">
      <w:pPr>
        <w:spacing w:after="0"/>
        <w:ind w:left="567"/>
      </w:pPr>
      <w:r>
        <w:t>Ministry for the Arts</w:t>
      </w:r>
    </w:p>
    <w:p w14:paraId="0E9822F5" w14:textId="77777777" w:rsidR="00827AF6" w:rsidRDefault="00827AF6" w:rsidP="00827AF6">
      <w:pPr>
        <w:spacing w:after="0"/>
        <w:ind w:left="567"/>
      </w:pPr>
      <w:r>
        <w:t>Attorney-General’s Department</w:t>
      </w:r>
    </w:p>
    <w:p w14:paraId="7D81B7E3" w14:textId="77777777" w:rsidR="00827AF6" w:rsidRDefault="00827AF6" w:rsidP="00827AF6">
      <w:pPr>
        <w:spacing w:after="0"/>
        <w:ind w:left="567"/>
      </w:pPr>
      <w:r>
        <w:t>4 National Circuit</w:t>
      </w:r>
    </w:p>
    <w:p w14:paraId="74788A14" w14:textId="77777777" w:rsidR="00827AF6" w:rsidRDefault="00827AF6" w:rsidP="00827AF6">
      <w:pPr>
        <w:ind w:left="567"/>
      </w:pPr>
      <w:proofErr w:type="gramStart"/>
      <w:r>
        <w:t>BARTON  ACT</w:t>
      </w:r>
      <w:proofErr w:type="gramEnd"/>
      <w:r>
        <w:t xml:space="preserve">  2600</w:t>
      </w:r>
    </w:p>
    <w:p w14:paraId="7F11162F" w14:textId="77777777" w:rsidR="00827AF6" w:rsidRDefault="00827AF6" w:rsidP="00827AF6">
      <w:pPr>
        <w:pStyle w:val="Heading2"/>
      </w:pPr>
      <w:r w:rsidRPr="0062116F">
        <w:lastRenderedPageBreak/>
        <w:t>SECTION 1: Introduction</w:t>
      </w:r>
    </w:p>
    <w:p w14:paraId="4D8CF99E" w14:textId="77777777" w:rsidR="00827AF6" w:rsidRPr="00FC2EF8" w:rsidRDefault="00827AF6" w:rsidP="00732C85">
      <w:pPr>
        <w:pStyle w:val="Heading3"/>
      </w:pPr>
      <w:r w:rsidRPr="00FC2EF8">
        <w:t>1. Introduction</w:t>
      </w:r>
    </w:p>
    <w:p w14:paraId="3450F57F" w14:textId="77777777" w:rsidR="00827AF6" w:rsidRPr="002156D2" w:rsidRDefault="00827AF6" w:rsidP="00732C85">
      <w:pPr>
        <w:pStyle w:val="Heading4"/>
      </w:pPr>
      <w:r w:rsidRPr="002156D2">
        <w:t>1.1 Background: Anzac Centenary</w:t>
      </w:r>
    </w:p>
    <w:p w14:paraId="20E6CD79" w14:textId="77777777" w:rsidR="00827AF6" w:rsidRPr="002A2446" w:rsidRDefault="00827AF6" w:rsidP="00732C85">
      <w:r>
        <w:t>Worldwide</w:t>
      </w:r>
      <w:r w:rsidRPr="002A2446">
        <w:t xml:space="preserve"> commemorations marking the centenary of the First World War </w:t>
      </w:r>
      <w:r>
        <w:t xml:space="preserve">started in 2014 and are </w:t>
      </w:r>
      <w:r w:rsidRPr="002A2446">
        <w:t xml:space="preserve">continuing until 2018. For Australians, the ‘Anzac Centenary’ </w:t>
      </w:r>
      <w:r>
        <w:t>is</w:t>
      </w:r>
      <w:r w:rsidRPr="002A2446">
        <w:t xml:space="preserve"> one of the most significant commemorations to take place in the lives of current generations.</w:t>
      </w:r>
    </w:p>
    <w:p w14:paraId="3A449E8B" w14:textId="23E04290" w:rsidR="00827AF6" w:rsidRPr="002A2446" w:rsidRDefault="00827AF6" w:rsidP="00732C85">
      <w:r w:rsidRPr="002A2446">
        <w:t>The Anzac Centenary Advisory Board determined that the Anzac Centen</w:t>
      </w:r>
      <w:r>
        <w:t>ary should focus on two themes:</w:t>
      </w:r>
    </w:p>
    <w:p w14:paraId="75831049" w14:textId="77777777" w:rsidR="00827AF6" w:rsidRPr="002A2446" w:rsidRDefault="00827AF6" w:rsidP="003D1885">
      <w:pPr>
        <w:pStyle w:val="Bullet1"/>
      </w:pPr>
      <w:r w:rsidRPr="002A2446">
        <w:t>the centenary of the First World War</w:t>
      </w:r>
    </w:p>
    <w:p w14:paraId="4014BFE6" w14:textId="77777777" w:rsidR="00827AF6" w:rsidRPr="002A2446" w:rsidRDefault="00827AF6" w:rsidP="003D1885">
      <w:pPr>
        <w:pStyle w:val="Bullet1"/>
      </w:pPr>
      <w:r w:rsidRPr="002A2446">
        <w:t>a Century of Service</w:t>
      </w:r>
      <w:r>
        <w:t>—</w:t>
      </w:r>
      <w:r w:rsidRPr="002A2446">
        <w:t>commemorating more than a century of service and sacrifice by the men and women who have served, and continue to serve, Australia and its allies during war and on peacekeeping operations.</w:t>
      </w:r>
    </w:p>
    <w:p w14:paraId="2268E655" w14:textId="77777777" w:rsidR="00827AF6" w:rsidRPr="002A2446" w:rsidRDefault="00827AF6" w:rsidP="00732C85">
      <w:r w:rsidRPr="002A2446">
        <w:t>The Australian Government has committed</w:t>
      </w:r>
      <w:r>
        <w:t xml:space="preserve"> approximately $312 million </w:t>
      </w:r>
      <w:r w:rsidRPr="002A2446">
        <w:t>to activities to commemorate the Anzac Centenary, including $4</w:t>
      </w:r>
      <w:r>
        <w:t> </w:t>
      </w:r>
      <w:r w:rsidRPr="002A2446">
        <w:t>million for an Arts and Culture Fund. The Arts and Culture Fund will be deli</w:t>
      </w:r>
      <w:r>
        <w:t>vered over four years from 2014–</w:t>
      </w:r>
      <w:r w:rsidRPr="002A2446">
        <w:t>15 to 2017</w:t>
      </w:r>
      <w:r>
        <w:t>–</w:t>
      </w:r>
      <w:r w:rsidRPr="002A2446">
        <w:t>18.</w:t>
      </w:r>
    </w:p>
    <w:p w14:paraId="4D86D3AC" w14:textId="77777777" w:rsidR="00827AF6" w:rsidRPr="002A2446" w:rsidRDefault="00827AF6" w:rsidP="00732C85">
      <w:r w:rsidRPr="002A2446">
        <w:t>Art is a fitting way to celebrate the extraordinary spirit that characterises</w:t>
      </w:r>
      <w:r>
        <w:t xml:space="preserve"> Australia’s brave servicemen and women involved in wars and conflicts throughout our history and</w:t>
      </w:r>
      <w:r w:rsidRPr="002A2446">
        <w:t xml:space="preserve"> the Anzac legend. Projects supported through the Anzac Centenary Arts and Culture Fund will tell the story of the Anzacs and how their sacrifice shaped our nation. Artistic expression will convey a multitude of themes, stories, reflections and messages about Australia’s experiences of war at home and abroad in powerful and diverse ways, contributing an extra dimension to the broader Anzac Centenary commemorative program.</w:t>
      </w:r>
    </w:p>
    <w:p w14:paraId="0CA8E89E" w14:textId="77777777" w:rsidR="00827AF6" w:rsidRPr="00FC2EF8" w:rsidRDefault="00827AF6" w:rsidP="00732C85">
      <w:pPr>
        <w:pStyle w:val="Heading3"/>
      </w:pPr>
      <w:r w:rsidRPr="00FC2EF8">
        <w:t>2. The Anzac Centenary Arts and Culture Fund</w:t>
      </w:r>
    </w:p>
    <w:p w14:paraId="46F0A56D" w14:textId="77777777" w:rsidR="00827AF6" w:rsidRPr="002A2446" w:rsidRDefault="00827AF6" w:rsidP="00732C85">
      <w:r w:rsidRPr="002A2446">
        <w:t>The purpose of the Anzac Centenary Arts and Cultural Fund is to support individuals, organisations and groups, including cultural institutions, artists and arts organisations, to create and access artistic and cultural activities, including physical and virtual exhibitions and the creation, presentation, publication and performance of artistic works with the objective of interpreting, exploring and contributing to the Anzac story and the Anzac legacy.</w:t>
      </w:r>
    </w:p>
    <w:p w14:paraId="43EF7DC7" w14:textId="77777777" w:rsidR="00827AF6" w:rsidRPr="002A2446" w:rsidRDefault="00827AF6" w:rsidP="00732C85">
      <w:r w:rsidRPr="002A2446">
        <w:t>In order to balance major national projects with significant community outreach, and to empower all communities to commemorate and remember their own history of service and sacrifice in ways of their choosing, the Arts and Culture Fund will be delivered in two streams</w:t>
      </w:r>
      <w:r>
        <w:t>:</w:t>
      </w:r>
    </w:p>
    <w:p w14:paraId="39D99A9A" w14:textId="77777777" w:rsidR="00827AF6" w:rsidRPr="00E310B8" w:rsidRDefault="00827AF6" w:rsidP="00732C85">
      <w:pPr>
        <w:pStyle w:val="Heading4"/>
      </w:pPr>
      <w:r w:rsidRPr="002156D2">
        <w:t>2.1 Production and Commissioning Fund</w:t>
      </w:r>
    </w:p>
    <w:p w14:paraId="6C0CC6AE" w14:textId="77777777" w:rsidR="00827AF6" w:rsidRPr="002A2446" w:rsidRDefault="00827AF6" w:rsidP="00732C85">
      <w:r>
        <w:t xml:space="preserve">Funding of </w:t>
      </w:r>
      <w:r w:rsidRPr="002A2446">
        <w:t>$2</w:t>
      </w:r>
      <w:r>
        <w:t> </w:t>
      </w:r>
      <w:r w:rsidRPr="002A2446">
        <w:t>million will be available</w:t>
      </w:r>
      <w:r>
        <w:t xml:space="preserve"> across four years</w:t>
      </w:r>
      <w:r w:rsidRPr="002A2446">
        <w:t xml:space="preserve"> through a Production and Commissioning Fund, under the leadership of the Creative Advisor. The Creative Advisor, with the assistance of a Creative Advisory Panel, will commission a range of projects with an emphasis on national and regional collaboration and reach. For information about the Production and Commissioning Fund, visit </w:t>
      </w:r>
      <w:hyperlink r:id="rId18" w:history="1">
        <w:r w:rsidRPr="002A2446">
          <w:rPr>
            <w:rStyle w:val="Hyperlink"/>
          </w:rPr>
          <w:t>www.arts.gov.au/anzac</w:t>
        </w:r>
      </w:hyperlink>
      <w:r w:rsidRPr="002A2446">
        <w:t>.</w:t>
      </w:r>
    </w:p>
    <w:p w14:paraId="42FA1565" w14:textId="77777777" w:rsidR="00827AF6" w:rsidRPr="002156D2" w:rsidRDefault="00827AF6" w:rsidP="00732C85">
      <w:pPr>
        <w:pStyle w:val="Heading4"/>
      </w:pPr>
      <w:r w:rsidRPr="002156D2">
        <w:lastRenderedPageBreak/>
        <w:t>2.2 Public Grants Program</w:t>
      </w:r>
    </w:p>
    <w:p w14:paraId="0F138E79" w14:textId="77777777" w:rsidR="00827AF6" w:rsidRPr="002A2446" w:rsidRDefault="00827AF6" w:rsidP="00732C85">
      <w:r>
        <w:t>Funding of</w:t>
      </w:r>
      <w:r w:rsidRPr="002A2446">
        <w:t xml:space="preserve"> $2 million</w:t>
      </w:r>
      <w:r>
        <w:t xml:space="preserve"> will be available across four years through</w:t>
      </w:r>
      <w:r w:rsidRPr="002A2446">
        <w:t xml:space="preserve"> </w:t>
      </w:r>
      <w:r>
        <w:t xml:space="preserve">an </w:t>
      </w:r>
      <w:r w:rsidRPr="002A2446">
        <w:t xml:space="preserve">open public grants program </w:t>
      </w:r>
      <w:r>
        <w:t xml:space="preserve">that </w:t>
      </w:r>
      <w:r w:rsidRPr="002A2446">
        <w:t>will be administered by the Ministry for the Arts, providing funding to individuals, organisations and groups for collaborative, commemorative arts and culture projects that engage local communities, particularly in regional Australia, and produce high quality artistic outputs.</w:t>
      </w:r>
    </w:p>
    <w:p w14:paraId="42B780A2" w14:textId="32F0EC56" w:rsidR="00827AF6" w:rsidRPr="002A2446" w:rsidRDefault="00827AF6" w:rsidP="00732C85">
      <w:r w:rsidRPr="002A2446">
        <w:t>National, state and territory cultural institutions may apply for funding of up to $100,000 (GST exclusive) per project while all other applicants may apply for funding of up to $50,000 (GST exclusive) per project. Please note that this grant can only make up a maximum 70</w:t>
      </w:r>
      <w:r w:rsidR="00366BB4">
        <w:t> </w:t>
      </w:r>
      <w:r w:rsidRPr="002A2446">
        <w:t>per cent of the total p</w:t>
      </w:r>
      <w:r w:rsidR="003626B5">
        <w:t>roject budget. The remaining 30 </w:t>
      </w:r>
      <w:r w:rsidRPr="002A2446">
        <w:t>per cent may consist of cash or in-kind contributions from the applicant, project partners, sponsors or other income sources. Volunteer hours can also be included as part of an applicant’s contribution.</w:t>
      </w:r>
    </w:p>
    <w:p w14:paraId="5470898F" w14:textId="77777777" w:rsidR="00827AF6" w:rsidRPr="00732C85" w:rsidRDefault="00827AF6" w:rsidP="00732C85">
      <w:pPr>
        <w:rPr>
          <w:b/>
        </w:rPr>
      </w:pPr>
      <w:r w:rsidRPr="00732C85">
        <w:rPr>
          <w:b/>
        </w:rPr>
        <w:t>These guidelines outline the eligibility, selection criteria and terms and conditions of funding for the Public Grants Program only. The Production and Commissioning Fund is managed through a separate process not covered by this document.</w:t>
      </w:r>
    </w:p>
    <w:p w14:paraId="29190B7C" w14:textId="77777777" w:rsidR="00827AF6" w:rsidRPr="002156D2" w:rsidRDefault="00827AF6" w:rsidP="00732C85">
      <w:pPr>
        <w:pStyle w:val="Heading3"/>
      </w:pPr>
      <w:r w:rsidRPr="002156D2">
        <w:t>3. Objectives</w:t>
      </w:r>
    </w:p>
    <w:p w14:paraId="40DA4C05" w14:textId="77777777" w:rsidR="00827AF6" w:rsidRPr="002156D2" w:rsidRDefault="00827AF6" w:rsidP="00732C85">
      <w:pPr>
        <w:pStyle w:val="Heading4"/>
      </w:pPr>
      <w:r w:rsidRPr="002156D2">
        <w:t>3.1 Anzac Centenary Arts and Culture Fund objectives</w:t>
      </w:r>
    </w:p>
    <w:p w14:paraId="11A32998" w14:textId="77777777" w:rsidR="00827AF6" w:rsidRPr="002A2446" w:rsidRDefault="00827AF6" w:rsidP="00732C85">
      <w:r w:rsidRPr="002A2446">
        <w:t>The Anzac Centenary Arts and Culture Fund will support the development, production, presentation, exhibition or performance of arts and culture projects that enhance our und</w:t>
      </w:r>
      <w:r>
        <w:t>erstanding of the Anzac legacy.</w:t>
      </w:r>
    </w:p>
    <w:p w14:paraId="23A61D63" w14:textId="77777777" w:rsidR="00827AF6" w:rsidRDefault="00827AF6" w:rsidP="00732C85">
      <w:r w:rsidRPr="002A2446">
        <w:t>The Public Grants Program will achieve this by:</w:t>
      </w:r>
    </w:p>
    <w:p w14:paraId="4F024272" w14:textId="77777777" w:rsidR="00827AF6" w:rsidRPr="002A2446" w:rsidRDefault="00827AF6" w:rsidP="003D1885">
      <w:pPr>
        <w:pStyle w:val="Bullet1"/>
      </w:pPr>
      <w:r w:rsidRPr="002A2446">
        <w:t>empowering communities, individuals, organisations and artists to commemorate and remember their own history of service and sacrifice through high quality arts and culture activities</w:t>
      </w:r>
    </w:p>
    <w:p w14:paraId="5896ECC8" w14:textId="77777777" w:rsidR="00827AF6" w:rsidRPr="002A2446" w:rsidRDefault="00827AF6" w:rsidP="003D1885">
      <w:pPr>
        <w:pStyle w:val="Bullet1"/>
      </w:pPr>
      <w:r w:rsidRPr="002A2446">
        <w:t>ensuring communities have the opportunity to access and contribute to quality arts and cultural activities that commemorate the Anzac Centenary across the duration of the commemorative period</w:t>
      </w:r>
    </w:p>
    <w:p w14:paraId="67F0BDA1" w14:textId="77777777" w:rsidR="00827AF6" w:rsidRPr="002A2446" w:rsidRDefault="00827AF6" w:rsidP="003D1885">
      <w:pPr>
        <w:pStyle w:val="Bullet1"/>
      </w:pPr>
      <w:proofErr w:type="gramStart"/>
      <w:r w:rsidRPr="002A2446">
        <w:t>encouraging</w:t>
      </w:r>
      <w:proofErr w:type="gramEnd"/>
      <w:r w:rsidRPr="002A2446">
        <w:t xml:space="preserve"> Australian artists to explore a wide range of themes, and engage and educate audiences about the experiences, values and emotions of the men and women involved in Australia’s military past in powerful and diverse ways.</w:t>
      </w:r>
    </w:p>
    <w:p w14:paraId="50F7CAC1" w14:textId="77777777" w:rsidR="00827AF6" w:rsidRDefault="00827AF6" w:rsidP="00732C85">
      <w:pPr>
        <w:pStyle w:val="Heading2"/>
      </w:pPr>
      <w:r>
        <w:t>SECTION 2: Public Grants Program</w:t>
      </w:r>
    </w:p>
    <w:p w14:paraId="4D2A288D" w14:textId="77777777" w:rsidR="00827AF6" w:rsidRPr="002156D2" w:rsidRDefault="00827AF6" w:rsidP="00732C85">
      <w:pPr>
        <w:pStyle w:val="Heading3"/>
      </w:pPr>
      <w:r w:rsidRPr="002156D2">
        <w:t>4. Eligibility</w:t>
      </w:r>
    </w:p>
    <w:p w14:paraId="65628C47" w14:textId="77777777" w:rsidR="00827AF6" w:rsidRPr="002156D2" w:rsidRDefault="00827AF6" w:rsidP="00732C85">
      <w:pPr>
        <w:pStyle w:val="Heading4"/>
      </w:pPr>
      <w:r w:rsidRPr="002156D2">
        <w:t>4.1 Eligibility Criteria</w:t>
      </w:r>
    </w:p>
    <w:p w14:paraId="10AC5E95" w14:textId="6C1BE736" w:rsidR="00827AF6" w:rsidRPr="002A2446" w:rsidRDefault="00827AF6" w:rsidP="00732C85">
      <w:r w:rsidRPr="002A2446">
        <w:t>All applicants, projects and applications must meet the following eligibility criteria. Incomplete applications and applications that do not meet the eligibility criteria and fully address the selection criteria will not progress</w:t>
      </w:r>
      <w:r w:rsidR="00732C85">
        <w:t xml:space="preserve"> in the assessment process.</w:t>
      </w:r>
    </w:p>
    <w:p w14:paraId="2358D3DB" w14:textId="77777777" w:rsidR="00827AF6" w:rsidRPr="002A2446" w:rsidRDefault="00827AF6" w:rsidP="003D1885">
      <w:pPr>
        <w:pStyle w:val="Bullet1"/>
      </w:pPr>
      <w:r w:rsidRPr="002A2446">
        <w:t>Projects must address the Anzac Centenary Arts and Culture Fund objectives, and eligi</w:t>
      </w:r>
      <w:r>
        <w:t>bility and assessment criteria.</w:t>
      </w:r>
    </w:p>
    <w:p w14:paraId="21C43926" w14:textId="77777777" w:rsidR="00827AF6" w:rsidRPr="002A2446" w:rsidRDefault="00827AF6" w:rsidP="003D1885">
      <w:pPr>
        <w:pStyle w:val="Bullet1"/>
      </w:pPr>
      <w:r w:rsidRPr="002A2446">
        <w:t>Projects must deliver an arts and culture outcome that com</w:t>
      </w:r>
      <w:r>
        <w:t>memorates the Anzac Centenary.</w:t>
      </w:r>
    </w:p>
    <w:p w14:paraId="7FD1304E" w14:textId="77777777" w:rsidR="00827AF6" w:rsidRPr="002A2446" w:rsidRDefault="00827AF6" w:rsidP="003D1885">
      <w:pPr>
        <w:pStyle w:val="Bullet1"/>
      </w:pPr>
      <w:r w:rsidRPr="002A2446">
        <w:t xml:space="preserve">Projects must respect the commemorative involvement, service and sacrifice of Australia’s servicemen and women, and of other nations involved in military conflicts. Projects that do not enhance our </w:t>
      </w:r>
      <w:r w:rsidRPr="002A2446">
        <w:lastRenderedPageBreak/>
        <w:t>understanding of the Anzac legacy or fit within the spirit of the Anzac Centenary commemorative program will be ineligible.</w:t>
      </w:r>
    </w:p>
    <w:p w14:paraId="173727CF" w14:textId="77777777" w:rsidR="00827AF6" w:rsidRPr="002A2446" w:rsidRDefault="00827AF6" w:rsidP="003D1885">
      <w:pPr>
        <w:pStyle w:val="Bullet1"/>
      </w:pPr>
      <w:r w:rsidRPr="002A2446">
        <w:t>Individuals, groups and organisations, including but not limited to national, state or territory arts institutions, arts organisations, individual artists, local governments and community groups are eligible to apply for funding through the Anzac Centenary Arts and Culture Fund Public Grants Program. Individuals must be Australian citizens or residents to apply. Entities ou</w:t>
      </w:r>
      <w:r>
        <w:t>tside Australia are ineligible.</w:t>
      </w:r>
    </w:p>
    <w:p w14:paraId="39FEF343" w14:textId="77777777" w:rsidR="00827AF6" w:rsidRPr="002A2446" w:rsidRDefault="00827AF6" w:rsidP="003D1885">
      <w:pPr>
        <w:pStyle w:val="Bullet1"/>
      </w:pPr>
      <w:r w:rsidRPr="002A2446">
        <w:t>Projects funded through the Production and Commissioning Fund are not eligible to apply through the Public Grants Program. Similarly, projects funded through the Public Grants Program are not eligible for funding through the Production and Commissioning Fund.</w:t>
      </w:r>
    </w:p>
    <w:p w14:paraId="04C71AA0" w14:textId="77777777" w:rsidR="00827AF6" w:rsidRPr="002A2446" w:rsidRDefault="00827AF6" w:rsidP="003D1885">
      <w:pPr>
        <w:pStyle w:val="Bullet1"/>
      </w:pPr>
      <w:r w:rsidRPr="002A2446">
        <w:t>Projects must demonstrate financial or in-kind support from a source other than the Australian Government on the budget page of the application form. Please note that this grant can only make up a maximum 70 per cent of the total project budget. The remaining 30 per cent may consist of cash or in-kind contributions from the applicant, project partners, sponsors or other income sources. Volunteer hours can also be included as part of an applicant’s contribution.</w:t>
      </w:r>
    </w:p>
    <w:p w14:paraId="655511F6" w14:textId="77777777" w:rsidR="00827AF6" w:rsidRPr="002A2446" w:rsidRDefault="00827AF6" w:rsidP="003D1885">
      <w:pPr>
        <w:pStyle w:val="Bullet1"/>
      </w:pPr>
      <w:r w:rsidRPr="002A2446">
        <w:t>Applicants must have an ABN to be eligible for funding.</w:t>
      </w:r>
    </w:p>
    <w:p w14:paraId="6DD5C6AF" w14:textId="77777777" w:rsidR="00827AF6" w:rsidRPr="002156D2" w:rsidRDefault="00827AF6" w:rsidP="00732C85">
      <w:pPr>
        <w:pStyle w:val="Heading4"/>
      </w:pPr>
      <w:r w:rsidRPr="002156D2">
        <w:t>4.2 Eligible Activities</w:t>
      </w:r>
    </w:p>
    <w:p w14:paraId="3D3424B4" w14:textId="2A3CA0F3" w:rsidR="00827AF6" w:rsidRPr="002A2446" w:rsidRDefault="00827AF6" w:rsidP="00732C85">
      <w:r w:rsidRPr="002A2446">
        <w:t>The Arts and Culture Fund Public Grants Program will support the development, production, presentation, exhibition or performance of arts and culture projects that enhance our understanding of the Anzac legacy including, but not limited to: the impacts of service on those returning from war, the contribution of women, Indigenous Australians, Australians from culturally and linguistically diverse backgrounds, and those on the home front, in any of Australia’s war efforts. The Arts and Culture Fund is open to all types of artistic media, provided the project meets the elig</w:t>
      </w:r>
      <w:r>
        <w:t>ibility and selection criteria.</w:t>
      </w:r>
    </w:p>
    <w:p w14:paraId="4C57BD9A" w14:textId="77777777" w:rsidR="00827AF6" w:rsidRPr="002A2446" w:rsidRDefault="00827AF6" w:rsidP="00732C85">
      <w:r w:rsidRPr="002A2446">
        <w:t>Examples of eligible projects include, but are not limited to:</w:t>
      </w:r>
    </w:p>
    <w:p w14:paraId="5D11A22C" w14:textId="77777777" w:rsidR="00827AF6" w:rsidRPr="003A246C" w:rsidRDefault="00827AF6" w:rsidP="003D1885">
      <w:pPr>
        <w:pStyle w:val="Bullet1"/>
        <w:rPr>
          <w:b/>
        </w:rPr>
      </w:pPr>
      <w:r w:rsidRPr="002A2446">
        <w:t>an exh</w:t>
      </w:r>
      <w:r w:rsidRPr="003A246C">
        <w:t>ibition of artworks by ex-service personnel themed around Australia’s military history staged at a regional gallery</w:t>
      </w:r>
    </w:p>
    <w:p w14:paraId="08875B0A" w14:textId="77777777" w:rsidR="00827AF6" w:rsidRPr="003A246C" w:rsidRDefault="00827AF6" w:rsidP="003D1885">
      <w:pPr>
        <w:pStyle w:val="Bullet1"/>
        <w:rPr>
          <w:b/>
        </w:rPr>
      </w:pPr>
      <w:r w:rsidRPr="003A246C">
        <w:t>a tour of a newly developed theatre production about the impacts of Australia’s involvement in war on families at home</w:t>
      </w:r>
    </w:p>
    <w:p w14:paraId="4BBC3512" w14:textId="0B1E4435" w:rsidR="00827AF6" w:rsidRPr="003A246C" w:rsidRDefault="00827AF6" w:rsidP="003D1885">
      <w:pPr>
        <w:pStyle w:val="Bullet1"/>
        <w:rPr>
          <w:b/>
        </w:rPr>
      </w:pPr>
      <w:r w:rsidRPr="003A246C">
        <w:t>the collection, preservation, interpretation and exhibi</w:t>
      </w:r>
      <w:r>
        <w:t>tion of a series of war posters</w:t>
      </w:r>
    </w:p>
    <w:p w14:paraId="0E4CD45A" w14:textId="525C3F91" w:rsidR="00827AF6" w:rsidRPr="003A246C" w:rsidRDefault="00827AF6" w:rsidP="003D1885">
      <w:pPr>
        <w:pStyle w:val="Bullet1"/>
        <w:rPr>
          <w:b/>
        </w:rPr>
      </w:pPr>
      <w:r w:rsidRPr="003A246C">
        <w:t>the digitisation of an art and/or photography collection related to the centenary of the First World War for an onli</w:t>
      </w:r>
      <w:r>
        <w:t>ne exhibition of the collection</w:t>
      </w:r>
    </w:p>
    <w:p w14:paraId="347B27E2" w14:textId="77777777" w:rsidR="00827AF6" w:rsidRPr="003A246C" w:rsidRDefault="00827AF6" w:rsidP="003D1885">
      <w:pPr>
        <w:pStyle w:val="Bullet1"/>
        <w:rPr>
          <w:b/>
        </w:rPr>
      </w:pPr>
      <w:r w:rsidRPr="003A246C">
        <w:t>an exhibition of a collection of sound clips and video of Australian soldiers recalling their war experiences, with a focus on contributing to the understanding of the Anzac legacy and Australia’s military history</w:t>
      </w:r>
    </w:p>
    <w:p w14:paraId="73B5E2DD" w14:textId="77777777" w:rsidR="00827AF6" w:rsidRPr="003A246C" w:rsidRDefault="00827AF6" w:rsidP="003D1885">
      <w:pPr>
        <w:pStyle w:val="Bullet1"/>
        <w:rPr>
          <w:b/>
        </w:rPr>
      </w:pPr>
      <w:r w:rsidRPr="003A246C">
        <w:t>a documentary about an aspect of Australia’s military history</w:t>
      </w:r>
    </w:p>
    <w:p w14:paraId="23CD295B" w14:textId="77777777" w:rsidR="00827AF6" w:rsidRPr="003A246C" w:rsidRDefault="00827AF6" w:rsidP="003D1885">
      <w:pPr>
        <w:pStyle w:val="Bullet1"/>
        <w:rPr>
          <w:b/>
        </w:rPr>
      </w:pPr>
      <w:r w:rsidRPr="003A246C">
        <w:t>a multi-art project involving installations, projections, recorded interviews and archival material</w:t>
      </w:r>
    </w:p>
    <w:p w14:paraId="10B83F49" w14:textId="77777777" w:rsidR="00827AF6" w:rsidRPr="003A246C" w:rsidRDefault="00827AF6" w:rsidP="003D1885">
      <w:pPr>
        <w:pStyle w:val="Bullet1"/>
        <w:rPr>
          <w:b/>
        </w:rPr>
      </w:pPr>
      <w:r w:rsidRPr="003A246C">
        <w:t>a new performance piece, developed for a state arts festival, may be supported to tour to other parts of Australia</w:t>
      </w:r>
    </w:p>
    <w:p w14:paraId="076081FB" w14:textId="25E88A68" w:rsidR="00827AF6" w:rsidRPr="003A246C" w:rsidRDefault="00827AF6" w:rsidP="003D1885">
      <w:pPr>
        <w:pStyle w:val="Bullet1"/>
        <w:rPr>
          <w:b/>
        </w:rPr>
      </w:pPr>
      <w:r w:rsidRPr="003A246C">
        <w:t>an orchestra performance of music that appropriately commemorates the service and sacrifice of A</w:t>
      </w:r>
      <w:r w:rsidR="00366BB4">
        <w:t>ustralia’s servicemen and women</w:t>
      </w:r>
    </w:p>
    <w:p w14:paraId="1C671EFA" w14:textId="77777777" w:rsidR="00827AF6" w:rsidRPr="003A246C" w:rsidRDefault="00827AF6" w:rsidP="003D1885">
      <w:pPr>
        <w:pStyle w:val="Bullet1"/>
        <w:rPr>
          <w:b/>
        </w:rPr>
      </w:pPr>
      <w:r w:rsidRPr="003A246C">
        <w:t>the production and performance of a unique musical theatre piece that focuses on the Anzac story and enhances the community’s understanding of the sacrifices made by Australia’s service men and women</w:t>
      </w:r>
    </w:p>
    <w:p w14:paraId="3B1C176A" w14:textId="77777777" w:rsidR="00827AF6" w:rsidRPr="003A246C" w:rsidRDefault="00827AF6" w:rsidP="003D1885">
      <w:pPr>
        <w:pStyle w:val="Bullet1"/>
        <w:rPr>
          <w:b/>
        </w:rPr>
      </w:pPr>
      <w:r w:rsidRPr="003A246C">
        <w:t>an exhibition exploring the stories of Indigenous Australian soldiers who fought in the First World War, as told through photographs, written letters, personal possessions and interviews with relatives</w:t>
      </w:r>
    </w:p>
    <w:p w14:paraId="3FBB18FF" w14:textId="77777777" w:rsidR="00827AF6" w:rsidRPr="003A246C" w:rsidRDefault="00827AF6" w:rsidP="003D1885">
      <w:pPr>
        <w:pStyle w:val="Bullet1"/>
        <w:rPr>
          <w:b/>
        </w:rPr>
      </w:pPr>
      <w:proofErr w:type="gramStart"/>
      <w:r w:rsidRPr="003A246C">
        <w:t>an</w:t>
      </w:r>
      <w:proofErr w:type="gramEnd"/>
      <w:r w:rsidRPr="003A246C">
        <w:t xml:space="preserve"> artist fellowship at a cultural institution that results in the production of a publicly accessible arts project making use of the institution’s collection.</w:t>
      </w:r>
    </w:p>
    <w:p w14:paraId="07BAC02A" w14:textId="77777777" w:rsidR="00827AF6" w:rsidRPr="002156D2" w:rsidRDefault="00827AF6" w:rsidP="00732C85">
      <w:pPr>
        <w:pStyle w:val="Heading4"/>
      </w:pPr>
      <w:r w:rsidRPr="002156D2">
        <w:t>4.3 Ineligible Activities</w:t>
      </w:r>
    </w:p>
    <w:p w14:paraId="226AB059" w14:textId="77777777" w:rsidR="00827AF6" w:rsidRPr="002A2446" w:rsidRDefault="00827AF6" w:rsidP="00732C85">
      <w:r w:rsidRPr="002A2446">
        <w:t>The following activities are not eligible for funding:</w:t>
      </w:r>
    </w:p>
    <w:p w14:paraId="71FC1CCC" w14:textId="77777777" w:rsidR="00827AF6" w:rsidRPr="002A2446" w:rsidRDefault="00827AF6" w:rsidP="003D1885">
      <w:pPr>
        <w:pStyle w:val="Bullet1"/>
      </w:pPr>
      <w:r w:rsidRPr="002A2446">
        <w:t>ongoing administration costs of an organisation associated with a project</w:t>
      </w:r>
    </w:p>
    <w:p w14:paraId="6FE9AF79" w14:textId="77777777" w:rsidR="00827AF6" w:rsidRPr="002A2446" w:rsidRDefault="00827AF6" w:rsidP="003D1885">
      <w:pPr>
        <w:pStyle w:val="Bullet1"/>
      </w:pPr>
      <w:r w:rsidRPr="002A2446">
        <w:t>infrastructure projects and projects involving the purchase of non-art product assets, such as the purchase, renovation or maintenance of a building, purchase of computers</w:t>
      </w:r>
    </w:p>
    <w:p w14:paraId="72FDAE6A" w14:textId="77777777" w:rsidR="00827AF6" w:rsidRPr="002A2446" w:rsidRDefault="00827AF6" w:rsidP="003D1885">
      <w:pPr>
        <w:pStyle w:val="Bullet1"/>
      </w:pPr>
      <w:proofErr w:type="gramStart"/>
      <w:r w:rsidRPr="002A2446">
        <w:t>heritage</w:t>
      </w:r>
      <w:proofErr w:type="gramEnd"/>
      <w:r w:rsidRPr="002A2446">
        <w:t xml:space="preserve"> activities such as conservation of, or signage at, heritage sites. Arts projects located at heritage sites are eligible</w:t>
      </w:r>
    </w:p>
    <w:p w14:paraId="09190349" w14:textId="77777777" w:rsidR="00827AF6" w:rsidRPr="002A2446" w:rsidRDefault="00827AF6" w:rsidP="003D1885">
      <w:pPr>
        <w:pStyle w:val="Bullet1"/>
      </w:pPr>
      <w:r w:rsidRPr="002A2446">
        <w:t>research projects that do not result in an arts and culture outcome</w:t>
      </w:r>
    </w:p>
    <w:p w14:paraId="1F9FB4DA" w14:textId="77777777" w:rsidR="00827AF6" w:rsidRPr="002A2446" w:rsidRDefault="00827AF6" w:rsidP="003D1885">
      <w:pPr>
        <w:pStyle w:val="Bullet1"/>
      </w:pPr>
      <w:r w:rsidRPr="002A2446">
        <w:t>the design, development or installation of war memorials</w:t>
      </w:r>
    </w:p>
    <w:p w14:paraId="4CE9E4EA" w14:textId="77777777" w:rsidR="00827AF6" w:rsidRPr="002A2446" w:rsidRDefault="00827AF6" w:rsidP="003D1885">
      <w:pPr>
        <w:pStyle w:val="Bullet1"/>
      </w:pPr>
      <w:r w:rsidRPr="002A2446">
        <w:t>components of projects that have been funded by state or territory governments</w:t>
      </w:r>
    </w:p>
    <w:p w14:paraId="43FFB70E" w14:textId="77777777" w:rsidR="00827AF6" w:rsidRPr="002A2446" w:rsidRDefault="00827AF6" w:rsidP="003D1885">
      <w:pPr>
        <w:pStyle w:val="Bullet1"/>
      </w:pPr>
      <w:r w:rsidRPr="002A2446">
        <w:t>international travel costs, either for an overseas artist to travel to Australia or a local artist or arts worker to travel overseas</w:t>
      </w:r>
    </w:p>
    <w:p w14:paraId="441E69F4" w14:textId="77777777" w:rsidR="00827AF6" w:rsidRPr="002A2446" w:rsidRDefault="00827AF6" w:rsidP="003D1885">
      <w:pPr>
        <w:pStyle w:val="Bullet1"/>
      </w:pPr>
      <w:r w:rsidRPr="002A2446">
        <w:t>event management</w:t>
      </w:r>
    </w:p>
    <w:p w14:paraId="5DD3959F" w14:textId="77777777" w:rsidR="00827AF6" w:rsidRPr="002A2446" w:rsidRDefault="00827AF6" w:rsidP="003D1885">
      <w:pPr>
        <w:pStyle w:val="Bullet1"/>
      </w:pPr>
      <w:r w:rsidRPr="002A2446">
        <w:t>reoccurring activities (projects or activities held every year), except where the applicant can demonstrate that funds will be used to either enhance an eligible project or activity, or include a component which commemorates a significant military anniversary</w:t>
      </w:r>
    </w:p>
    <w:p w14:paraId="191FE8C1" w14:textId="77777777" w:rsidR="00827AF6" w:rsidRPr="002A2446" w:rsidRDefault="00827AF6" w:rsidP="003D1885">
      <w:pPr>
        <w:pStyle w:val="Bullet1"/>
      </w:pPr>
      <w:r w:rsidRPr="002A2446">
        <w:t>devolved grants (a grant requested by an applicant with the purpose of distributing grants to other parties)</w:t>
      </w:r>
    </w:p>
    <w:p w14:paraId="7830EE7B" w14:textId="77777777" w:rsidR="00827AF6" w:rsidRPr="002A2446" w:rsidRDefault="00827AF6" w:rsidP="003D1885">
      <w:pPr>
        <w:pStyle w:val="Bullet1"/>
      </w:pPr>
      <w:proofErr w:type="gramStart"/>
      <w:r w:rsidRPr="002A2446">
        <w:t>digitising</w:t>
      </w:r>
      <w:proofErr w:type="gramEnd"/>
      <w:r w:rsidRPr="002A2446">
        <w:t xml:space="preserve"> art, photography or historical document collections exclusively for the purpose of digital preservation is ineligible, except where the digitisation of historical documents will ensure audience access and participation as a component of a broader arts and culture project.</w:t>
      </w:r>
    </w:p>
    <w:p w14:paraId="2D2BEB60" w14:textId="77777777" w:rsidR="00827AF6" w:rsidRPr="002A2446" w:rsidRDefault="00827AF6" w:rsidP="00732C85">
      <w:r w:rsidRPr="002A2446">
        <w:t>Projects that do not directly support the objectives or planned outcomes of the Anzac Centenary Arts and Culture Fund will not progress in the assessment process.</w:t>
      </w:r>
    </w:p>
    <w:p w14:paraId="359C87EC" w14:textId="77777777" w:rsidR="00827AF6" w:rsidRPr="00725BF2" w:rsidRDefault="00827AF6" w:rsidP="00732C85">
      <w:r w:rsidRPr="002A2446">
        <w:t>Funding is not available for activities that have already occurred. The component of a project that is funded through the grant may not commence until the funding agreement is signed by both parties.</w:t>
      </w:r>
    </w:p>
    <w:p w14:paraId="05AC6435" w14:textId="77777777" w:rsidR="00827AF6" w:rsidRPr="002156D2" w:rsidRDefault="00827AF6" w:rsidP="00732C85">
      <w:pPr>
        <w:pStyle w:val="Heading3"/>
      </w:pPr>
      <w:r w:rsidRPr="002156D2">
        <w:t>5. Selection Criteria</w:t>
      </w:r>
    </w:p>
    <w:p w14:paraId="418CEAB8" w14:textId="77777777" w:rsidR="00827AF6" w:rsidRPr="002A2446" w:rsidRDefault="00827AF6" w:rsidP="00732C85">
      <w:r w:rsidRPr="002A2446">
        <w:t xml:space="preserve">All eligible applications will be competitively assessed against the following selection criteria. Each of the four selection criteria will carry equal weighting. To be successful, projects must fully address and demonstrate value against all four selection </w:t>
      </w:r>
      <w:r>
        <w:t>criteria.</w:t>
      </w:r>
    </w:p>
    <w:p w14:paraId="561567CA" w14:textId="77777777" w:rsidR="00827AF6" w:rsidRPr="00732C85" w:rsidRDefault="00827AF6" w:rsidP="00732C85">
      <w:pPr>
        <w:pStyle w:val="Heading4"/>
      </w:pPr>
      <w:r w:rsidRPr="00732C85">
        <w:t>5.1 The Anzac Legacy</w:t>
      </w:r>
    </w:p>
    <w:p w14:paraId="0E3B8D26" w14:textId="13977BE1" w:rsidR="00827AF6" w:rsidRPr="002A2446" w:rsidRDefault="00827AF6" w:rsidP="003D1885">
      <w:pPr>
        <w:pStyle w:val="Bullet1"/>
      </w:pPr>
      <w:r w:rsidRPr="002A2446">
        <w:t xml:space="preserve">The applicant must demonstrate how the project will promote a greater understanding and recognition of the Anzac legacy. ‘Anzac legacy’ should be interpreted broadly to include any aspect of Australia’s military history and participation in </w:t>
      </w:r>
      <w:r w:rsidR="00366BB4">
        <w:t>any war or peacekeeping effort.</w:t>
      </w:r>
    </w:p>
    <w:p w14:paraId="1DA29956" w14:textId="77777777" w:rsidR="00827AF6" w:rsidRPr="00732C85" w:rsidRDefault="00827AF6" w:rsidP="00732C85">
      <w:pPr>
        <w:pStyle w:val="Heading4"/>
      </w:pPr>
      <w:r w:rsidRPr="00732C85">
        <w:t>5.2 Artistic and cultural merit</w:t>
      </w:r>
    </w:p>
    <w:p w14:paraId="01E14A5E" w14:textId="77777777" w:rsidR="00827AF6" w:rsidRPr="002A2446" w:rsidRDefault="00827AF6" w:rsidP="003D1885">
      <w:pPr>
        <w:pStyle w:val="Bullet1"/>
      </w:pPr>
      <w:r w:rsidRPr="002A2446">
        <w:t>The application must demonstrate a clear artistic or cultural vision.</w:t>
      </w:r>
    </w:p>
    <w:p w14:paraId="3AEEAE9F" w14:textId="77777777" w:rsidR="00827AF6" w:rsidRPr="002A2446" w:rsidRDefault="00827AF6" w:rsidP="003D1885">
      <w:pPr>
        <w:pStyle w:val="Bullet1"/>
      </w:pPr>
      <w:r w:rsidRPr="002A2446">
        <w:t>The application should show that the applicant aims to deliver a high level of professional excellence and enhance cultural identity and appreciation.</w:t>
      </w:r>
    </w:p>
    <w:p w14:paraId="71ADE5A0" w14:textId="77777777" w:rsidR="00827AF6" w:rsidRPr="002A2446" w:rsidRDefault="00827AF6" w:rsidP="003D1885">
      <w:pPr>
        <w:pStyle w:val="Bullet1"/>
      </w:pPr>
      <w:r w:rsidRPr="002A2446">
        <w:t xml:space="preserve">Where relevant, the applicant must also demonstrate professionalism in collection management, preservation, </w:t>
      </w:r>
      <w:proofErr w:type="gramStart"/>
      <w:r w:rsidRPr="002A2446">
        <w:t>display</w:t>
      </w:r>
      <w:proofErr w:type="gramEnd"/>
      <w:r w:rsidRPr="002A2446">
        <w:t xml:space="preserve"> and significance assessment.</w:t>
      </w:r>
    </w:p>
    <w:p w14:paraId="374F1021" w14:textId="77777777" w:rsidR="00827AF6" w:rsidRPr="002A2446" w:rsidRDefault="00827AF6" w:rsidP="003D1885">
      <w:pPr>
        <w:pStyle w:val="Bullet1"/>
      </w:pPr>
      <w:r w:rsidRPr="002A2446">
        <w:t>If applicable, the skills of the artist/s involved in the project should be demonstrated.</w:t>
      </w:r>
    </w:p>
    <w:p w14:paraId="6F2A9621" w14:textId="77777777" w:rsidR="00827AF6" w:rsidRPr="00732C85" w:rsidRDefault="00827AF6" w:rsidP="00732C85">
      <w:pPr>
        <w:pStyle w:val="Heading4"/>
      </w:pPr>
      <w:r w:rsidRPr="00732C85">
        <w:t>5.3 Community engagement, support and participation</w:t>
      </w:r>
    </w:p>
    <w:p w14:paraId="4FCE6F84" w14:textId="77777777" w:rsidR="00827AF6" w:rsidRPr="002A2446" w:rsidRDefault="00827AF6" w:rsidP="003D1885">
      <w:pPr>
        <w:pStyle w:val="Bullet1"/>
      </w:pPr>
      <w:r w:rsidRPr="002A2446">
        <w:t xml:space="preserve">The applicant must provide evidence of how the project will engage the community. This may include consultation with, and support from, the community or engagement between artists and project partners, participants or the community. Collaborative projects with multiple project partners will be viewed favourably. </w:t>
      </w:r>
    </w:p>
    <w:p w14:paraId="3D98FAA3" w14:textId="77777777" w:rsidR="00827AF6" w:rsidRPr="002A2446" w:rsidRDefault="00827AF6" w:rsidP="003D1885">
      <w:pPr>
        <w:pStyle w:val="Bullet1"/>
      </w:pPr>
      <w:r w:rsidRPr="002A2446">
        <w:t>The applicant must provide an estimate of participant or audience numbers and the geographic reach of the project.</w:t>
      </w:r>
    </w:p>
    <w:p w14:paraId="30D41755" w14:textId="77777777" w:rsidR="00827AF6" w:rsidRPr="002A2446" w:rsidRDefault="00827AF6" w:rsidP="003D1885">
      <w:pPr>
        <w:pStyle w:val="Bullet1"/>
      </w:pPr>
      <w:r w:rsidRPr="002A2446">
        <w:t>The applicant must describe the communication and marketing activities associated with the promotion of the project.</w:t>
      </w:r>
    </w:p>
    <w:p w14:paraId="538FE2BB" w14:textId="77777777" w:rsidR="00827AF6" w:rsidRPr="002A2446" w:rsidRDefault="00827AF6" w:rsidP="003D1885">
      <w:pPr>
        <w:pStyle w:val="Bullet1"/>
      </w:pPr>
      <w:r w:rsidRPr="002A2446">
        <w:t>The applicant must describe how the project will be accessible to diverse audiences, participants and communities or to a specific target group, including in line with the Australian Government’s Multicultural Access and Equity Policy.</w:t>
      </w:r>
    </w:p>
    <w:p w14:paraId="51FA0B61" w14:textId="77777777" w:rsidR="00827AF6" w:rsidRPr="002A2446" w:rsidRDefault="00827AF6" w:rsidP="003D1885">
      <w:pPr>
        <w:pStyle w:val="Bullet1"/>
      </w:pPr>
      <w:r w:rsidRPr="002A2446">
        <w:t>The applicant must describe when and where the work will be brought before an audience through performance, publication, exhibition or presentation during the Anzac Centenary period (2014</w:t>
      </w:r>
      <w:r>
        <w:t>–18).</w:t>
      </w:r>
    </w:p>
    <w:p w14:paraId="00937437" w14:textId="77777777" w:rsidR="00827AF6" w:rsidRPr="002156D2" w:rsidRDefault="00827AF6" w:rsidP="00732C85">
      <w:pPr>
        <w:pStyle w:val="Heading4"/>
      </w:pPr>
      <w:r w:rsidRPr="002156D2">
        <w:t>5.4 Project viability</w:t>
      </w:r>
    </w:p>
    <w:p w14:paraId="33DE0BA4" w14:textId="77777777" w:rsidR="00827AF6" w:rsidRPr="002A2446" w:rsidRDefault="00827AF6" w:rsidP="003D1885">
      <w:pPr>
        <w:pStyle w:val="Bullet1"/>
      </w:pPr>
      <w:r w:rsidRPr="002A2446">
        <w:t>The applicant must show evidence of adequate planning and capacity to manage the project including a methodology that demonstrates how outcomes will be achieved, a viable timeline and/or confirmed touring itinerary.</w:t>
      </w:r>
    </w:p>
    <w:p w14:paraId="68716C1E" w14:textId="77777777" w:rsidR="00827AF6" w:rsidRPr="002A2446" w:rsidRDefault="00827AF6" w:rsidP="003D1885">
      <w:pPr>
        <w:pStyle w:val="Bullet1"/>
      </w:pPr>
      <w:r w:rsidRPr="002A2446">
        <w:t>The application must include a draft project schedule (timeline) for the proposed project, demonstrating that the delivery of the project from the start through to completion has been carefully considered and planned.</w:t>
      </w:r>
    </w:p>
    <w:p w14:paraId="624DA28F" w14:textId="77777777" w:rsidR="00827AF6" w:rsidRPr="002A2446" w:rsidRDefault="00827AF6" w:rsidP="003D1885">
      <w:pPr>
        <w:pStyle w:val="Bullet1"/>
      </w:pPr>
      <w:r w:rsidRPr="002A2446">
        <w:t>The applicant must demonstrate that all key personnel including participating artists have the experience and expertise to deliver the activity.</w:t>
      </w:r>
    </w:p>
    <w:p w14:paraId="57624082" w14:textId="77777777" w:rsidR="00827AF6" w:rsidRPr="002A2446" w:rsidRDefault="00827AF6" w:rsidP="003D1885">
      <w:pPr>
        <w:pStyle w:val="Bullet1"/>
      </w:pPr>
      <w:r w:rsidRPr="002A2446">
        <w:t>The applicant must provide a realistic budget on the template within the application form that demonstrates value for money and includes:</w:t>
      </w:r>
    </w:p>
    <w:p w14:paraId="6F519F07" w14:textId="77777777" w:rsidR="00827AF6" w:rsidRPr="002A2446" w:rsidRDefault="00827AF6" w:rsidP="00366BB4">
      <w:pPr>
        <w:pStyle w:val="ListBullet2"/>
        <w:keepNext/>
        <w:keepLines/>
      </w:pPr>
      <w:r>
        <w:t>I</w:t>
      </w:r>
      <w:r w:rsidRPr="002A2446">
        <w:t>ncome and expenditure targets. Please note that this grant can only make up a maximum 70 per cent of the total project budget. The remaining 30 per cent may consist of cash or in-kind contributions from the applicant, project partners, sponsors or other income sources. Volunteer hours can also be included as part of an applicant’s contribution</w:t>
      </w:r>
      <w:r>
        <w:t>.</w:t>
      </w:r>
    </w:p>
    <w:p w14:paraId="294ECDA6" w14:textId="77777777" w:rsidR="00827AF6" w:rsidRPr="002A2446" w:rsidRDefault="00827AF6" w:rsidP="00366BB4">
      <w:pPr>
        <w:pStyle w:val="ListBullet2"/>
      </w:pPr>
      <w:r>
        <w:t>F</w:t>
      </w:r>
      <w:r w:rsidRPr="002A2446">
        <w:t>inancial support, either cash or in-kind, from sources other than the Australian Government</w:t>
      </w:r>
      <w:r>
        <w:t>.</w:t>
      </w:r>
    </w:p>
    <w:p w14:paraId="4F3427C1" w14:textId="77777777" w:rsidR="00827AF6" w:rsidRPr="002A2446" w:rsidRDefault="00827AF6" w:rsidP="00366BB4">
      <w:pPr>
        <w:pStyle w:val="ListBullet2"/>
      </w:pPr>
      <w:r>
        <w:t>A</w:t>
      </w:r>
      <w:r w:rsidRPr="002A2446">
        <w:t xml:space="preserve"> sufficient level of detail and explanation to make</w:t>
      </w:r>
      <w:r>
        <w:t xml:space="preserve"> an informed financial decision.</w:t>
      </w:r>
    </w:p>
    <w:p w14:paraId="1EE5F7C6" w14:textId="77777777" w:rsidR="00827AF6" w:rsidRPr="002A2446" w:rsidRDefault="00827AF6" w:rsidP="00366BB4">
      <w:pPr>
        <w:pStyle w:val="ListBullet2"/>
      </w:pPr>
      <w:r>
        <w:t>A</w:t>
      </w:r>
      <w:r w:rsidRPr="002A2446">
        <w:t>n adequate provision for artist/creative fees, insurance and other liabilities.</w:t>
      </w:r>
    </w:p>
    <w:p w14:paraId="18568481" w14:textId="77777777" w:rsidR="00827AF6" w:rsidRPr="002156D2" w:rsidRDefault="00827AF6" w:rsidP="00732C85">
      <w:pPr>
        <w:pStyle w:val="Heading3"/>
      </w:pPr>
      <w:r w:rsidRPr="002156D2">
        <w:t>6. Timeframe</w:t>
      </w:r>
    </w:p>
    <w:p w14:paraId="4A2612D1" w14:textId="77777777" w:rsidR="00827AF6" w:rsidRPr="002156D2" w:rsidRDefault="00827AF6" w:rsidP="00732C85">
      <w:pPr>
        <w:pStyle w:val="Heading4"/>
      </w:pPr>
      <w:r w:rsidRPr="002156D2">
        <w:t>6.1 Timeframe</w:t>
      </w:r>
    </w:p>
    <w:p w14:paraId="31ACC07B" w14:textId="45B5900C" w:rsidR="00827AF6" w:rsidRPr="002A2446" w:rsidRDefault="00827AF6" w:rsidP="00732C85">
      <w:r>
        <w:t>The</w:t>
      </w:r>
      <w:r w:rsidRPr="002A2446">
        <w:t xml:space="preserve"> </w:t>
      </w:r>
      <w:r>
        <w:t>second</w:t>
      </w:r>
      <w:r w:rsidRPr="002A2446">
        <w:t xml:space="preserve"> </w:t>
      </w:r>
      <w:r>
        <w:t xml:space="preserve">funding </w:t>
      </w:r>
      <w:r w:rsidRPr="002A2446">
        <w:t>round will</w:t>
      </w:r>
      <w:r>
        <w:t xml:space="preserve"> be administered in 2015–16 </w:t>
      </w:r>
      <w:r w:rsidRPr="002A2446">
        <w:t xml:space="preserve">to </w:t>
      </w:r>
      <w:r>
        <w:t>commit remaining funds to projects to be delivered through to 20</w:t>
      </w:r>
      <w:r w:rsidRPr="002A2446">
        <w:t xml:space="preserve">18. The </w:t>
      </w:r>
      <w:r>
        <w:t xml:space="preserve">remaining funds </w:t>
      </w:r>
      <w:r w:rsidRPr="002A2446">
        <w:t>available through the Public Grants Program may be comm</w:t>
      </w:r>
      <w:r>
        <w:t>itted through this grant round.</w:t>
      </w:r>
    </w:p>
    <w:p w14:paraId="4B60FF62" w14:textId="77777777" w:rsidR="00827AF6" w:rsidRPr="002A2446" w:rsidRDefault="00827AF6" w:rsidP="003D1885">
      <w:pPr>
        <w:pStyle w:val="Bullet1"/>
      </w:pPr>
      <w:r w:rsidRPr="002A2446">
        <w:t>Funded activities must be delivered between the date of the executed funding agreement and the agreed project delivery deadline, which must be</w:t>
      </w:r>
      <w:r>
        <w:t xml:space="preserve"> on or</w:t>
      </w:r>
      <w:r w:rsidRPr="002A2446">
        <w:t xml:space="preserve"> before 11</w:t>
      </w:r>
      <w:r>
        <w:t> </w:t>
      </w:r>
      <w:r w:rsidRPr="002A2446">
        <w:t>November 2018.</w:t>
      </w:r>
    </w:p>
    <w:p w14:paraId="14BAB56D" w14:textId="77777777" w:rsidR="00827AF6" w:rsidRPr="002A2446" w:rsidRDefault="00827AF6" w:rsidP="003D1885">
      <w:pPr>
        <w:pStyle w:val="Bullet1"/>
      </w:pPr>
      <w:r w:rsidRPr="002A2446">
        <w:t>Applicants must identify the financial year in which their proposed project or activity will be delivered and the duration of the</w:t>
      </w:r>
      <w:r>
        <w:t xml:space="preserve"> project or activity.</w:t>
      </w:r>
    </w:p>
    <w:p w14:paraId="70138B14" w14:textId="77777777" w:rsidR="00827AF6" w:rsidRPr="002A2446" w:rsidRDefault="00827AF6" w:rsidP="003D1885">
      <w:pPr>
        <w:pStyle w:val="Bullet1"/>
      </w:pPr>
      <w:r w:rsidRPr="002A2446">
        <w:t>Projects may be funded across multiple financial years if required and may be paid based on the delivery of milestones. This will be outlined in the funding agreement.</w:t>
      </w:r>
    </w:p>
    <w:p w14:paraId="38CB5E79" w14:textId="77777777" w:rsidR="00827AF6" w:rsidRPr="002156D2" w:rsidRDefault="00827AF6" w:rsidP="00732C85">
      <w:pPr>
        <w:pStyle w:val="Heading3"/>
      </w:pPr>
      <w:r w:rsidRPr="002156D2">
        <w:t>7. Application process</w:t>
      </w:r>
    </w:p>
    <w:p w14:paraId="6CF42A7C" w14:textId="77777777" w:rsidR="00827AF6" w:rsidRPr="002156D2" w:rsidRDefault="00827AF6" w:rsidP="00732C85">
      <w:pPr>
        <w:pStyle w:val="Heading4"/>
      </w:pPr>
      <w:r w:rsidRPr="002156D2">
        <w:t>7.1 Application process</w:t>
      </w:r>
    </w:p>
    <w:p w14:paraId="6E0ED1C7" w14:textId="77777777" w:rsidR="00827AF6" w:rsidRPr="002A2446" w:rsidRDefault="00827AF6" w:rsidP="00A53527">
      <w:pPr>
        <w:pStyle w:val="Heading5"/>
      </w:pPr>
      <w:r w:rsidRPr="002A2446">
        <w:t>Guidelines</w:t>
      </w:r>
    </w:p>
    <w:p w14:paraId="4992AD5D" w14:textId="77777777" w:rsidR="00827AF6" w:rsidRPr="002A2446" w:rsidRDefault="00827AF6" w:rsidP="00732C85">
      <w:r w:rsidRPr="002A2446">
        <w:t>Please ensure you read these Anzac Centenary Arts and Culture Fund Public Grants Program Guidelines carefully befo</w:t>
      </w:r>
      <w:r>
        <w:t>re submitting your application.</w:t>
      </w:r>
    </w:p>
    <w:p w14:paraId="0DA170EC" w14:textId="77777777" w:rsidR="00827AF6" w:rsidRPr="002A2446" w:rsidRDefault="00827AF6" w:rsidP="00A53527">
      <w:pPr>
        <w:pStyle w:val="Heading5"/>
      </w:pPr>
      <w:r w:rsidRPr="002A2446">
        <w:t>Application form</w:t>
      </w:r>
    </w:p>
    <w:p w14:paraId="0575C9E8" w14:textId="1518DE9B" w:rsidR="00827AF6" w:rsidRDefault="00827AF6" w:rsidP="00732C85">
      <w:r>
        <w:t xml:space="preserve">You will be required to submit an application online at </w:t>
      </w:r>
      <w:hyperlink r:id="rId19" w:history="1">
        <w:r>
          <w:rPr>
            <w:rStyle w:val="Hyperlink"/>
          </w:rPr>
          <w:t>www.arts.gov.au</w:t>
        </w:r>
      </w:hyperlink>
      <w:r>
        <w:t>. The application form is designed to assist you to demonstrate how your proposal meets the objectives of the Anzac Centenary Arts and Culture Fund Public Grants Program and to address the assessment criteria.</w:t>
      </w:r>
    </w:p>
    <w:p w14:paraId="12CF774A" w14:textId="72E6C53D" w:rsidR="00827AF6" w:rsidRPr="002A2446" w:rsidRDefault="00827AF6" w:rsidP="00732C85">
      <w:pPr>
        <w:rPr>
          <w:b/>
        </w:rPr>
      </w:pPr>
      <w:r>
        <w:t xml:space="preserve">For technical support you may call </w:t>
      </w:r>
      <w:proofErr w:type="spellStart"/>
      <w:r>
        <w:t>SmartyGrants</w:t>
      </w:r>
      <w:proofErr w:type="spellEnd"/>
      <w:r>
        <w:t xml:space="preserve"> on +61 3 9320 6888. For program or any additional information please call the Ministry on </w:t>
      </w:r>
      <w:r>
        <w:rPr>
          <w:rFonts w:cs="Arial"/>
          <w:szCs w:val="18"/>
        </w:rPr>
        <w:t>+61 2 6141 4994.</w:t>
      </w:r>
    </w:p>
    <w:p w14:paraId="3682892D" w14:textId="77777777" w:rsidR="00827AF6" w:rsidRPr="002A2446" w:rsidRDefault="00827AF6" w:rsidP="00A53527">
      <w:pPr>
        <w:pStyle w:val="Heading5"/>
      </w:pPr>
      <w:r w:rsidRPr="002A2446">
        <w:t>Closing date</w:t>
      </w:r>
    </w:p>
    <w:p w14:paraId="48D55C96" w14:textId="28D7E2C6" w:rsidR="00827AF6" w:rsidRPr="002A2446" w:rsidRDefault="00827AF6" w:rsidP="00732C85">
      <w:r w:rsidRPr="002A2446">
        <w:t xml:space="preserve">Complete applications must be </w:t>
      </w:r>
      <w:r>
        <w:t>submitted</w:t>
      </w:r>
      <w:r w:rsidRPr="002A2446">
        <w:t xml:space="preserve"> b</w:t>
      </w:r>
      <w:r>
        <w:t>efore</w:t>
      </w:r>
      <w:r w:rsidRPr="002A2446">
        <w:t xml:space="preserve"> 5pm AEST on </w:t>
      </w:r>
      <w:r>
        <w:t>Friday 9</w:t>
      </w:r>
      <w:r w:rsidR="00A53527">
        <w:t> </w:t>
      </w:r>
      <w:r>
        <w:t>Octo</w:t>
      </w:r>
      <w:r w:rsidRPr="002A2446">
        <w:t>ber 201</w:t>
      </w:r>
      <w:r>
        <w:t>5.</w:t>
      </w:r>
    </w:p>
    <w:p w14:paraId="0FC3D870" w14:textId="77777777" w:rsidR="00827AF6" w:rsidRDefault="00827AF6" w:rsidP="00732C85">
      <w:r>
        <w:t xml:space="preserve">Please ensure you keep your log in details safe, as you will be able to view and access your application online within </w:t>
      </w:r>
      <w:proofErr w:type="spellStart"/>
      <w:r>
        <w:t>SmartyGrants</w:t>
      </w:r>
      <w:proofErr w:type="spellEnd"/>
      <w:r>
        <w:t>.</w:t>
      </w:r>
    </w:p>
    <w:p w14:paraId="77FCF7EE" w14:textId="77777777" w:rsidR="00827AF6" w:rsidRPr="002A2446" w:rsidRDefault="00827AF6" w:rsidP="00A53527">
      <w:pPr>
        <w:pStyle w:val="Heading5"/>
      </w:pPr>
      <w:r w:rsidRPr="002A2446">
        <w:t>Late applications</w:t>
      </w:r>
    </w:p>
    <w:p w14:paraId="3EC06331" w14:textId="77777777" w:rsidR="00827AF6" w:rsidRDefault="00827AF6" w:rsidP="00732C85">
      <w:r w:rsidRPr="002A2446">
        <w:t xml:space="preserve">Applications lodged after the advertised closing date may be accepted for assessment in cases where the delay in submission is due to exceptional and unanticipated circumstances. The decision to accept late applications will be at the discretion of the Director, </w:t>
      </w:r>
      <w:r w:rsidRPr="002A2446">
        <w:rPr>
          <w:color w:val="000000"/>
          <w:lang w:eastAsia="en-AU"/>
        </w:rPr>
        <w:t>Regional and Community Participation Section in</w:t>
      </w:r>
      <w:r>
        <w:t xml:space="preserve"> the Ministry for the Arts.</w:t>
      </w:r>
    </w:p>
    <w:p w14:paraId="75AA20B2" w14:textId="77777777" w:rsidR="00827AF6" w:rsidRPr="002156D2" w:rsidRDefault="00827AF6" w:rsidP="003626B5">
      <w:pPr>
        <w:pStyle w:val="Heading4"/>
      </w:pPr>
      <w:r w:rsidRPr="002156D2">
        <w:t>7.2 Support material</w:t>
      </w:r>
    </w:p>
    <w:p w14:paraId="1AB53AF6" w14:textId="77777777" w:rsidR="00827AF6" w:rsidRPr="002A2446" w:rsidRDefault="00827AF6" w:rsidP="00366BB4">
      <w:pPr>
        <w:keepNext/>
      </w:pPr>
      <w:r w:rsidRPr="002A2446">
        <w:t>Applicants should ensure the following support material is attached to their application:</w:t>
      </w:r>
    </w:p>
    <w:p w14:paraId="35A3B13B" w14:textId="77777777" w:rsidR="00827AF6" w:rsidRPr="002A2446" w:rsidRDefault="00827AF6" w:rsidP="003D1885">
      <w:pPr>
        <w:pStyle w:val="Bullet1"/>
      </w:pPr>
      <w:r w:rsidRPr="002A2446">
        <w:t>CVs for key personnel and artists (maximum one page per CV)</w:t>
      </w:r>
    </w:p>
    <w:p w14:paraId="63D2F14F" w14:textId="77777777" w:rsidR="00827AF6" w:rsidRPr="002A2446" w:rsidRDefault="00827AF6" w:rsidP="003D1885">
      <w:pPr>
        <w:pStyle w:val="Bullet1"/>
      </w:pPr>
      <w:r w:rsidRPr="002A2446">
        <w:t>a clear, comprehensive budget, using the budget template in the application form</w:t>
      </w:r>
    </w:p>
    <w:p w14:paraId="2E804B7A" w14:textId="77777777" w:rsidR="00827AF6" w:rsidRPr="002A2446" w:rsidRDefault="00827AF6" w:rsidP="003D1885">
      <w:pPr>
        <w:pStyle w:val="Bullet1"/>
      </w:pPr>
      <w:r w:rsidRPr="002A2446">
        <w:t>signed letters of current support from individuals, organisations, venues and other project partners who have agreed to be involved in the proposed project</w:t>
      </w:r>
    </w:p>
    <w:p w14:paraId="0ADC50C1" w14:textId="77777777" w:rsidR="00827AF6" w:rsidRDefault="00827AF6" w:rsidP="003D1885">
      <w:pPr>
        <w:pStyle w:val="Bullet1"/>
      </w:pPr>
      <w:proofErr w:type="gramStart"/>
      <w:r w:rsidRPr="002A2446">
        <w:t>draft</w:t>
      </w:r>
      <w:proofErr w:type="gramEnd"/>
      <w:r w:rsidRPr="002A2446">
        <w:t xml:space="preserve"> project schedule (timeline).</w:t>
      </w:r>
    </w:p>
    <w:p w14:paraId="04F28504" w14:textId="77777777" w:rsidR="00827AF6" w:rsidRPr="002156D2" w:rsidRDefault="00827AF6" w:rsidP="003626B5">
      <w:pPr>
        <w:pStyle w:val="Heading4"/>
      </w:pPr>
      <w:r w:rsidRPr="002156D2">
        <w:t>7.3 Assessment process</w:t>
      </w:r>
    </w:p>
    <w:p w14:paraId="66E58CFE" w14:textId="08CC6E96" w:rsidR="00827AF6" w:rsidRPr="002A2446" w:rsidRDefault="00827AF6" w:rsidP="00732C85">
      <w:r w:rsidRPr="002A2446">
        <w:t>Funding available through the Anzac Centenary Arts and Culture Fund is limited and, as we anticipate a strong demand for the funds, the application process will be highly competitive.</w:t>
      </w:r>
    </w:p>
    <w:p w14:paraId="461EC773" w14:textId="77777777" w:rsidR="00827AF6" w:rsidRPr="002A2446" w:rsidRDefault="00827AF6" w:rsidP="00732C85">
      <w:r w:rsidRPr="002A2446">
        <w:t>Your applications will be assessed in competition with other applications based on the responses you provide to the selection criteria in addressing the program objective. Key stages in the assessment process are:</w:t>
      </w:r>
    </w:p>
    <w:p w14:paraId="25D6736D" w14:textId="77777777" w:rsidR="00827AF6" w:rsidRDefault="00827AF6" w:rsidP="003D1885">
      <w:pPr>
        <w:pStyle w:val="Bullet1"/>
      </w:pPr>
      <w:r>
        <w:t>The Ministry for the Arts will assess the eligibility of each application. The Department of Veteran’s Affairs will ensure projects fit within the spirit of the Anzac Centenary commemorative program.</w:t>
      </w:r>
    </w:p>
    <w:p w14:paraId="2F16DE9C" w14:textId="77777777" w:rsidR="00827AF6" w:rsidRDefault="00827AF6" w:rsidP="003D1885">
      <w:pPr>
        <w:pStyle w:val="Bullet1"/>
      </w:pPr>
      <w:r>
        <w:t>Applications will be assessed against the selection criteria and ranked comparatively with other applications received based on the application’s assessment score.</w:t>
      </w:r>
    </w:p>
    <w:p w14:paraId="1B66E17D" w14:textId="77777777" w:rsidR="00827AF6" w:rsidRDefault="00827AF6" w:rsidP="003D1885">
      <w:pPr>
        <w:pStyle w:val="Bullet1"/>
      </w:pPr>
      <w:r>
        <w:t xml:space="preserve">A ranked shortlist will be considered by the Creative Advisor and the Creative Advisory Panel, who will make recommendations to the Minister for the Arts. These recommendations are made in the context of the funding objectives and the total available budget. Refer to the </w:t>
      </w:r>
      <w:r w:rsidRPr="002A2446">
        <w:t xml:space="preserve">Terms of Reference at </w:t>
      </w:r>
      <w:hyperlink r:id="rId20" w:history="1">
        <w:r w:rsidRPr="002A2446">
          <w:rPr>
            <w:rStyle w:val="Hyperlink"/>
          </w:rPr>
          <w:t>http://arts.gov.au/anzac-centenary/production-and-commissioning-fund</w:t>
        </w:r>
      </w:hyperlink>
      <w:r w:rsidRPr="002A2446">
        <w:t xml:space="preserve"> for information about the role of the Creative Advisor and Creative Advisory Panel.</w:t>
      </w:r>
    </w:p>
    <w:p w14:paraId="77ABEB4E" w14:textId="77777777" w:rsidR="00827AF6" w:rsidRDefault="00827AF6" w:rsidP="00827AF6">
      <w:pPr>
        <w:spacing w:after="0" w:line="240" w:lineRule="auto"/>
      </w:pPr>
      <w:r w:rsidRPr="002A2446">
        <w:t>The Minister for the Arts will make the final funding decisions.</w:t>
      </w:r>
    </w:p>
    <w:p w14:paraId="196F08CC" w14:textId="77777777" w:rsidR="00827AF6" w:rsidRDefault="00827AF6" w:rsidP="003626B5">
      <w:pPr>
        <w:pStyle w:val="Heading4"/>
      </w:pPr>
      <w:r w:rsidRPr="002156D2">
        <w:t>7.4 Advice to applicants</w:t>
      </w:r>
    </w:p>
    <w:p w14:paraId="53B13E85" w14:textId="60105F41" w:rsidR="00827AF6" w:rsidRPr="002A2446" w:rsidRDefault="00827AF6" w:rsidP="00732C85">
      <w:r w:rsidRPr="002A2446">
        <w:t>The Minister for the Arts will announce all grant recipients. All applicants will be notified in writing of the outc</w:t>
      </w:r>
      <w:r w:rsidR="00366BB4">
        <w:t>ome of their grant application.</w:t>
      </w:r>
    </w:p>
    <w:p w14:paraId="25AC90F0" w14:textId="77777777" w:rsidR="00827AF6" w:rsidRPr="002A2446" w:rsidRDefault="00827AF6" w:rsidP="00732C85">
      <w:r w:rsidRPr="002A2446">
        <w:t xml:space="preserve">Information about successful grants will be published on the Attorney-General’s Department website. This will include the grant recipient’s name, location, funding </w:t>
      </w:r>
      <w:r>
        <w:t>amount and project description.</w:t>
      </w:r>
    </w:p>
    <w:p w14:paraId="68411D5A" w14:textId="77777777" w:rsidR="00827AF6" w:rsidRPr="002156D2" w:rsidRDefault="00827AF6" w:rsidP="003626B5">
      <w:pPr>
        <w:pStyle w:val="Heading3"/>
      </w:pPr>
      <w:r w:rsidRPr="002156D2">
        <w:t>8. Budget</w:t>
      </w:r>
    </w:p>
    <w:p w14:paraId="2510018E" w14:textId="77777777" w:rsidR="00827AF6" w:rsidRPr="002156D2" w:rsidRDefault="00827AF6" w:rsidP="003626B5">
      <w:pPr>
        <w:pStyle w:val="Heading4"/>
      </w:pPr>
      <w:r w:rsidRPr="002156D2">
        <w:t>8.1 Budget</w:t>
      </w:r>
    </w:p>
    <w:p w14:paraId="721861BA" w14:textId="77777777" w:rsidR="00827AF6" w:rsidRDefault="00827AF6" w:rsidP="00732C85">
      <w:r w:rsidRPr="002A2446">
        <w:t>Applicants must complete the budget template included in the application form and provide information regarding other income sources</w:t>
      </w:r>
      <w:r>
        <w:t>.</w:t>
      </w:r>
    </w:p>
    <w:p w14:paraId="2C69FECE" w14:textId="77777777" w:rsidR="00827AF6" w:rsidRPr="002156D2" w:rsidRDefault="00827AF6" w:rsidP="003626B5">
      <w:pPr>
        <w:pStyle w:val="Heading3"/>
      </w:pPr>
      <w:r w:rsidRPr="002156D2">
        <w:t>9. Funding Arrangements</w:t>
      </w:r>
    </w:p>
    <w:p w14:paraId="7960DD67" w14:textId="77777777" w:rsidR="00827AF6" w:rsidRPr="002156D2" w:rsidRDefault="00827AF6" w:rsidP="003626B5">
      <w:pPr>
        <w:pStyle w:val="Heading4"/>
      </w:pPr>
      <w:r w:rsidRPr="002156D2">
        <w:t>9.1 Funding allocation</w:t>
      </w:r>
    </w:p>
    <w:p w14:paraId="141ABDF1" w14:textId="77777777" w:rsidR="00827AF6" w:rsidRPr="002A2446" w:rsidRDefault="00827AF6" w:rsidP="00732C85">
      <w:r w:rsidRPr="002A2446">
        <w:t xml:space="preserve">$2 million </w:t>
      </w:r>
      <w:r>
        <w:t>will be provided</w:t>
      </w:r>
      <w:r w:rsidRPr="002A2446">
        <w:t xml:space="preserve"> across four years (2014</w:t>
      </w:r>
      <w:r>
        <w:t>–</w:t>
      </w:r>
      <w:r w:rsidRPr="002A2446">
        <w:t>15 to 2017</w:t>
      </w:r>
      <w:r>
        <w:t>–</w:t>
      </w:r>
      <w:r w:rsidRPr="002A2446">
        <w:t>18) through the Anzac Centenary Arts and Culture Fund Public Grants Program.</w:t>
      </w:r>
    </w:p>
    <w:p w14:paraId="484542F3" w14:textId="77777777" w:rsidR="00827AF6" w:rsidRPr="002A2446" w:rsidRDefault="00827AF6" w:rsidP="003D1885">
      <w:pPr>
        <w:pStyle w:val="Bullet1"/>
      </w:pPr>
      <w:r w:rsidRPr="002A2446">
        <w:t>National, state and territory cultural institutions may apply for funding of up to $100,000 (GST exclusive) per project.</w:t>
      </w:r>
    </w:p>
    <w:p w14:paraId="24264D1B" w14:textId="77777777" w:rsidR="00827AF6" w:rsidRDefault="00827AF6" w:rsidP="003D1885">
      <w:pPr>
        <w:pStyle w:val="Bullet1"/>
      </w:pPr>
      <w:r w:rsidRPr="002A2446">
        <w:t xml:space="preserve">All other applicants may apply for funding of up to $50,000 (GST exclusive) </w:t>
      </w:r>
      <w:r>
        <w:t>per project.</w:t>
      </w:r>
    </w:p>
    <w:p w14:paraId="091C3291" w14:textId="77777777" w:rsidR="00827AF6" w:rsidRPr="00095FDA" w:rsidRDefault="00827AF6" w:rsidP="00732C85">
      <w:r w:rsidRPr="002A2446">
        <w:t>Funding through the Public Grants Program can make up no more than 70 per cent of the total project budget. The remaining 30 per cent should come from either cash or in-kind contributions by the applicant, project partners, private sector or other sponsors, or other grants.</w:t>
      </w:r>
    </w:p>
    <w:p w14:paraId="19CC8AD1" w14:textId="77777777" w:rsidR="00827AF6" w:rsidRPr="002156D2" w:rsidRDefault="00827AF6" w:rsidP="003626B5">
      <w:pPr>
        <w:pStyle w:val="Heading4"/>
      </w:pPr>
      <w:r w:rsidRPr="002156D2">
        <w:t>9.2 Payments</w:t>
      </w:r>
    </w:p>
    <w:p w14:paraId="56F638DC" w14:textId="25BB20AC" w:rsidR="00827AF6" w:rsidRPr="002A2446" w:rsidRDefault="00827AF6" w:rsidP="00732C85">
      <w:r w:rsidRPr="002A2446">
        <w:t>All funding will be subject to the terms and conditions set out in the funding agreement, including conditions relating to the deposit of funds, auditing and unspent program funds.</w:t>
      </w:r>
    </w:p>
    <w:p w14:paraId="1F1FE846" w14:textId="77777777" w:rsidR="00827AF6" w:rsidRDefault="00827AF6" w:rsidP="00732C85">
      <w:r w:rsidRPr="002A2446">
        <w:t>Payments will be made against the agreed schedule, set out in the funding agreement, following execution of the funding agreement by the Ministry for the Arts and on the provision of details of a bank account into which grant funds are to be paid. Payments against the schedule are subject to the Ministry for the Arts’ acceptance of performance and financial reports, also set out in the funding agreement, and the demonstrated need for approved funds to continue the activity.</w:t>
      </w:r>
    </w:p>
    <w:p w14:paraId="261E77DC" w14:textId="77777777" w:rsidR="00827AF6" w:rsidRPr="003626B5" w:rsidRDefault="00827AF6" w:rsidP="003626B5">
      <w:pPr>
        <w:pStyle w:val="Heading4"/>
      </w:pPr>
      <w:r w:rsidRPr="002156D2">
        <w:t>9.3 Payments</w:t>
      </w:r>
    </w:p>
    <w:p w14:paraId="79E8EFC3" w14:textId="77777777" w:rsidR="00827AF6" w:rsidRPr="002A2446" w:rsidRDefault="00827AF6" w:rsidP="00732C85">
      <w:r w:rsidRPr="002A2446">
        <w:t xml:space="preserve">Successful applicants will be required to enter into a funding agreement with the Commonwealth. The funding agreement sets out the nature of the relationship between the Australian Government and the funding recipient. Funding Agreement templates covering the standard terms and conditions of are available at </w:t>
      </w:r>
      <w:hyperlink r:id="rId21" w:history="1">
        <w:r w:rsidRPr="002A2446">
          <w:rPr>
            <w:rStyle w:val="Hyperlink"/>
          </w:rPr>
          <w:t>www.arts.gov.au/anzac-centenary/news-and-publications</w:t>
        </w:r>
      </w:hyperlink>
      <w:r>
        <w:t>.</w:t>
      </w:r>
    </w:p>
    <w:p w14:paraId="3C46755E" w14:textId="77777777" w:rsidR="00827AF6" w:rsidRPr="002A2446" w:rsidRDefault="00827AF6" w:rsidP="00732C85">
      <w:r w:rsidRPr="002A2446">
        <w:t xml:space="preserve">The funding agreement will specify, among other things, the terms and conditions of the funding agreement, the objectives, key performance indicators, a timeframe, budget and reporting and audit requirements. </w:t>
      </w:r>
      <w:r w:rsidRPr="002A2446">
        <w:rPr>
          <w:iCs/>
        </w:rPr>
        <w:t>Funded activities must not begin before the funding agreement is signed by both parties.</w:t>
      </w:r>
    </w:p>
    <w:p w14:paraId="16BDE4DC" w14:textId="16E13875" w:rsidR="00827AF6" w:rsidRPr="002A2446" w:rsidRDefault="00827AF6" w:rsidP="00732C85">
      <w:r w:rsidRPr="002A2446">
        <w:t>All funding recipients will need to certify that they have no outstanding grant acquittals or breaches relating to Australian Government funding.</w:t>
      </w:r>
    </w:p>
    <w:p w14:paraId="6CD16315" w14:textId="77777777" w:rsidR="00827AF6" w:rsidRPr="002A2446" w:rsidRDefault="00827AF6" w:rsidP="00732C85">
      <w:r w:rsidRPr="002A2446">
        <w:t>The funding agreement will confirm your agreement to abide by relevant Australian Government laws and policies.</w:t>
      </w:r>
    </w:p>
    <w:p w14:paraId="3836F270" w14:textId="77777777" w:rsidR="00827AF6" w:rsidRDefault="00827AF6" w:rsidP="00732C85">
      <w:r w:rsidRPr="002A2446">
        <w:t>All funds provided by the Ministry for the Arts must be appropriately expended prior to the end of the funding period identified in the funding agreement.</w:t>
      </w:r>
    </w:p>
    <w:p w14:paraId="2EFF88DB" w14:textId="77777777" w:rsidR="00827AF6" w:rsidRPr="002156D2" w:rsidRDefault="00827AF6" w:rsidP="003626B5">
      <w:pPr>
        <w:pStyle w:val="Heading3"/>
      </w:pPr>
      <w:r w:rsidRPr="002156D2">
        <w:t>10. Terms and conditions of Funding</w:t>
      </w:r>
    </w:p>
    <w:p w14:paraId="1C320F0E" w14:textId="77777777" w:rsidR="00827AF6" w:rsidRPr="002156D2" w:rsidRDefault="00827AF6" w:rsidP="003626B5">
      <w:pPr>
        <w:pStyle w:val="Heading4"/>
      </w:pPr>
      <w:r w:rsidRPr="002156D2">
        <w:t>10.1 Reporting requirements</w:t>
      </w:r>
    </w:p>
    <w:p w14:paraId="4778493A" w14:textId="77777777" w:rsidR="00827AF6" w:rsidRPr="002A2446" w:rsidRDefault="00827AF6" w:rsidP="00732C85">
      <w:r w:rsidRPr="002A2446">
        <w:t>Reporting on Australian Government funded activities ensures that funding is used for the intended purpose and that funds can be fully accounted for.</w:t>
      </w:r>
    </w:p>
    <w:p w14:paraId="081720D6" w14:textId="77777777" w:rsidR="00827AF6" w:rsidRPr="002A2446" w:rsidRDefault="00827AF6" w:rsidP="00732C85">
      <w:r w:rsidRPr="002A2446">
        <w:t>Successf</w:t>
      </w:r>
      <w:r w:rsidRPr="00732C85">
        <w:t xml:space="preserve">ul applicants will be required to provide reports to the Ministry for the Arts, as specified in the funding </w:t>
      </w:r>
      <w:r w:rsidRPr="002A2446">
        <w:t>agreement, including:</w:t>
      </w:r>
    </w:p>
    <w:p w14:paraId="7A536391" w14:textId="77777777" w:rsidR="00827AF6" w:rsidRPr="002A2446" w:rsidRDefault="00827AF6" w:rsidP="003D1885">
      <w:pPr>
        <w:pStyle w:val="Bullet1"/>
      </w:pPr>
      <w:r w:rsidRPr="002A2446">
        <w:t>progress of the activity against the agreed objectives</w:t>
      </w:r>
    </w:p>
    <w:p w14:paraId="6C1FA9DC" w14:textId="77777777" w:rsidR="00827AF6" w:rsidRPr="002A2446" w:rsidRDefault="00827AF6" w:rsidP="003D1885">
      <w:pPr>
        <w:pStyle w:val="Bullet1"/>
      </w:pPr>
      <w:proofErr w:type="gramStart"/>
      <w:r w:rsidRPr="002A2446">
        <w:t>progress</w:t>
      </w:r>
      <w:proofErr w:type="gramEnd"/>
      <w:r w:rsidRPr="002A2446">
        <w:t xml:space="preserve"> of the activity against the approved budget.</w:t>
      </w:r>
    </w:p>
    <w:p w14:paraId="15C44440" w14:textId="77777777" w:rsidR="00827AF6" w:rsidRDefault="00827AF6" w:rsidP="00732C85">
      <w:r w:rsidRPr="002A2446">
        <w:t>Successful applicants will be required to provide information to the Ministry for the Arts for inclusion on government websites including the Ministry for the Arts and the Anzac Centenary websites</w:t>
      </w:r>
      <w:r>
        <w:t>.</w:t>
      </w:r>
    </w:p>
    <w:p w14:paraId="257B114F" w14:textId="77777777" w:rsidR="00827AF6" w:rsidRPr="002156D2" w:rsidRDefault="00827AF6" w:rsidP="003626B5">
      <w:pPr>
        <w:pStyle w:val="Heading4"/>
      </w:pPr>
      <w:r w:rsidRPr="002156D2">
        <w:t>10.2 Acquittal and evaluation</w:t>
      </w:r>
    </w:p>
    <w:p w14:paraId="7D53D72A" w14:textId="77777777" w:rsidR="00827AF6" w:rsidRPr="002A2446" w:rsidRDefault="00827AF6" w:rsidP="00732C85">
      <w:r w:rsidRPr="002A2446">
        <w:t>At the end of the funding period, grant recipients will also be required to acquit all funding. This may include statutory declarations, independently audited financial statements or other financial information, as outlined in the funding agreement and attached schedules. The acquittal is normally required within 60 business days of the conclusion of the activity.</w:t>
      </w:r>
    </w:p>
    <w:p w14:paraId="05D13799" w14:textId="77777777" w:rsidR="00827AF6" w:rsidRPr="002A2446" w:rsidRDefault="00827AF6" w:rsidP="00732C85">
      <w:r w:rsidRPr="002A2446">
        <w:t>Grant recipients will also be required to provide information about their project to inform the Government’s evaluation of the Anzac Centenary</w:t>
      </w:r>
      <w:r>
        <w:t xml:space="preserve"> Arts and Culture Fund program.</w:t>
      </w:r>
    </w:p>
    <w:p w14:paraId="510D99E3" w14:textId="77777777" w:rsidR="00827AF6" w:rsidRPr="002A2446" w:rsidRDefault="00827AF6" w:rsidP="00732C85">
      <w:r w:rsidRPr="002A2446">
        <w:t>Grant recipients will be provided with a standard acquittal and evaluation template to assist with acquitting their grant funding.</w:t>
      </w:r>
    </w:p>
    <w:p w14:paraId="11D57EEC" w14:textId="77777777" w:rsidR="00827AF6" w:rsidRPr="002156D2" w:rsidRDefault="00827AF6" w:rsidP="003626B5">
      <w:pPr>
        <w:pStyle w:val="Heading4"/>
      </w:pPr>
      <w:r w:rsidRPr="002156D2">
        <w:t>10.3 Acknowledgement of Funding</w:t>
      </w:r>
    </w:p>
    <w:p w14:paraId="4672D4F6" w14:textId="77777777" w:rsidR="00827AF6" w:rsidRPr="002A2446" w:rsidRDefault="00827AF6" w:rsidP="00732C85">
      <w:r w:rsidRPr="002A2446">
        <w:t>Successful applicants will be required to acknowledge the Australian Government’s support for the project by including the Australian Government Ministry for the Arts crest on all appropriate materials. The following acknowledgement must also be included:</w:t>
      </w:r>
    </w:p>
    <w:p w14:paraId="21EBFB8E" w14:textId="7B38E685" w:rsidR="00827AF6" w:rsidRPr="00732C85" w:rsidRDefault="00827AF6" w:rsidP="00732C85">
      <w:pPr>
        <w:rPr>
          <w:i/>
        </w:rPr>
      </w:pPr>
      <w:r w:rsidRPr="00732C85">
        <w:rPr>
          <w:i/>
        </w:rPr>
        <w:t>Supported by the Australian Government’s Anzac C</w:t>
      </w:r>
      <w:r w:rsidR="00732C85" w:rsidRPr="00732C85">
        <w:rPr>
          <w:i/>
        </w:rPr>
        <w:t>entenary Arts and Culture Fund.</w:t>
      </w:r>
    </w:p>
    <w:p w14:paraId="23937EB7" w14:textId="77777777" w:rsidR="00827AF6" w:rsidRDefault="00827AF6" w:rsidP="00732C85">
      <w:r w:rsidRPr="002A2446">
        <w:t xml:space="preserve">Recipients are also encouraged to apply to the Department of Veterans’ Affairs for approval to use the Anzac Centenary logo on all appropriate materials. The Anzac Centenary logo is a registered trademark that is protected by law to preserve the integrity of the design and to ensure it is not misused in any way. Any individual or organisation seeking to use the logo for any purpose must first obtain written authorisation from the Department of Veterans’ Affairs. Further information regarding the Anzac Centenary Logo can be found on the Australian Government’s Anzac Centenary website at: </w:t>
      </w:r>
      <w:hyperlink r:id="rId22" w:history="1">
        <w:r w:rsidRPr="002A2446">
          <w:rPr>
            <w:rStyle w:val="Hyperlink"/>
          </w:rPr>
          <w:t>www.anzaccentenary.gov.au</w:t>
        </w:r>
      </w:hyperlink>
      <w:r>
        <w:t>.</w:t>
      </w:r>
    </w:p>
    <w:p w14:paraId="6C7102E0" w14:textId="77777777" w:rsidR="00827AF6" w:rsidRPr="002156D2" w:rsidRDefault="00827AF6" w:rsidP="003626B5">
      <w:pPr>
        <w:pStyle w:val="Heading4"/>
      </w:pPr>
      <w:r w:rsidRPr="002156D2">
        <w:t>10.4 Record keeping</w:t>
      </w:r>
    </w:p>
    <w:p w14:paraId="468847C2" w14:textId="77777777" w:rsidR="00827AF6" w:rsidRDefault="00827AF6" w:rsidP="00732C85">
      <w:r w:rsidRPr="002A2446">
        <w:t>Funding recipients must keep relevant records that can demonstrate the performance of the activity in meeting its objectives and performance indicators.</w:t>
      </w:r>
    </w:p>
    <w:p w14:paraId="7535A508" w14:textId="77777777" w:rsidR="00827AF6" w:rsidRPr="003626B5" w:rsidRDefault="00827AF6" w:rsidP="003626B5">
      <w:pPr>
        <w:pStyle w:val="Heading4"/>
      </w:pPr>
      <w:r w:rsidRPr="003626B5">
        <w:t>10.5 Variations</w:t>
      </w:r>
    </w:p>
    <w:p w14:paraId="26090FA8" w14:textId="77777777" w:rsidR="00827AF6" w:rsidRDefault="00827AF6" w:rsidP="00732C85">
      <w:r w:rsidRPr="002A2446">
        <w:t xml:space="preserve">Variations of 10 per cent or more to the approved activity or budget stated in the funding agreement require prior written approval </w:t>
      </w:r>
      <w:r>
        <w:t>from the Ministry for the Arts.</w:t>
      </w:r>
    </w:p>
    <w:p w14:paraId="44AA5B26" w14:textId="77777777" w:rsidR="00827AF6" w:rsidRPr="003626B5" w:rsidRDefault="00827AF6" w:rsidP="003626B5">
      <w:pPr>
        <w:pStyle w:val="Heading4"/>
      </w:pPr>
      <w:r w:rsidRPr="003626B5">
        <w:t>10.6 Conflict of Interest</w:t>
      </w:r>
    </w:p>
    <w:p w14:paraId="5677A6B5" w14:textId="77777777" w:rsidR="00827AF6" w:rsidRPr="002A2446" w:rsidRDefault="00827AF6" w:rsidP="00732C85">
      <w:r w:rsidRPr="002A2446">
        <w:t>You must indicate any potential conflict of interest arising from your application.  A perception of conflict of interest can arise if an individual (or their family members) associated with the application receives a direct benefit from a project.</w:t>
      </w:r>
    </w:p>
    <w:p w14:paraId="7B4C61D1" w14:textId="1D48D687" w:rsidR="00827AF6" w:rsidRPr="002A2446" w:rsidRDefault="00827AF6" w:rsidP="00732C85">
      <w:r w:rsidRPr="002A2446">
        <w:t xml:space="preserve">Where the Ministry for the Arts establishes, from information provided by the organisation or from other information available to it, that a conflict of interest exists, this may be grounds for excluding </w:t>
      </w:r>
      <w:r>
        <w:t>the project from consideration.</w:t>
      </w:r>
    </w:p>
    <w:p w14:paraId="217964E4" w14:textId="77777777" w:rsidR="00827AF6" w:rsidRDefault="00827AF6" w:rsidP="00732C85">
      <w:r w:rsidRPr="002A2446">
        <w:t>If there is a possible perception of a conflict of interest, please include a statement addressing this and show why an actual conflict of interest will not result from the award of funding for the project.</w:t>
      </w:r>
    </w:p>
    <w:p w14:paraId="49203F91" w14:textId="77777777" w:rsidR="00827AF6" w:rsidRPr="003626B5" w:rsidRDefault="00827AF6" w:rsidP="003626B5">
      <w:pPr>
        <w:pStyle w:val="Heading4"/>
      </w:pPr>
      <w:r w:rsidRPr="003626B5">
        <w:t>10.7 Privacy</w:t>
      </w:r>
    </w:p>
    <w:p w14:paraId="7533751D" w14:textId="432694F2" w:rsidR="00827AF6" w:rsidRPr="002A2446" w:rsidRDefault="00827AF6" w:rsidP="00732C85">
      <w:r w:rsidRPr="002A2446">
        <w:t>We will collect information about the applicant and their proposed project in order to satisfactorily assess applications for funding through the Anzac Centenary Arts and Culture Fund. If your application meets the eligibility criteria and proceeds to the assessment phase, we will provide your application to the Creative Advisor and Creative Advisory P</w:t>
      </w:r>
      <w:r w:rsidR="003626B5">
        <w:t>anel members for consideration.</w:t>
      </w:r>
    </w:p>
    <w:p w14:paraId="51289B03" w14:textId="648D556D" w:rsidR="00827AF6" w:rsidRPr="002A2446" w:rsidRDefault="00827AF6" w:rsidP="00732C85">
      <w:r w:rsidRPr="002A2446">
        <w:t xml:space="preserve">If your application is successful, we are required to publish details of the project, including the successful applicant and the amount of funding received on </w:t>
      </w:r>
      <w:r w:rsidR="003626B5">
        <w:t>the Department’s website.</w:t>
      </w:r>
    </w:p>
    <w:p w14:paraId="42D411A8" w14:textId="3F3539F4" w:rsidR="00827AF6" w:rsidRPr="002A2446" w:rsidRDefault="00827AF6" w:rsidP="00732C85">
      <w:r w:rsidRPr="002A2446">
        <w:t>We may also provide aggregated information with other Australian Government and state and territory government depa</w:t>
      </w:r>
      <w:r w:rsidR="003626B5">
        <w:t>rtments for reporting purposes.</w:t>
      </w:r>
    </w:p>
    <w:p w14:paraId="53F0EF31" w14:textId="77777777" w:rsidR="00827AF6" w:rsidRPr="002A2446" w:rsidRDefault="00827AF6" w:rsidP="00732C85">
      <w:r w:rsidRPr="002A2446">
        <w:t>Any personal contact information submitted through this application process will be treated as confidential.</w:t>
      </w:r>
    </w:p>
    <w:p w14:paraId="0D8794EA" w14:textId="77777777" w:rsidR="00827AF6" w:rsidRPr="002A2446" w:rsidRDefault="00827AF6" w:rsidP="00732C85">
      <w:r w:rsidRPr="002A2446">
        <w:t xml:space="preserve">If you are awarded an Anzac Centenary Arts and Culture Fund grant, under the terms of the funding agreement you will be obliged to meet the requirements of the Australian Privacy Principles contained in the </w:t>
      </w:r>
      <w:r w:rsidRPr="00CF19A3">
        <w:rPr>
          <w:i/>
        </w:rPr>
        <w:t>Commonwealth Privacy Act 1988</w:t>
      </w:r>
      <w:r w:rsidRPr="002A2446">
        <w:t>.</w:t>
      </w:r>
    </w:p>
    <w:p w14:paraId="35267BC8" w14:textId="77777777" w:rsidR="00827AF6" w:rsidRPr="002A2446" w:rsidRDefault="00827AF6" w:rsidP="00732C85">
      <w:r w:rsidRPr="002A2446">
        <w:t>These principles cover the collection, storage, use and disclosure of personal information. Under these principles, you should ensure that any personal information you may collect and hold is accurate, relevant to the purpose for which it was collected, up to date and not misleading. In most cases, personal information should not be used or disclosed to another person, body or agency without the individual’s consent.</w:t>
      </w:r>
    </w:p>
    <w:p w14:paraId="3CF1218B" w14:textId="77777777" w:rsidR="00827AF6" w:rsidRDefault="00827AF6" w:rsidP="00732C85">
      <w:r w:rsidRPr="002A2446">
        <w:t>Individuals have the right to access their personal information and to complain if they think their personal information has been mishandled.</w:t>
      </w:r>
    </w:p>
    <w:p w14:paraId="09A0A7AB" w14:textId="25277A12" w:rsidR="00827AF6" w:rsidRPr="002A2446" w:rsidRDefault="00827AF6" w:rsidP="00732C85">
      <w:r w:rsidRPr="002A2446">
        <w:t xml:space="preserve">Information about the Privacy Act can be found at </w:t>
      </w:r>
      <w:hyperlink r:id="rId23" w:history="1">
        <w:r w:rsidR="00F031A3" w:rsidRPr="00102D55">
          <w:rPr>
            <w:rStyle w:val="Hyperlink"/>
          </w:rPr>
          <w:t>www.aoic.gov.au</w:t>
        </w:r>
      </w:hyperlink>
      <w:r w:rsidR="00F031A3">
        <w:t>.</w:t>
      </w:r>
    </w:p>
    <w:p w14:paraId="6B294CC1" w14:textId="77777777" w:rsidR="00827AF6" w:rsidRDefault="00827AF6" w:rsidP="00732C85">
      <w:r w:rsidRPr="002A2446">
        <w:t>You should pay close attention to these principles in developing your project proposal.  For example, if you are presenting case studies or evaluation data, personal information should be de-identified. Personal information about service participants should not be included without their explicit, informed and written consent.</w:t>
      </w:r>
    </w:p>
    <w:p w14:paraId="2A726A59" w14:textId="77777777" w:rsidR="00827AF6" w:rsidRPr="003626B5" w:rsidRDefault="00827AF6" w:rsidP="003626B5">
      <w:pPr>
        <w:pStyle w:val="Heading4"/>
      </w:pPr>
      <w:r w:rsidRPr="003626B5">
        <w:t>10.8 Australian Business Number</w:t>
      </w:r>
    </w:p>
    <w:p w14:paraId="026690E8" w14:textId="77777777" w:rsidR="00827AF6" w:rsidRPr="00144F45" w:rsidRDefault="00827AF6" w:rsidP="00732C85">
      <w:r w:rsidRPr="002A2446">
        <w:t>An Australian Business Number (ABN) is the identifying number that individuals and organisations use when dealing with the Tax Office and other organisations in relation to GST. Applicants are required to have an ABN to be eligible for funding.</w:t>
      </w:r>
    </w:p>
    <w:p w14:paraId="33D1CD14" w14:textId="77777777" w:rsidR="00827AF6" w:rsidRPr="003626B5" w:rsidRDefault="00827AF6" w:rsidP="003626B5">
      <w:pPr>
        <w:pStyle w:val="Heading4"/>
      </w:pPr>
      <w:r w:rsidRPr="003626B5">
        <w:t>10.9 Taxation</w:t>
      </w:r>
    </w:p>
    <w:p w14:paraId="12B545F9" w14:textId="77777777" w:rsidR="00827AF6" w:rsidRPr="00144F45" w:rsidRDefault="00827AF6" w:rsidP="00732C85">
      <w:r w:rsidRPr="002A2446">
        <w:t xml:space="preserve">The Ministry for the Arts does not provide advice on whether or how organisations pay GST. Depending on individual circumstances, there may be tax consequences arising from the receipt of funding from the Ministry for the Arts. Applicants should seek advice about tax consequences (including income tax and GST) arising from receipt of funding by consulting their financial adviser or the Australian Taxation Office at </w:t>
      </w:r>
      <w:hyperlink r:id="rId24" w:history="1">
        <w:r w:rsidRPr="002A2446">
          <w:rPr>
            <w:rStyle w:val="Hyperlink"/>
          </w:rPr>
          <w:t>www.ato.gov.au</w:t>
        </w:r>
      </w:hyperlink>
      <w:r w:rsidRPr="002A2446">
        <w:t xml:space="preserve"> or by calling 13 28 66 for businesses or 13 28 </w:t>
      </w:r>
      <w:r>
        <w:t>61 for individuals.</w:t>
      </w:r>
    </w:p>
    <w:p w14:paraId="4F4A136F" w14:textId="77777777" w:rsidR="00827AF6" w:rsidRPr="003626B5" w:rsidRDefault="00827AF6" w:rsidP="003626B5">
      <w:pPr>
        <w:pStyle w:val="Heading4"/>
      </w:pPr>
      <w:r w:rsidRPr="003626B5">
        <w:t>10.10 Compliance with laws and policies</w:t>
      </w:r>
    </w:p>
    <w:p w14:paraId="67D86915" w14:textId="77777777" w:rsidR="00827AF6" w:rsidRPr="002A2446" w:rsidRDefault="00827AF6" w:rsidP="00732C85">
      <w:r w:rsidRPr="002A2446">
        <w:t>Applicants must comply with all relevant statutes, regulations, by</w:t>
      </w:r>
      <w:r w:rsidRPr="002A2446">
        <w:noBreakHyphen/>
        <w:t xml:space="preserve">laws and requirements of any Commonwealth, State, Territory or local authority. For example, if successful applicants are required to work with youth under 18, they must apply for a Working </w:t>
      </w:r>
      <w:proofErr w:type="gramStart"/>
      <w:r w:rsidRPr="002A2446">
        <w:t>With</w:t>
      </w:r>
      <w:proofErr w:type="gramEnd"/>
      <w:r w:rsidRPr="002A2446">
        <w:t xml:space="preserve"> Children (WWC) Check from th</w:t>
      </w:r>
      <w:r>
        <w:t>eir respective state.</w:t>
      </w:r>
    </w:p>
    <w:p w14:paraId="76011836" w14:textId="77777777" w:rsidR="00827AF6" w:rsidRPr="00144F45" w:rsidRDefault="00827AF6" w:rsidP="00732C85">
      <w:r w:rsidRPr="002A2446">
        <w:t>Applicants must also ensure all required permits are obtained prior to a project commencing. Inability to complete a project due to an applicant’s failure to obtain a necessary permit may result in the applicant having to return grant funds to the Commonwealth.</w:t>
      </w:r>
    </w:p>
    <w:p w14:paraId="230ABB71" w14:textId="77777777" w:rsidR="00827AF6" w:rsidRPr="00144F45" w:rsidRDefault="00827AF6" w:rsidP="003626B5">
      <w:pPr>
        <w:pStyle w:val="Heading3"/>
      </w:pPr>
      <w:r w:rsidRPr="00144F45">
        <w:t>11. Complaints process</w:t>
      </w:r>
    </w:p>
    <w:p w14:paraId="6DC5A036" w14:textId="77777777" w:rsidR="00827AF6" w:rsidRPr="00144F45" w:rsidRDefault="00827AF6" w:rsidP="003626B5">
      <w:pPr>
        <w:pStyle w:val="Heading4"/>
      </w:pPr>
      <w:r w:rsidRPr="00144F45">
        <w:t>11.1 Complaints mechanism</w:t>
      </w:r>
    </w:p>
    <w:p w14:paraId="51A0205E" w14:textId="77777777" w:rsidR="00827AF6" w:rsidRPr="002A2446" w:rsidRDefault="00827AF6" w:rsidP="00732C85">
      <w:r w:rsidRPr="002A2446">
        <w:t>The Attorney-General’s Department regards complaints as a way of both assessing and improving our performance. The Department will endeavour, where possible, to ensure that complaints are resolved promptly, fairly, confidentially and satisfactorily and that our procedures are improved as a result.</w:t>
      </w:r>
    </w:p>
    <w:p w14:paraId="216CF2FB" w14:textId="77777777" w:rsidR="00827AF6" w:rsidRDefault="00827AF6" w:rsidP="00366BB4">
      <w:pPr>
        <w:keepNext/>
      </w:pPr>
      <w:r w:rsidRPr="002A2446">
        <w:t>Complaints regarding an application under Anzac Centenary Arts and Culture Fund should first be made</w:t>
      </w:r>
      <w:r>
        <w:t xml:space="preserve"> via email to </w:t>
      </w:r>
      <w:hyperlink r:id="rId25" w:history="1">
        <w:r w:rsidRPr="002A2446">
          <w:t>anzac@arts.gov.au</w:t>
        </w:r>
      </w:hyperlink>
      <w:r>
        <w:t xml:space="preserve"> or </w:t>
      </w:r>
      <w:r w:rsidRPr="002A2446">
        <w:t>in writing</w:t>
      </w:r>
      <w:r>
        <w:t xml:space="preserve"> </w:t>
      </w:r>
      <w:r w:rsidRPr="002A2446">
        <w:t>to:</w:t>
      </w:r>
    </w:p>
    <w:p w14:paraId="422422B4" w14:textId="6B5C1FD2" w:rsidR="00827AF6" w:rsidRPr="002A2446" w:rsidRDefault="00827AF6" w:rsidP="00366BB4">
      <w:pPr>
        <w:keepNext/>
        <w:ind w:left="567"/>
      </w:pPr>
      <w:r w:rsidRPr="002A2446">
        <w:t>Assistant Secretary</w:t>
      </w:r>
      <w:r w:rsidR="00732C85">
        <w:br/>
      </w:r>
      <w:r w:rsidRPr="002A2446">
        <w:t>Access and Participation</w:t>
      </w:r>
      <w:r w:rsidR="00732C85">
        <w:br/>
      </w:r>
      <w:r w:rsidRPr="002A2446">
        <w:t>Attorney-General’s Department</w:t>
      </w:r>
      <w:r w:rsidR="00732C85">
        <w:br/>
      </w:r>
      <w:r w:rsidRPr="002A2446">
        <w:t>4 National Circuit, BARTON ACT 2600</w:t>
      </w:r>
    </w:p>
    <w:p w14:paraId="58474569" w14:textId="77777777" w:rsidR="00827AF6" w:rsidRPr="002A2446" w:rsidRDefault="00827AF6" w:rsidP="00F031A3">
      <w:pPr>
        <w:keepNext/>
      </w:pPr>
      <w:r w:rsidRPr="002A2446">
        <w:t>If you believe that the matter has not been resolved satisfactorily, you can then direct your complaint to the Attorney-General’s Department Compliments and Complaints Officer by:</w:t>
      </w:r>
    </w:p>
    <w:p w14:paraId="1D6A8E45" w14:textId="77777777" w:rsidR="00827AF6" w:rsidRPr="002A2446" w:rsidRDefault="00827AF6" w:rsidP="003D1885">
      <w:pPr>
        <w:pStyle w:val="Bullet1"/>
      </w:pPr>
      <w:r w:rsidRPr="002A2446">
        <w:t xml:space="preserve">email: </w:t>
      </w:r>
      <w:hyperlink r:id="rId26" w:history="1">
        <w:r w:rsidRPr="002A2446">
          <w:t>complaints@ag.gov.au</w:t>
        </w:r>
      </w:hyperlink>
    </w:p>
    <w:p w14:paraId="1BE0B706" w14:textId="77777777" w:rsidR="00827AF6" w:rsidRPr="002A2446" w:rsidRDefault="00827AF6" w:rsidP="003D1885">
      <w:pPr>
        <w:pStyle w:val="Bullet1"/>
      </w:pPr>
      <w:r w:rsidRPr="002A2446">
        <w:t>phone: 02 6141 2525</w:t>
      </w:r>
    </w:p>
    <w:p w14:paraId="16DA1F5F" w14:textId="77777777" w:rsidR="00827AF6" w:rsidRPr="002A2446" w:rsidRDefault="00827AF6" w:rsidP="003D1885">
      <w:pPr>
        <w:pStyle w:val="Bullet1"/>
      </w:pPr>
      <w:r w:rsidRPr="002A2446">
        <w:t>or by mail:</w:t>
      </w:r>
    </w:p>
    <w:p w14:paraId="4FBBD428" w14:textId="68C3C487" w:rsidR="00827AF6" w:rsidRPr="00E310B8" w:rsidRDefault="00827AF6" w:rsidP="003626B5">
      <w:pPr>
        <w:spacing w:after="0"/>
        <w:ind w:left="567"/>
      </w:pPr>
      <w:r w:rsidRPr="002A2446">
        <w:t>Compliments and Complaints Officer</w:t>
      </w:r>
      <w:r w:rsidR="00732C85">
        <w:br/>
      </w:r>
      <w:r w:rsidRPr="002A2446">
        <w:t>Attorney-General’s Department</w:t>
      </w:r>
      <w:r w:rsidR="00732C85">
        <w:br/>
      </w:r>
      <w:r w:rsidRPr="002A2446">
        <w:t>Robert Garran Offices</w:t>
      </w:r>
      <w:r w:rsidR="00732C85">
        <w:br/>
      </w:r>
      <w:r w:rsidRPr="002A2446">
        <w:t>National Circuit</w:t>
      </w:r>
      <w:r w:rsidR="00732C85">
        <w:br/>
      </w:r>
      <w:r w:rsidRPr="002A2446">
        <w:t>BARTON ACT 2600</w:t>
      </w:r>
    </w:p>
    <w:p w14:paraId="0280873D" w14:textId="77777777" w:rsidR="00BF004D" w:rsidRPr="00827AF6" w:rsidRDefault="00BF004D" w:rsidP="00732C85"/>
    <w:sectPr w:rsidR="00BF004D" w:rsidRPr="00827AF6" w:rsidSect="003D1885">
      <w:footerReference w:type="default" r:id="rId27"/>
      <w:type w:val="continuous"/>
      <w:pgSz w:w="12240" w:h="15840"/>
      <w:pgMar w:top="1701" w:right="964" w:bottom="964" w:left="964" w:header="142"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8742" w14:textId="77777777" w:rsidR="003B28B8" w:rsidRDefault="003B28B8" w:rsidP="006150CB">
      <w:r>
        <w:separator/>
      </w:r>
    </w:p>
  </w:endnote>
  <w:endnote w:type="continuationSeparator" w:id="0">
    <w:p w14:paraId="02808743" w14:textId="77777777" w:rsidR="003B28B8" w:rsidRDefault="003B28B8"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9CC8" w14:textId="77777777" w:rsidR="00827AF6" w:rsidRPr="00453257" w:rsidRDefault="00827AF6" w:rsidP="00394664">
    <w:pPr>
      <w:pStyle w:val="Footer"/>
      <w:ind w:left="-284"/>
    </w:pPr>
    <w:r>
      <w:rPr>
        <w:noProof/>
        <w:lang w:eastAsia="zh-TW" w:bidi="hi-IN"/>
      </w:rPr>
      <w:drawing>
        <wp:inline distT="0" distB="0" distL="0" distR="0" wp14:anchorId="2683DD06" wp14:editId="2BC2E62E">
          <wp:extent cx="7086534" cy="75485"/>
          <wp:effectExtent l="0" t="0" r="0" b="127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103910"/>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210075BD" w14:textId="1CC2028F" w:rsidR="003D1885" w:rsidRPr="003D1885" w:rsidRDefault="003D1885">
            <w:pPr>
              <w:pStyle w:val="Footer"/>
              <w:jc w:val="right"/>
              <w:rPr>
                <w:sz w:val="20"/>
                <w:szCs w:val="20"/>
              </w:rPr>
            </w:pPr>
            <w:r w:rsidRPr="003D1885">
              <w:rPr>
                <w:sz w:val="20"/>
                <w:szCs w:val="20"/>
              </w:rPr>
              <w:t xml:space="preserve">Page </w:t>
            </w:r>
            <w:r w:rsidRPr="003D1885">
              <w:rPr>
                <w:bCs/>
                <w:sz w:val="20"/>
                <w:szCs w:val="20"/>
              </w:rPr>
              <w:fldChar w:fldCharType="begin"/>
            </w:r>
            <w:r w:rsidRPr="003D1885">
              <w:rPr>
                <w:bCs/>
                <w:sz w:val="20"/>
                <w:szCs w:val="20"/>
              </w:rPr>
              <w:instrText xml:space="preserve"> PAGE </w:instrText>
            </w:r>
            <w:r w:rsidRPr="003D1885">
              <w:rPr>
                <w:bCs/>
                <w:sz w:val="20"/>
                <w:szCs w:val="20"/>
              </w:rPr>
              <w:fldChar w:fldCharType="separate"/>
            </w:r>
            <w:r w:rsidR="00FC4BF8">
              <w:rPr>
                <w:bCs/>
                <w:noProof/>
                <w:sz w:val="20"/>
                <w:szCs w:val="20"/>
              </w:rPr>
              <w:t>12</w:t>
            </w:r>
            <w:r w:rsidRPr="003D1885">
              <w:rPr>
                <w:bCs/>
                <w:sz w:val="20"/>
                <w:szCs w:val="20"/>
              </w:rPr>
              <w:fldChar w:fldCharType="end"/>
            </w:r>
            <w:r w:rsidRPr="003D1885">
              <w:rPr>
                <w:sz w:val="20"/>
                <w:szCs w:val="20"/>
              </w:rPr>
              <w:t xml:space="preserve"> of </w:t>
            </w:r>
            <w:r w:rsidRPr="003D1885">
              <w:rPr>
                <w:bCs/>
                <w:sz w:val="20"/>
                <w:szCs w:val="20"/>
              </w:rPr>
              <w:fldChar w:fldCharType="begin"/>
            </w:r>
            <w:r w:rsidRPr="003D1885">
              <w:rPr>
                <w:bCs/>
                <w:sz w:val="20"/>
                <w:szCs w:val="20"/>
              </w:rPr>
              <w:instrText xml:space="preserve"> NUMPAGES  </w:instrText>
            </w:r>
            <w:r w:rsidRPr="003D1885">
              <w:rPr>
                <w:bCs/>
                <w:sz w:val="20"/>
                <w:szCs w:val="20"/>
              </w:rPr>
              <w:fldChar w:fldCharType="separate"/>
            </w:r>
            <w:r w:rsidR="00FC4BF8">
              <w:rPr>
                <w:bCs/>
                <w:noProof/>
                <w:sz w:val="20"/>
                <w:szCs w:val="20"/>
              </w:rPr>
              <w:t>12</w:t>
            </w:r>
            <w:r w:rsidRPr="003D1885">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08740" w14:textId="77777777" w:rsidR="003B28B8" w:rsidRDefault="003B28B8" w:rsidP="006150CB">
      <w:r>
        <w:separator/>
      </w:r>
    </w:p>
  </w:footnote>
  <w:footnote w:type="continuationSeparator" w:id="0">
    <w:p w14:paraId="02808741" w14:textId="77777777" w:rsidR="003B28B8" w:rsidRDefault="003B28B8" w:rsidP="00615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B5355"/>
    <w:multiLevelType w:val="multilevel"/>
    <w:tmpl w:val="928EB4E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2721E"/>
    <w:multiLevelType w:val="multilevel"/>
    <w:tmpl w:val="EFDC8A06"/>
    <w:numStyleLink w:val="Bullet2"/>
  </w:abstractNum>
  <w:abstractNum w:abstractNumId="4"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92090"/>
    <w:multiLevelType w:val="hybridMultilevel"/>
    <w:tmpl w:val="9A0EA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8A0127"/>
    <w:multiLevelType w:val="hybridMultilevel"/>
    <w:tmpl w:val="A41E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72EBD"/>
    <w:multiLevelType w:val="hybridMultilevel"/>
    <w:tmpl w:val="6C1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145CD"/>
    <w:multiLevelType w:val="hybridMultilevel"/>
    <w:tmpl w:val="3B6C0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515FB0"/>
    <w:multiLevelType w:val="multilevel"/>
    <w:tmpl w:val="928EB4E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2D2329"/>
    <w:multiLevelType w:val="hybridMultilevel"/>
    <w:tmpl w:val="0BC4D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210ED"/>
    <w:multiLevelType w:val="hybridMultilevel"/>
    <w:tmpl w:val="ED3481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2D5AD3"/>
    <w:multiLevelType w:val="hybridMultilevel"/>
    <w:tmpl w:val="4BD6A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4F0FB0"/>
    <w:multiLevelType w:val="hybridMultilevel"/>
    <w:tmpl w:val="F0F2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3E3D70"/>
    <w:multiLevelType w:val="hybridMultilevel"/>
    <w:tmpl w:val="65D86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41DBF"/>
    <w:multiLevelType w:val="hybridMultilevel"/>
    <w:tmpl w:val="E24C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073245"/>
    <w:multiLevelType w:val="multilevel"/>
    <w:tmpl w:val="928EB4E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A15FB9"/>
    <w:multiLevelType w:val="hybridMultilevel"/>
    <w:tmpl w:val="915E2B92"/>
    <w:lvl w:ilvl="0" w:tplc="0A804FCE">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A5C38"/>
    <w:multiLevelType w:val="hybridMultilevel"/>
    <w:tmpl w:val="45FC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0"/>
  </w:num>
  <w:num w:numId="5">
    <w:abstractNumId w:val="1"/>
  </w:num>
  <w:num w:numId="6">
    <w:abstractNumId w:val="11"/>
  </w:num>
  <w:num w:numId="7">
    <w:abstractNumId w:val="12"/>
  </w:num>
  <w:num w:numId="8">
    <w:abstractNumId w:val="13"/>
  </w:num>
  <w:num w:numId="9">
    <w:abstractNumId w:val="10"/>
  </w:num>
  <w:num w:numId="10">
    <w:abstractNumId w:val="18"/>
  </w:num>
  <w:num w:numId="11">
    <w:abstractNumId w:val="5"/>
  </w:num>
  <w:num w:numId="12">
    <w:abstractNumId w:val="9"/>
  </w:num>
  <w:num w:numId="13">
    <w:abstractNumId w:val="16"/>
  </w:num>
  <w:num w:numId="14">
    <w:abstractNumId w:val="2"/>
  </w:num>
  <w:num w:numId="15">
    <w:abstractNumId w:val="7"/>
  </w:num>
  <w:num w:numId="16">
    <w:abstractNumId w:val="14"/>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779BE"/>
    <w:rsid w:val="00096B7A"/>
    <w:rsid w:val="000F3D72"/>
    <w:rsid w:val="0011430B"/>
    <w:rsid w:val="00151A0A"/>
    <w:rsid w:val="00192F33"/>
    <w:rsid w:val="00230B26"/>
    <w:rsid w:val="00253442"/>
    <w:rsid w:val="002A0994"/>
    <w:rsid w:val="002C36D2"/>
    <w:rsid w:val="003626B5"/>
    <w:rsid w:val="00366BB4"/>
    <w:rsid w:val="00372C25"/>
    <w:rsid w:val="00394664"/>
    <w:rsid w:val="00395615"/>
    <w:rsid w:val="003B28B8"/>
    <w:rsid w:val="003D1885"/>
    <w:rsid w:val="003E611C"/>
    <w:rsid w:val="004450A3"/>
    <w:rsid w:val="00453257"/>
    <w:rsid w:val="005C1BB3"/>
    <w:rsid w:val="005C2EE6"/>
    <w:rsid w:val="005D3FEF"/>
    <w:rsid w:val="006150CB"/>
    <w:rsid w:val="00732C85"/>
    <w:rsid w:val="007B0031"/>
    <w:rsid w:val="00827AF6"/>
    <w:rsid w:val="008934DA"/>
    <w:rsid w:val="008D2EF7"/>
    <w:rsid w:val="0098671E"/>
    <w:rsid w:val="00A53527"/>
    <w:rsid w:val="00B74535"/>
    <w:rsid w:val="00B97BAE"/>
    <w:rsid w:val="00BF004D"/>
    <w:rsid w:val="00C279C1"/>
    <w:rsid w:val="00D22BD6"/>
    <w:rsid w:val="00DE1456"/>
    <w:rsid w:val="00E34811"/>
    <w:rsid w:val="00E701B5"/>
    <w:rsid w:val="00EF3CEB"/>
    <w:rsid w:val="00F031A3"/>
    <w:rsid w:val="00FC4BF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808734"/>
  <w15:docId w15:val="{6A1AAEA5-2DFB-458D-8196-91A2C8C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B4"/>
    <w:pPr>
      <w:spacing w:after="200" w:line="264"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3626B5"/>
    <w:pPr>
      <w:spacing w:before="60"/>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3D1885"/>
    <w:pPr>
      <w:keepNext/>
      <w:spacing w:after="0" w:line="24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3D1885"/>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3626B5"/>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styleId="Hyperlink">
    <w:name w:val="Hyperlink"/>
    <w:uiPriority w:val="99"/>
    <w:unhideWhenUsed/>
    <w:rsid w:val="00827AF6"/>
    <w:rPr>
      <w:color w:val="0000FF"/>
      <w:u w:val="single"/>
    </w:rPr>
  </w:style>
  <w:style w:type="paragraph" w:styleId="ListParagraph">
    <w:name w:val="List Paragraph"/>
    <w:basedOn w:val="Normal"/>
    <w:uiPriority w:val="34"/>
    <w:qFormat/>
    <w:rsid w:val="00827AF6"/>
    <w:pPr>
      <w:ind w:left="720"/>
      <w:contextualSpacing/>
    </w:pPr>
    <w:rPr>
      <w:rFonts w:cs="Times New Roman"/>
      <w:w w:val="100"/>
      <w:kern w:val="0"/>
    </w:rPr>
  </w:style>
  <w:style w:type="character" w:customStyle="1" w:styleId="Heading5Char">
    <w:name w:val="Heading 5 Char"/>
    <w:basedOn w:val="DefaultParagraphFont"/>
    <w:link w:val="Heading5"/>
    <w:uiPriority w:val="9"/>
    <w:rsid w:val="003D1885"/>
    <w:rPr>
      <w:rFonts w:cs="Calibri"/>
      <w:b/>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arts.gov.au/anzac" TargetMode="External"/><Relationship Id="rId26" Type="http://schemas.openxmlformats.org/officeDocument/2006/relationships/hyperlink" Target="mailto:complaints@ag.gov.au" TargetMode="External"/><Relationship Id="rId3" Type="http://schemas.openxmlformats.org/officeDocument/2006/relationships/customXml" Target="../customXml/item3.xml"/><Relationship Id="rId21" Type="http://schemas.openxmlformats.org/officeDocument/2006/relationships/hyperlink" Target="http://www.arts.gov.au/anzac-centenary/news-and-public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zac@arts.gov.au" TargetMode="External"/><Relationship Id="rId25" Type="http://schemas.openxmlformats.org/officeDocument/2006/relationships/hyperlink" Target="mailto:anzac@arts.gov.au" TargetMode="External"/><Relationship Id="rId2" Type="http://schemas.openxmlformats.org/officeDocument/2006/relationships/customXml" Target="../customXml/item2.xml"/><Relationship Id="rId16" Type="http://schemas.openxmlformats.org/officeDocument/2006/relationships/hyperlink" Target="mailto:anzac@arts.gov.au" TargetMode="External"/><Relationship Id="rId20" Type="http://schemas.openxmlformats.org/officeDocument/2006/relationships/hyperlink" Target="http://arts.gov.au/anzac-centenary/production-and-commissioning-fu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to.gov.au"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oic.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rts.smartygrants.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anzaccentenary.gov.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f240a0170264e5ca0a4ac4df6a4adf7 xmlns="4f0e3ebe-c64f-4ffc-92d1-60196c9274b5">
      <Terms xmlns="http://schemas.microsoft.com/office/infopath/2007/PartnerControls">
        <TermInfo xmlns="http://schemas.microsoft.com/office/infopath/2007/PartnerControls">
          <TermName xmlns="http://schemas.microsoft.com/office/infopath/2007/PartnerControls">Attorney-General's Department</TermName>
          <TermId xmlns="http://schemas.microsoft.com/office/infopath/2007/PartnerControls">c281c3f2-80ff-44a1-b91f-c6c543d93cc6</TermId>
        </TermInfo>
      </Terms>
    </lf240a0170264e5ca0a4ac4df6a4adf7>
    <Function xmlns="4f0e3ebe-c64f-4ffc-92d1-60196c9274b5">General</Function>
    <File_x0020_Classification xmlns="6b42b109-1ac5-4733-bb0b-b82b76079e3f" xsi:nil="true"/>
    <_dlc_DocId xmlns="938d80d1-dd26-414d-85d8-b25d0f4d0023">7DXNPFMSTJEP-80-243</_dlc_DocId>
    <TaxCatchAll xmlns="6b42b109-1ac5-4733-bb0b-b82b76079e3f">
      <Value>59</Value>
    </TaxCatchAll>
    <_dlc_DocIdUrl xmlns="938d80d1-dd26-414d-85d8-b25d0f4d0023">
      <Url>http://applications.agdnet.ag.gov.au/_layouts/DocIdRedir.aspx?ID=7DXNPFMSTJEP-80-243</Url>
      <Description>7DXNPFMSTJEP-80-243</Description>
    </_dlc_DocIdUrl>
  </documentManagement>
</p:properties>
</file>

<file path=customXml/item2.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SharedContentType xmlns="Microsoft.SharePoint.Taxonomy.ContentTypeSync" SourceId="e339f249-2a4e-491e-850f-2386a2ca010f" ContentTypeId="0x010100AFB54AE2FFB7AF408B7756CD373CF197" PreviousValue="false"/>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6" ma:contentTypeDescription="This is the configured document type for creation of all AGD document level content types" ma:contentTypeScope="" ma:versionID="a411765a6f914766dac1553699f5f518">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targetNamespace="http://schemas.microsoft.com/office/2006/metadata/properties" ma:root="true" ma:fieldsID="1f5a0a5276bfee8324d7d6934946c9ba" ns1:_="" ns2:_="" ns3:_="" ns4:_="">
    <xsd:import namespace="http://schemas.microsoft.com/sharepoint/v3"/>
    <xsd:import namespace="4f0e3ebe-c64f-4ffc-92d1-60196c9274b5"/>
    <xsd:import namespace="6b42b109-1ac5-4733-bb0b-b82b76079e3f"/>
    <xsd:import namespace="938d80d1-dd26-414d-85d8-b25d0f4d0023"/>
    <xsd:element name="properties">
      <xsd:complexType>
        <xsd:sequence>
          <xsd:element name="documentManagement">
            <xsd:complexType>
              <xsd:all>
                <xsd:element ref="ns2:Function"/>
                <xsd:element ref="ns2:lf240a0170264e5ca0a4ac4df6a4adf7" minOccurs="0"/>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element name="lf240a0170264e5ca0a4ac4df6a4adf7" ma:index="6" ma:taxonomy="true" ma:internalName="lf240a0170264e5ca0a4ac4df6a4adf7" ma:taxonomyFieldName="Owner" ma:displayName="Owner" ma:readOnly="false" ma:default="" ma:fieldId="{5f240a01-7026-4e5c-a0a4-ac4df6a4adf7}" ma:sspId="e339f249-2a4e-491e-850f-2386a2ca010f" ma:termSetId="f594aa45-42e6-4854-b77b-8be4a312f0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9"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3"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99F05-36E0-412E-A67F-09848E01AFD5}">
  <ds:schemaRefs>
    <ds:schemaRef ds:uri="http://schemas.microsoft.com/office/2006/documentManagement/types"/>
    <ds:schemaRef ds:uri="http://schemas.microsoft.com/office/2006/metadata/properties"/>
    <ds:schemaRef ds:uri="6b42b109-1ac5-4733-bb0b-b82b76079e3f"/>
    <ds:schemaRef ds:uri="4f0e3ebe-c64f-4ffc-92d1-60196c9274b5"/>
    <ds:schemaRef ds:uri="http://purl.org/dc/elements/1.1/"/>
    <ds:schemaRef ds:uri="http://schemas.openxmlformats.org/package/2006/metadata/core-properties"/>
    <ds:schemaRef ds:uri="938d80d1-dd26-414d-85d8-b25d0f4d0023"/>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0A99843-A4D5-4F84-BA36-FC0AE9A303C7}">
  <ds:schemaRefs>
    <ds:schemaRef ds:uri="office.server.policy"/>
  </ds:schemaRefs>
</ds:datastoreItem>
</file>

<file path=customXml/itemProps3.xml><?xml version="1.0" encoding="utf-8"?>
<ds:datastoreItem xmlns:ds="http://schemas.openxmlformats.org/officeDocument/2006/customXml" ds:itemID="{ECEC343C-F577-4912-9E7E-C573790B3D3B}">
  <ds:schemaRefs>
    <ds:schemaRef ds:uri="Microsoft.SharePoint.Taxonomy.ContentTypeSync"/>
  </ds:schemaRefs>
</ds:datastoreItem>
</file>

<file path=customXml/itemProps4.xml><?xml version="1.0" encoding="utf-8"?>
<ds:datastoreItem xmlns:ds="http://schemas.openxmlformats.org/officeDocument/2006/customXml" ds:itemID="{66F0727B-2491-47A7-B607-F4844877A840}">
  <ds:schemaRefs>
    <ds:schemaRef ds:uri="http://schemas.microsoft.com/sharepoint/events"/>
  </ds:schemaRefs>
</ds:datastoreItem>
</file>

<file path=customXml/itemProps5.xml><?xml version="1.0" encoding="utf-8"?>
<ds:datastoreItem xmlns:ds="http://schemas.openxmlformats.org/officeDocument/2006/customXml" ds:itemID="{8899CC49-5F8D-4920-A104-9BF5527EA989}">
  <ds:schemaRefs>
    <ds:schemaRef ds:uri="http://schemas.microsoft.com/sharepoint/v3/contenttype/forms"/>
  </ds:schemaRefs>
</ds:datastoreItem>
</file>

<file path=customXml/itemProps6.xml><?xml version="1.0" encoding="utf-8"?>
<ds:datastoreItem xmlns:ds="http://schemas.openxmlformats.org/officeDocument/2006/customXml" ds:itemID="{F3643615-66EA-450D-803B-387B2B930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Anzac Centenary Arts and Culture Fund—Public Grants Program Round 2 Guidelines—2014–2018</vt:lpstr>
    </vt:vector>
  </TitlesOfParts>
  <Company>Australian Attorney General's Department</Company>
  <LinksUpToDate>false</LinksUpToDate>
  <CharactersWithSpaces>30288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Anzac Centenary Arts and Culture Fund—Public Grants Program Round 2 Guidelines—2014–2018</dc:title>
  <dc:creator>gaycke</dc:creator>
  <cp:lastModifiedBy>Department of Communications and the Arts</cp:lastModifiedBy>
  <cp:revision>2</cp:revision>
  <dcterms:created xsi:type="dcterms:W3CDTF">2017-05-26T01:58:00Z</dcterms:created>
  <dcterms:modified xsi:type="dcterms:W3CDTF">2017-05-26T01:58:00Z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cea4a888-d6f5-45c5-8730-4e4c01e71c40</vt:lpwstr>
  </property>
  <property fmtid="{D5CDD505-2E9C-101B-9397-08002B2CF9AE}" pid="3" name="Owner">
    <vt:lpwstr>59;#Attorney-General's Department|c281c3f2-80ff-44a1-b91f-c6c543d93cc6</vt:lpwstr>
  </property>
  <property fmtid="{D5CDD505-2E9C-101B-9397-08002B2CF9AE}" pid="4" name="ContentTypeId">
    <vt:lpwstr>0x010100AFB54AE2FFB7AF408B7756CD373CF197001320AC9382E3C646B11655637227D64F</vt:lpwstr>
  </property>
</Properties>
</file>