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514D9" w14:textId="77777777" w:rsidR="0094124E" w:rsidRDefault="00477982" w:rsidP="0094124E">
      <w:pPr>
        <w:ind w:left="-1418"/>
      </w:pPr>
      <w:r w:rsidRPr="002E718B">
        <w:rPr>
          <w:noProof/>
          <w:lang w:eastAsia="en-AU"/>
        </w:rPr>
        <w:drawing>
          <wp:inline distT="0" distB="0" distL="0" distR="0" wp14:anchorId="484514FF" wp14:editId="48451500">
            <wp:extent cx="7560000" cy="1397710"/>
            <wp:effectExtent l="0" t="0" r="3175" b="0"/>
            <wp:docPr id="2" name="Picture 2" descr="Header banner: Meeting of Cultural Ministers, Statistics work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m-header-banner.png"/>
                    <pic:cNvPicPr/>
                  </pic:nvPicPr>
                  <pic:blipFill rotWithShape="1">
                    <a:blip r:embed="rId11">
                      <a:extLst>
                        <a:ext uri="{28A0092B-C50C-407E-A947-70E740481C1C}">
                          <a14:useLocalDpi xmlns:a14="http://schemas.microsoft.com/office/drawing/2010/main" val="0"/>
                        </a:ext>
                      </a:extLst>
                    </a:blip>
                    <a:srcRect l="1709" t="7699" r="1875" b="1833"/>
                    <a:stretch/>
                  </pic:blipFill>
                  <pic:spPr bwMode="auto">
                    <a:xfrm>
                      <a:off x="0" y="0"/>
                      <a:ext cx="7560000" cy="1397710"/>
                    </a:xfrm>
                    <a:prstGeom prst="rect">
                      <a:avLst/>
                    </a:prstGeom>
                    <a:ln>
                      <a:noFill/>
                    </a:ln>
                    <a:extLst>
                      <a:ext uri="{53640926-AAD7-44D8-BBD7-CCE9431645EC}">
                        <a14:shadowObscured xmlns:a14="http://schemas.microsoft.com/office/drawing/2010/main"/>
                      </a:ext>
                    </a:extLst>
                  </pic:spPr>
                </pic:pic>
              </a:graphicData>
            </a:graphic>
          </wp:inline>
        </w:drawing>
      </w:r>
    </w:p>
    <w:p w14:paraId="484514DA" w14:textId="77777777" w:rsidR="00FC16F3" w:rsidRDefault="00FC16F3" w:rsidP="0094124E">
      <w:pPr>
        <w:ind w:left="-1418"/>
        <w:sectPr w:rsidR="00FC16F3" w:rsidSect="00477982">
          <w:headerReference w:type="default" r:id="rId12"/>
          <w:footerReference w:type="default" r:id="rId13"/>
          <w:footerReference w:type="first" r:id="rId14"/>
          <w:type w:val="continuous"/>
          <w:pgSz w:w="11906" w:h="16838"/>
          <w:pgMar w:top="0" w:right="1440" w:bottom="1440" w:left="1440" w:header="0" w:footer="0" w:gutter="0"/>
          <w:cols w:space="708"/>
          <w:titlePg/>
          <w:docGrid w:linePitch="360"/>
        </w:sectPr>
      </w:pPr>
    </w:p>
    <w:p w14:paraId="484514DB" w14:textId="77777777" w:rsidR="002117E6" w:rsidRDefault="001D64AC" w:rsidP="00477982">
      <w:pPr>
        <w:pStyle w:val="Heading1"/>
      </w:pPr>
      <w:r>
        <w:t xml:space="preserve">Cultural Funding by Government — </w:t>
      </w:r>
      <w:r w:rsidR="00CC4247">
        <w:t>2017–18</w:t>
      </w:r>
    </w:p>
    <w:p w14:paraId="484514DC" w14:textId="77777777" w:rsidR="00AF5FC0" w:rsidRDefault="001D64AC" w:rsidP="00AF5FC0">
      <w:pPr>
        <w:pStyle w:val="Heading2"/>
      </w:pPr>
      <w:r w:rsidRPr="00527D9C">
        <w:rPr>
          <w:szCs w:val="36"/>
        </w:rPr>
        <w:t>Australian Capital Territory Government</w:t>
      </w:r>
    </w:p>
    <w:p w14:paraId="484514DD" w14:textId="77777777" w:rsidR="001D64AC" w:rsidRPr="00303AC1" w:rsidRDefault="001D64AC" w:rsidP="001D64AC">
      <w:r w:rsidRPr="00303AC1">
        <w:t xml:space="preserve">The estimate of expenditure funded by the Australian Capital Territory Government in </w:t>
      </w:r>
      <w:r w:rsidR="00CC4247">
        <w:t>2017–18</w:t>
      </w:r>
      <w:r w:rsidRPr="00303AC1">
        <w:t xml:space="preserve"> for cultural activities was </w:t>
      </w:r>
      <w:r w:rsidRPr="00E92EB5">
        <w:rPr>
          <w:b/>
        </w:rPr>
        <w:t>$79.5m</w:t>
      </w:r>
      <w:r w:rsidRPr="00303AC1">
        <w:t>.</w:t>
      </w:r>
      <w:r w:rsidR="005377F7">
        <w:t xml:space="preserve"> This represented an increase of 22% or $</w:t>
      </w:r>
      <w:r w:rsidR="002E2477">
        <w:t>14.6m</w:t>
      </w:r>
      <w:r w:rsidR="005377F7">
        <w:t xml:space="preserve"> from 2016</w:t>
      </w:r>
      <w:r w:rsidR="00CC4247">
        <w:t>–</w:t>
      </w:r>
      <w:r w:rsidR="005377F7">
        <w:t>17.</w:t>
      </w:r>
    </w:p>
    <w:p w14:paraId="484514DE" w14:textId="77777777" w:rsidR="001D64AC" w:rsidRDefault="0024033A" w:rsidP="001D64AC">
      <w:pPr>
        <w:pStyle w:val="Tablefigureheading"/>
      </w:pPr>
      <w:r>
        <w:t>Table</w:t>
      </w:r>
      <w:r w:rsidR="007A5DD1">
        <w:t xml:space="preserve"> 1</w:t>
      </w:r>
      <w:r>
        <w:t>—</w:t>
      </w:r>
      <w:r w:rsidR="00436F4C">
        <w:t>A</w:t>
      </w:r>
      <w:r w:rsidR="001C7827">
        <w:t xml:space="preserve">ustralian </w:t>
      </w:r>
      <w:r w:rsidR="00436F4C">
        <w:t>C</w:t>
      </w:r>
      <w:r w:rsidR="001C7827">
        <w:t xml:space="preserve">apital </w:t>
      </w:r>
      <w:r w:rsidR="00436F4C">
        <w:t>T</w:t>
      </w:r>
      <w:r w:rsidR="001C7827">
        <w:t>erritory</w:t>
      </w:r>
      <w:r w:rsidR="00436F4C">
        <w:t xml:space="preserve"> Government </w:t>
      </w:r>
      <w:r w:rsidR="0082186E">
        <w:t>cultural expenditure</w:t>
      </w:r>
      <w:r w:rsidR="00436F4C">
        <w:t>, 2015</w:t>
      </w:r>
      <w:r w:rsidR="00CC4247">
        <w:t>–</w:t>
      </w:r>
      <w:r w:rsidR="00436F4C">
        <w:t xml:space="preserve">16 to </w:t>
      </w:r>
      <w:r w:rsidR="00CC4247">
        <w:t>2017–18</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Australian Capital Territory Government cultural expenditure, 2015–16 to 2017–18."/>
      </w:tblPr>
      <w:tblGrid>
        <w:gridCol w:w="1276"/>
        <w:gridCol w:w="1985"/>
        <w:gridCol w:w="1984"/>
      </w:tblGrid>
      <w:tr w:rsidR="001D64AC" w14:paraId="484514E2" w14:textId="77777777" w:rsidTr="001D64AC">
        <w:trPr>
          <w:cantSplit/>
          <w:tblHeader/>
        </w:trPr>
        <w:tc>
          <w:tcPr>
            <w:tcW w:w="1276" w:type="dxa"/>
            <w:tcBorders>
              <w:top w:val="nil"/>
              <w:left w:val="nil"/>
              <w:bottom w:val="thickThinLargeGap" w:sz="24" w:space="0" w:color="auto"/>
              <w:right w:val="nil"/>
            </w:tcBorders>
            <w:shd w:val="clear" w:color="auto" w:fill="C3AFF7"/>
          </w:tcPr>
          <w:p w14:paraId="484514DF" w14:textId="77777777" w:rsidR="001D64AC" w:rsidRDefault="001D64AC">
            <w:pPr>
              <w:pStyle w:val="Tablerowcolumnheading"/>
            </w:pPr>
            <w:bookmarkStart w:id="0" w:name="RowTitle"/>
            <w:r>
              <w:t>2015–16</w:t>
            </w:r>
          </w:p>
        </w:tc>
        <w:tc>
          <w:tcPr>
            <w:tcW w:w="1985" w:type="dxa"/>
            <w:tcBorders>
              <w:top w:val="nil"/>
              <w:left w:val="nil"/>
              <w:bottom w:val="thickThinLargeGap" w:sz="24" w:space="0" w:color="auto"/>
              <w:right w:val="nil"/>
            </w:tcBorders>
            <w:shd w:val="clear" w:color="auto" w:fill="C3AFF7"/>
          </w:tcPr>
          <w:p w14:paraId="484514E0" w14:textId="77777777" w:rsidR="001D64AC" w:rsidRDefault="001D64AC" w:rsidP="001D64AC">
            <w:pPr>
              <w:pStyle w:val="Tablerowcolumnheadingcentred"/>
            </w:pPr>
            <w:r>
              <w:t>2016–17</w:t>
            </w:r>
          </w:p>
        </w:tc>
        <w:tc>
          <w:tcPr>
            <w:tcW w:w="1984" w:type="dxa"/>
            <w:tcBorders>
              <w:top w:val="nil"/>
              <w:left w:val="nil"/>
              <w:bottom w:val="thickThinLargeGap" w:sz="24" w:space="0" w:color="auto"/>
              <w:right w:val="nil"/>
            </w:tcBorders>
            <w:shd w:val="clear" w:color="auto" w:fill="C3AFF7"/>
          </w:tcPr>
          <w:p w14:paraId="484514E1" w14:textId="77777777" w:rsidR="001D64AC" w:rsidRDefault="001D64AC" w:rsidP="001D64AC">
            <w:pPr>
              <w:pStyle w:val="Tablerowcolumnheadingcentred"/>
            </w:pPr>
            <w:r>
              <w:t>2017–18</w:t>
            </w:r>
          </w:p>
        </w:tc>
      </w:tr>
      <w:bookmarkEnd w:id="0"/>
      <w:tr w:rsidR="001D64AC" w14:paraId="484514E6" w14:textId="77777777" w:rsidTr="001D64AC">
        <w:trPr>
          <w:cantSplit/>
        </w:trPr>
        <w:tc>
          <w:tcPr>
            <w:tcW w:w="1276" w:type="dxa"/>
            <w:tcBorders>
              <w:top w:val="single" w:sz="4" w:space="0" w:color="auto"/>
              <w:left w:val="nil"/>
              <w:bottom w:val="single" w:sz="12" w:space="0" w:color="auto"/>
              <w:right w:val="nil"/>
            </w:tcBorders>
          </w:tcPr>
          <w:p w14:paraId="484514E3" w14:textId="77777777" w:rsidR="001D64AC" w:rsidRPr="00303AC1" w:rsidRDefault="001D64AC" w:rsidP="001D64AC">
            <w:pPr>
              <w:pStyle w:val="Tabletext"/>
            </w:pPr>
            <w:r w:rsidRPr="00303AC1">
              <w:t>$63.3m</w:t>
            </w:r>
          </w:p>
        </w:tc>
        <w:tc>
          <w:tcPr>
            <w:tcW w:w="1985" w:type="dxa"/>
            <w:tcBorders>
              <w:top w:val="single" w:sz="4" w:space="0" w:color="auto"/>
              <w:left w:val="nil"/>
              <w:bottom w:val="single" w:sz="12" w:space="0" w:color="auto"/>
              <w:right w:val="nil"/>
            </w:tcBorders>
          </w:tcPr>
          <w:p w14:paraId="484514E4" w14:textId="77777777" w:rsidR="001D64AC" w:rsidRPr="00303AC1" w:rsidRDefault="001D64AC" w:rsidP="001D64AC">
            <w:pPr>
              <w:pStyle w:val="Tabletextcentred"/>
            </w:pPr>
            <w:r w:rsidRPr="00303AC1">
              <w:t>$64.9m ↑ 3%</w:t>
            </w:r>
          </w:p>
        </w:tc>
        <w:tc>
          <w:tcPr>
            <w:tcW w:w="1984" w:type="dxa"/>
            <w:tcBorders>
              <w:top w:val="single" w:sz="4" w:space="0" w:color="auto"/>
              <w:left w:val="nil"/>
              <w:bottom w:val="single" w:sz="12" w:space="0" w:color="auto"/>
              <w:right w:val="nil"/>
            </w:tcBorders>
          </w:tcPr>
          <w:p w14:paraId="484514E5" w14:textId="77777777" w:rsidR="001D64AC" w:rsidRPr="00303AC1" w:rsidRDefault="001D64AC" w:rsidP="001D64AC">
            <w:pPr>
              <w:pStyle w:val="Tabletextcentred"/>
            </w:pPr>
            <w:r w:rsidRPr="00303AC1">
              <w:t>$79.5m ↑ 22%</w:t>
            </w:r>
          </w:p>
        </w:tc>
      </w:tr>
    </w:tbl>
    <w:p w14:paraId="484514E7" w14:textId="77777777" w:rsidR="00426F0B" w:rsidRDefault="001D64AC" w:rsidP="00CC4247">
      <w:pPr>
        <w:pStyle w:val="ListParagraph"/>
        <w:numPr>
          <w:ilvl w:val="0"/>
          <w:numId w:val="6"/>
        </w:numPr>
        <w:spacing w:before="240"/>
        <w:ind w:left="567" w:hanging="567"/>
      </w:pPr>
      <w:r w:rsidRPr="00303AC1">
        <w:t xml:space="preserve">Recurrent expenses accounted for 88% ($70.0m) </w:t>
      </w:r>
      <w:r w:rsidR="00CC4247">
        <w:t>of funded cultural expenditure.</w:t>
      </w:r>
    </w:p>
    <w:p w14:paraId="484514E8" w14:textId="77777777" w:rsidR="00426F0B" w:rsidRDefault="001D64AC" w:rsidP="00CC4247">
      <w:pPr>
        <w:pStyle w:val="ListParagraph"/>
        <w:numPr>
          <w:ilvl w:val="0"/>
          <w:numId w:val="6"/>
        </w:numPr>
        <w:ind w:left="567" w:hanging="567"/>
      </w:pPr>
      <w:r w:rsidRPr="00303AC1">
        <w:t xml:space="preserve">Capital expenditure was $9.5m, and the largest two categories were </w:t>
      </w:r>
      <w:r w:rsidRPr="00E92EB5">
        <w:rPr>
          <w:i/>
        </w:rPr>
        <w:t>Other museums and cultural heritage</w:t>
      </w:r>
      <w:r w:rsidRPr="00303AC1">
        <w:t xml:space="preserve"> ($6.8m) and </w:t>
      </w:r>
      <w:r w:rsidRPr="00E92EB5">
        <w:rPr>
          <w:i/>
        </w:rPr>
        <w:t>Performing art venues</w:t>
      </w:r>
      <w:r w:rsidR="00CC4247">
        <w:t xml:space="preserve"> ($1.4m).</w:t>
      </w:r>
    </w:p>
    <w:p w14:paraId="484514E9" w14:textId="77777777" w:rsidR="00426F0B" w:rsidRDefault="00426F0B" w:rsidP="00CC4247">
      <w:pPr>
        <w:pStyle w:val="ListParagraph"/>
        <w:numPr>
          <w:ilvl w:val="0"/>
          <w:numId w:val="6"/>
        </w:numPr>
        <w:ind w:left="567" w:hanging="567"/>
      </w:pPr>
      <w:r w:rsidRPr="00303AC1">
        <w:t>The estimate of per person cultural funding was $19</w:t>
      </w:r>
      <w:r w:rsidR="0074751D">
        <w:t>0.96.</w:t>
      </w:r>
    </w:p>
    <w:p w14:paraId="484514EA" w14:textId="77777777" w:rsidR="00426F0B" w:rsidRDefault="001D64AC" w:rsidP="00426F0B">
      <w:r w:rsidRPr="00303AC1">
        <w:t xml:space="preserve">Funds on </w:t>
      </w:r>
      <w:r w:rsidRPr="00E92EB5">
        <w:rPr>
          <w:i/>
        </w:rPr>
        <w:t>Heritage</w:t>
      </w:r>
      <w:r w:rsidRPr="00303AC1">
        <w:t xml:space="preserve"> activities rose 27% (or $8.6m) to $41.0m.</w:t>
      </w:r>
      <w:r w:rsidR="00426F0B">
        <w:t xml:space="preserve"> </w:t>
      </w:r>
    </w:p>
    <w:p w14:paraId="484514EB" w14:textId="77777777" w:rsidR="00426F0B" w:rsidRPr="00303AC1" w:rsidRDefault="00426F0B" w:rsidP="00426F0B">
      <w:r w:rsidRPr="00303AC1">
        <w:t xml:space="preserve">This increase was driven by expenditure on the categories of </w:t>
      </w:r>
      <w:r w:rsidRPr="00E92EB5">
        <w:rPr>
          <w:i/>
        </w:rPr>
        <w:t>Other museums and cultural heritage</w:t>
      </w:r>
      <w:r w:rsidRPr="00303AC1">
        <w:t xml:space="preserve"> (↑$9.3m) and </w:t>
      </w:r>
      <w:r w:rsidRPr="00E92EB5">
        <w:rPr>
          <w:i/>
        </w:rPr>
        <w:t>Libraries</w:t>
      </w:r>
      <w:r w:rsidRPr="00303AC1">
        <w:t xml:space="preserve"> (↑$1.1m). Increases were offset by a fall in </w:t>
      </w:r>
      <w:r w:rsidRPr="00D47936">
        <w:rPr>
          <w:i/>
        </w:rPr>
        <w:t>Art Museums</w:t>
      </w:r>
      <w:r w:rsidRPr="00303AC1">
        <w:t xml:space="preserve"> (↓$1.9m).</w:t>
      </w:r>
    </w:p>
    <w:p w14:paraId="484514EC" w14:textId="77777777" w:rsidR="001D64AC" w:rsidRDefault="00426F0B" w:rsidP="00426F0B">
      <w:r w:rsidRPr="00303AC1">
        <w:t xml:space="preserve">The largest categories of </w:t>
      </w:r>
      <w:r w:rsidRPr="00E92EB5">
        <w:rPr>
          <w:i/>
        </w:rPr>
        <w:t>Heritage</w:t>
      </w:r>
      <w:r w:rsidRPr="00303AC1">
        <w:t xml:space="preserve"> expenditure were </w:t>
      </w:r>
      <w:r w:rsidRPr="00E92EB5">
        <w:rPr>
          <w:i/>
        </w:rPr>
        <w:t>Libraries</w:t>
      </w:r>
      <w:r w:rsidRPr="00303AC1">
        <w:t xml:space="preserve"> with $19.7m</w:t>
      </w:r>
      <w:r w:rsidR="00D47936">
        <w:t xml:space="preserve"> </w:t>
      </w:r>
      <w:r w:rsidRPr="00303AC1">
        <w:t xml:space="preserve">followed by </w:t>
      </w:r>
      <w:r w:rsidRPr="00E92EB5">
        <w:rPr>
          <w:i/>
        </w:rPr>
        <w:t>Other museums and cultural heritage</w:t>
      </w:r>
      <w:r w:rsidRPr="00303AC1">
        <w:t xml:space="preserve"> with $16.1m.</w:t>
      </w:r>
      <w:r w:rsidR="00D47936">
        <w:t xml:space="preserve"> Expenditure on </w:t>
      </w:r>
      <w:r w:rsidR="00D47936" w:rsidRPr="00D47936">
        <w:rPr>
          <w:i/>
        </w:rPr>
        <w:t>Libraries</w:t>
      </w:r>
      <w:r w:rsidR="00D47936">
        <w:t xml:space="preserve"> was nearly half (48%) the heritage expenditure by the </w:t>
      </w:r>
      <w:r w:rsidR="00966C24">
        <w:t xml:space="preserve">Australian </w:t>
      </w:r>
      <w:r w:rsidR="00D47936">
        <w:t>C</w:t>
      </w:r>
      <w:r w:rsidR="00966C24">
        <w:t xml:space="preserve">apital </w:t>
      </w:r>
      <w:r w:rsidR="00D47936">
        <w:t>T</w:t>
      </w:r>
      <w:r w:rsidR="00966C24">
        <w:t>erritory</w:t>
      </w:r>
      <w:r w:rsidR="00D47936">
        <w:t xml:space="preserve"> Government.</w:t>
      </w:r>
    </w:p>
    <w:p w14:paraId="484514ED" w14:textId="77777777" w:rsidR="0082186E" w:rsidRDefault="0082186E" w:rsidP="00426F0B">
      <w:r>
        <w:lastRenderedPageBreak/>
        <w:t>Note</w:t>
      </w:r>
      <w:r w:rsidRPr="00CC5725">
        <w:t xml:space="preserve"> the A</w:t>
      </w:r>
      <w:r>
        <w:t>CT</w:t>
      </w:r>
      <w:r w:rsidRPr="00CC5725">
        <w:t xml:space="preserve"> does not have a tier of local government and as such local government services such as </w:t>
      </w:r>
      <w:r>
        <w:t>l</w:t>
      </w:r>
      <w:r w:rsidRPr="00732501">
        <w:t>ibraries</w:t>
      </w:r>
      <w:r w:rsidRPr="00CC5725">
        <w:t xml:space="preserve"> were instead funded by the Australian Capital Territory Government.</w:t>
      </w:r>
    </w:p>
    <w:p w14:paraId="484514EE" w14:textId="77777777" w:rsidR="001D64AC" w:rsidRPr="00303AC1" w:rsidRDefault="001D64AC" w:rsidP="001D64AC">
      <w:pPr>
        <w:pStyle w:val="Tablefigureheading"/>
      </w:pPr>
      <w:bookmarkStart w:id="1" w:name="_Toc524533023"/>
      <w:r w:rsidRPr="00303AC1">
        <w:t xml:space="preserve">Figure 1. </w:t>
      </w:r>
      <w:r w:rsidR="00966C24">
        <w:t>Australian Capital Territory</w:t>
      </w:r>
      <w:r w:rsidRPr="00303AC1">
        <w:t xml:space="preserve"> Government heritage expenditure</w:t>
      </w:r>
      <w:bookmarkEnd w:id="1"/>
    </w:p>
    <w:p w14:paraId="484514EF" w14:textId="77777777" w:rsidR="001D64AC" w:rsidRDefault="00E06D3D" w:rsidP="001D64AC">
      <w:r>
        <w:rPr>
          <w:noProof/>
          <w:lang w:eastAsia="en-AU"/>
        </w:rPr>
        <w:drawing>
          <wp:inline distT="0" distB="0" distL="0" distR="0" wp14:anchorId="48451501" wp14:editId="48451502">
            <wp:extent cx="3627120" cy="2133600"/>
            <wp:effectExtent l="0" t="0" r="0" b="0"/>
            <wp:docPr id="1" name="Picture 1" descr="Figure 1. Australian Capital Territory Government heritage expenditure.&#10;&#10;A column graph compares expenditure across the heritage categories of Art museums, Other museums and cultural heritage, Libraries and Archives between the financial years of 2015-16, 2016-17 and 2017-18 for Australian Capital Territory Government." title="Figure 1. Australian Capital Territory Government heritage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27120" cy="2133600"/>
                    </a:xfrm>
                    <a:prstGeom prst="rect">
                      <a:avLst/>
                    </a:prstGeom>
                  </pic:spPr>
                </pic:pic>
              </a:graphicData>
            </a:graphic>
          </wp:inline>
        </w:drawing>
      </w:r>
    </w:p>
    <w:p w14:paraId="484514F0" w14:textId="77777777" w:rsidR="001D64AC" w:rsidRDefault="001D64AC" w:rsidP="001D64AC">
      <w:r w:rsidRPr="00303AC1">
        <w:t xml:space="preserve">Funds for </w:t>
      </w:r>
      <w:r w:rsidRPr="00E92EB5">
        <w:rPr>
          <w:i/>
        </w:rPr>
        <w:t>Arts</w:t>
      </w:r>
      <w:r w:rsidRPr="00303AC1">
        <w:t xml:space="preserve"> activities rose 18% (or $6.0m) to $</w:t>
      </w:r>
      <w:r w:rsidR="00605481">
        <w:t>38.5</w:t>
      </w:r>
      <w:r w:rsidRPr="00303AC1">
        <w:t>m</w:t>
      </w:r>
      <w:r w:rsidR="0024033A">
        <w:t>.</w:t>
      </w:r>
    </w:p>
    <w:p w14:paraId="484514F1" w14:textId="77777777" w:rsidR="00426F0B" w:rsidRDefault="001D64AC" w:rsidP="001D64AC">
      <w:r w:rsidRPr="00303AC1">
        <w:t xml:space="preserve">This increase was largely attributable to increases in expenditure on </w:t>
      </w:r>
      <w:r w:rsidRPr="00E92EB5">
        <w:rPr>
          <w:i/>
        </w:rPr>
        <w:t>Film and video production and distribution</w:t>
      </w:r>
      <w:r w:rsidRPr="00303AC1">
        <w:t xml:space="preserve"> and </w:t>
      </w:r>
      <w:r w:rsidRPr="00A57B08">
        <w:rPr>
          <w:i/>
        </w:rPr>
        <w:t>Music</w:t>
      </w:r>
      <w:r w:rsidRPr="00303AC1">
        <w:t xml:space="preserve"> </w:t>
      </w:r>
      <w:r w:rsidR="000B27A8">
        <w:t>(</w:t>
      </w:r>
      <w:r w:rsidRPr="00303AC1">
        <w:t xml:space="preserve">↑$5.0m and $1.5m </w:t>
      </w:r>
      <w:r w:rsidR="0024033A">
        <w:t>respectively</w:t>
      </w:r>
      <w:r w:rsidR="000B27A8">
        <w:t>)</w:t>
      </w:r>
      <w:r w:rsidR="0024033A">
        <w:t>.</w:t>
      </w:r>
    </w:p>
    <w:p w14:paraId="484514F2" w14:textId="77777777" w:rsidR="001D64AC" w:rsidRPr="00303AC1" w:rsidRDefault="001D64AC" w:rsidP="001D64AC">
      <w:pPr>
        <w:pStyle w:val="Tablefigureheading"/>
      </w:pPr>
      <w:bookmarkStart w:id="2" w:name="_Toc524533024"/>
      <w:r w:rsidRPr="00303AC1">
        <w:t xml:space="preserve">Figure 2. </w:t>
      </w:r>
      <w:r w:rsidR="00966C24">
        <w:t>Australian Capital Territory</w:t>
      </w:r>
      <w:r w:rsidRPr="00303AC1">
        <w:t xml:space="preserve"> Government arts expenditure, by selected categories</w:t>
      </w:r>
      <w:bookmarkEnd w:id="2"/>
    </w:p>
    <w:p w14:paraId="484514F3" w14:textId="77777777" w:rsidR="00436F4C" w:rsidRDefault="00E06D3D" w:rsidP="001D64AC">
      <w:r>
        <w:rPr>
          <w:noProof/>
          <w:lang w:eastAsia="en-AU"/>
        </w:rPr>
        <w:drawing>
          <wp:inline distT="0" distB="0" distL="0" distR="0" wp14:anchorId="48451503" wp14:editId="48451504">
            <wp:extent cx="4579620" cy="2727960"/>
            <wp:effectExtent l="0" t="0" r="0" b="0"/>
            <wp:docPr id="4" name="Picture 4" descr="Figure 2. Australian Capital Territory Government arts expenditure, by selected categories.&#10;&#10;A column graph compares expenditure across selected arts categories of Music, Performing arts venues, Cross-art form, Visual arts and crafts, Film and video production and distribution, Arts education and Arts administration between the financial years of 2015-16, 2016-17 and 2017-18 for Australian Capital Territory Government." title="Figure 2. Australian Capital Territory Government arts expenditure, by selected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9620" cy="2727960"/>
                    </a:xfrm>
                    <a:prstGeom prst="rect">
                      <a:avLst/>
                    </a:prstGeom>
                  </pic:spPr>
                </pic:pic>
              </a:graphicData>
            </a:graphic>
          </wp:inline>
        </w:drawing>
      </w:r>
    </w:p>
    <w:p w14:paraId="484514F4" w14:textId="77777777" w:rsidR="005377F7" w:rsidRDefault="001D64AC" w:rsidP="001D64AC">
      <w:r w:rsidRPr="00E92EB5">
        <w:rPr>
          <w:i/>
        </w:rPr>
        <w:t>Performing arts venues</w:t>
      </w:r>
      <w:r w:rsidRPr="00303AC1">
        <w:t xml:space="preserve"> ($15.4m), accounted for over one-third (40%) of all funded expenditure on </w:t>
      </w:r>
      <w:r w:rsidRPr="00E92EB5">
        <w:rPr>
          <w:i/>
        </w:rPr>
        <w:t>Arts</w:t>
      </w:r>
      <w:r w:rsidRPr="00303AC1">
        <w:t xml:space="preserve"> activities. </w:t>
      </w:r>
    </w:p>
    <w:p w14:paraId="484514F5" w14:textId="77777777" w:rsidR="005377F7" w:rsidRDefault="001D64AC" w:rsidP="002F0402">
      <w:r w:rsidRPr="00303AC1">
        <w:t xml:space="preserve">Other main categories of </w:t>
      </w:r>
      <w:r w:rsidRPr="00E92EB5">
        <w:rPr>
          <w:i/>
        </w:rPr>
        <w:t>Arts</w:t>
      </w:r>
      <w:r w:rsidRPr="00303AC1">
        <w:t xml:space="preserve"> activit</w:t>
      </w:r>
      <w:r w:rsidR="0010452B">
        <w:t>ies</w:t>
      </w:r>
      <w:r w:rsidRPr="00303AC1">
        <w:t xml:space="preserve"> funding were:</w:t>
      </w:r>
    </w:p>
    <w:p w14:paraId="484514F6" w14:textId="77777777" w:rsidR="001D64AC" w:rsidRPr="00303AC1" w:rsidRDefault="001D64AC" w:rsidP="00CC4247">
      <w:pPr>
        <w:pStyle w:val="ListParagraph"/>
        <w:numPr>
          <w:ilvl w:val="0"/>
          <w:numId w:val="4"/>
        </w:numPr>
        <w:ind w:left="567" w:hanging="567"/>
      </w:pPr>
      <w:r w:rsidRPr="00E92EB5">
        <w:rPr>
          <w:i/>
        </w:rPr>
        <w:lastRenderedPageBreak/>
        <w:t xml:space="preserve">Film </w:t>
      </w:r>
      <w:r w:rsidR="00E92EB5">
        <w:rPr>
          <w:i/>
        </w:rPr>
        <w:t>and</w:t>
      </w:r>
      <w:r w:rsidRPr="00E92EB5">
        <w:rPr>
          <w:i/>
        </w:rPr>
        <w:t xml:space="preserve"> video production </w:t>
      </w:r>
      <w:r w:rsidR="00E92EB5">
        <w:rPr>
          <w:i/>
        </w:rPr>
        <w:t>and</w:t>
      </w:r>
      <w:r w:rsidRPr="00E92EB5">
        <w:rPr>
          <w:i/>
        </w:rPr>
        <w:t xml:space="preserve"> distribution</w:t>
      </w:r>
      <w:r w:rsidR="00D521E7" w:rsidRPr="00CC5725">
        <w:t>—</w:t>
      </w:r>
      <w:r w:rsidRPr="00303AC1">
        <w:t>$5.7m</w:t>
      </w:r>
    </w:p>
    <w:p w14:paraId="484514F7" w14:textId="77777777" w:rsidR="001D64AC" w:rsidRDefault="001D64AC" w:rsidP="00CC4247">
      <w:pPr>
        <w:pStyle w:val="ListParagraph"/>
        <w:numPr>
          <w:ilvl w:val="0"/>
          <w:numId w:val="4"/>
        </w:numPr>
        <w:ind w:left="567" w:hanging="567"/>
      </w:pPr>
      <w:r w:rsidRPr="00E92EB5">
        <w:rPr>
          <w:i/>
        </w:rPr>
        <w:t xml:space="preserve">Visual arts </w:t>
      </w:r>
      <w:r w:rsidR="00E92EB5">
        <w:rPr>
          <w:i/>
        </w:rPr>
        <w:t>and</w:t>
      </w:r>
      <w:r w:rsidRPr="00E92EB5">
        <w:rPr>
          <w:i/>
        </w:rPr>
        <w:t xml:space="preserve"> crafts</w:t>
      </w:r>
      <w:r w:rsidR="00D521E7" w:rsidRPr="00CC5725">
        <w:t>—</w:t>
      </w:r>
      <w:r w:rsidRPr="00303AC1">
        <w:t>$3.8m</w:t>
      </w:r>
    </w:p>
    <w:p w14:paraId="484514F8" w14:textId="77777777" w:rsidR="00426F0B" w:rsidRDefault="00436F4C" w:rsidP="00CC4247">
      <w:pPr>
        <w:pStyle w:val="ListParagraph"/>
        <w:numPr>
          <w:ilvl w:val="0"/>
          <w:numId w:val="4"/>
        </w:numPr>
        <w:ind w:left="567" w:hanging="567"/>
      </w:pPr>
      <w:r w:rsidRPr="00E92EB5">
        <w:rPr>
          <w:i/>
        </w:rPr>
        <w:t>Music</w:t>
      </w:r>
      <w:r w:rsidR="00D521E7" w:rsidRPr="00CC5725">
        <w:t>—</w:t>
      </w:r>
      <w:r>
        <w:t>$2.6m</w:t>
      </w:r>
      <w:bookmarkStart w:id="3" w:name="_GoBack"/>
      <w:bookmarkEnd w:id="3"/>
    </w:p>
    <w:p w14:paraId="484514F9" w14:textId="77777777" w:rsidR="00BC4BB1" w:rsidRDefault="00436F4C" w:rsidP="00CC4247">
      <w:pPr>
        <w:pStyle w:val="ListParagraph"/>
        <w:numPr>
          <w:ilvl w:val="0"/>
          <w:numId w:val="4"/>
        </w:numPr>
        <w:ind w:left="567" w:hanging="567"/>
      </w:pPr>
      <w:r w:rsidRPr="00BC4BB1">
        <w:rPr>
          <w:i/>
        </w:rPr>
        <w:t>Arts education</w:t>
      </w:r>
      <w:r w:rsidR="002F0402" w:rsidRPr="00CC5725">
        <w:t>—</w:t>
      </w:r>
      <w:r>
        <w:t>$2.4m</w:t>
      </w:r>
      <w:r w:rsidR="002F0402">
        <w:t>.</w:t>
      </w:r>
    </w:p>
    <w:p w14:paraId="484514FA" w14:textId="77777777" w:rsidR="005377F7" w:rsidRDefault="005377F7" w:rsidP="00BC4BB1">
      <w:r w:rsidRPr="00BC4BB1">
        <w:t xml:space="preserve">Recurrent </w:t>
      </w:r>
      <w:r w:rsidRPr="00303AC1">
        <w:t>expenditure rose 23% (or $13m) to $70.0m.</w:t>
      </w:r>
    </w:p>
    <w:p w14:paraId="484514FB" w14:textId="77777777" w:rsidR="005377F7" w:rsidRDefault="005377F7" w:rsidP="00436F4C">
      <w:pPr>
        <w:tabs>
          <w:tab w:val="left" w:pos="6255"/>
        </w:tabs>
      </w:pPr>
      <w:r w:rsidRPr="00303AC1">
        <w:t xml:space="preserve">The largest recurrent expenditure was for </w:t>
      </w:r>
      <w:r w:rsidRPr="00E92EB5">
        <w:rPr>
          <w:i/>
        </w:rPr>
        <w:t>Libraries</w:t>
      </w:r>
      <w:r w:rsidRPr="00303AC1">
        <w:t>, $19.</w:t>
      </w:r>
      <w:r w:rsidR="00436F4C">
        <w:t>6</w:t>
      </w:r>
      <w:r w:rsidRPr="00303AC1">
        <w:t>m</w:t>
      </w:r>
      <w:r w:rsidR="00436F4C">
        <w:t xml:space="preserve">, followed by </w:t>
      </w:r>
      <w:r w:rsidR="00436F4C" w:rsidRPr="00E92EB5">
        <w:rPr>
          <w:i/>
        </w:rPr>
        <w:t>Performing arts venues</w:t>
      </w:r>
      <w:r w:rsidR="00436F4C">
        <w:t xml:space="preserve"> ($13.9m).</w:t>
      </w:r>
    </w:p>
    <w:p w14:paraId="484514FC" w14:textId="77777777" w:rsidR="001D64AC" w:rsidRPr="00303AC1" w:rsidRDefault="001D64AC" w:rsidP="001D64AC">
      <w:pPr>
        <w:pStyle w:val="Tablefigureheading"/>
      </w:pPr>
      <w:r w:rsidRPr="00303AC1">
        <w:t xml:space="preserve">Figure 3. </w:t>
      </w:r>
      <w:r w:rsidR="00966C24">
        <w:t>Australian Capital Territory</w:t>
      </w:r>
      <w:r w:rsidRPr="00303AC1">
        <w:t xml:space="preserve"> Government recurrent cultural expenditure, by selected categories</w:t>
      </w:r>
    </w:p>
    <w:p w14:paraId="484514FD" w14:textId="77777777" w:rsidR="001D64AC" w:rsidRDefault="00E06D3D" w:rsidP="001D64AC">
      <w:r>
        <w:rPr>
          <w:noProof/>
          <w:lang w:eastAsia="en-AU"/>
        </w:rPr>
        <w:drawing>
          <wp:inline distT="0" distB="0" distL="0" distR="0" wp14:anchorId="48451505" wp14:editId="48451506">
            <wp:extent cx="4861560" cy="2636520"/>
            <wp:effectExtent l="0" t="0" r="0" b="0"/>
            <wp:docPr id="5" name="Picture 5" descr="Figure 3. Australian Capital Territory Government recurrent cultural expenditure, by selected categories.&#10;&#10;A bar chart compares recurrent expenditure across selected  categories of Art museums, Other museums and cultural heritage, Libraries, Music, Performing arts venues, Visual arts and crafts, Film and video production and distribution, Arts education and Arts administration between the financial years of 2015-16, 2016-17 and 2017-18 for Australian Capital Territory Government." title="Figure 3. Australian Capital Territory Government recurrent cultural expenditure, by selected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61560" cy="2636520"/>
                    </a:xfrm>
                    <a:prstGeom prst="rect">
                      <a:avLst/>
                    </a:prstGeom>
                  </pic:spPr>
                </pic:pic>
              </a:graphicData>
            </a:graphic>
          </wp:inline>
        </w:drawing>
      </w:r>
    </w:p>
    <w:p w14:paraId="484514FE" w14:textId="77777777" w:rsidR="005377F7" w:rsidRDefault="00436F4C" w:rsidP="00CC4247">
      <w:pPr>
        <w:pStyle w:val="ListParagraph"/>
        <w:numPr>
          <w:ilvl w:val="0"/>
          <w:numId w:val="7"/>
        </w:numPr>
        <w:ind w:left="567" w:hanging="567"/>
      </w:pPr>
      <w:r>
        <w:t>T</w:t>
      </w:r>
      <w:r w:rsidRPr="00303AC1">
        <w:t xml:space="preserve">he largest recurrent </w:t>
      </w:r>
      <w:r w:rsidR="00DB4FA3">
        <w:t xml:space="preserve">dollar </w:t>
      </w:r>
      <w:r w:rsidRPr="00303AC1">
        <w:t>increase</w:t>
      </w:r>
      <w:r w:rsidR="00DB4FA3">
        <w:t xml:space="preserve"> </w:t>
      </w:r>
      <w:r w:rsidRPr="00303AC1">
        <w:t xml:space="preserve">was for </w:t>
      </w:r>
      <w:r w:rsidR="00DB4FA3">
        <w:t xml:space="preserve">the category of </w:t>
      </w:r>
      <w:r w:rsidRPr="00E92EB5">
        <w:rPr>
          <w:i/>
        </w:rPr>
        <w:t xml:space="preserve">Film </w:t>
      </w:r>
      <w:r w:rsidR="00E92EB5">
        <w:rPr>
          <w:i/>
        </w:rPr>
        <w:t>and</w:t>
      </w:r>
      <w:r w:rsidRPr="00E92EB5">
        <w:rPr>
          <w:i/>
        </w:rPr>
        <w:t xml:space="preserve"> video production </w:t>
      </w:r>
      <w:r w:rsidR="00E92EB5">
        <w:rPr>
          <w:i/>
        </w:rPr>
        <w:t>and</w:t>
      </w:r>
      <w:r w:rsidRPr="00E92EB5">
        <w:rPr>
          <w:i/>
        </w:rPr>
        <w:t xml:space="preserve"> distribution</w:t>
      </w:r>
      <w:r w:rsidRPr="00303AC1">
        <w:t>, ↑$5.2m</w:t>
      </w:r>
      <w:r w:rsidR="00DB4FA3">
        <w:t xml:space="preserve"> between 2016</w:t>
      </w:r>
      <w:r w:rsidR="00CC4247">
        <w:t>–</w:t>
      </w:r>
      <w:r w:rsidR="00DB4FA3">
        <w:t xml:space="preserve">17 and </w:t>
      </w:r>
      <w:r w:rsidR="00CC4247">
        <w:t>2017–18</w:t>
      </w:r>
      <w:r w:rsidR="00DB4FA3">
        <w:t>.</w:t>
      </w:r>
    </w:p>
    <w:sectPr w:rsidR="005377F7" w:rsidSect="00842CA0">
      <w:type w:val="continuous"/>
      <w:pgSz w:w="11906" w:h="16838"/>
      <w:pgMar w:top="1418" w:right="1133"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1509" w14:textId="77777777" w:rsidR="00EF213E" w:rsidRDefault="00EF213E" w:rsidP="002117E6">
      <w:pPr>
        <w:spacing w:after="0"/>
      </w:pPr>
      <w:r>
        <w:separator/>
      </w:r>
    </w:p>
  </w:endnote>
  <w:endnote w:type="continuationSeparator" w:id="0">
    <w:p w14:paraId="4845150A" w14:textId="77777777" w:rsidR="00EF213E" w:rsidRDefault="00EF213E"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150D" w14:textId="76D4D941" w:rsidR="00842CA0" w:rsidRPr="000D3D9D" w:rsidRDefault="00CC4247" w:rsidP="00842CA0">
    <w:pPr>
      <w:pStyle w:val="Footer"/>
      <w:tabs>
        <w:tab w:val="clear" w:pos="9026"/>
        <w:tab w:val="right" w:pos="9333"/>
      </w:tabs>
      <w:rPr>
        <w:rStyle w:val="Hyperlink"/>
        <w:sz w:val="18"/>
        <w:szCs w:val="18"/>
      </w:rPr>
    </w:pPr>
    <w:r w:rsidRPr="00CC4247">
      <w:rPr>
        <w:sz w:val="18"/>
        <w:szCs w:val="18"/>
      </w:rPr>
      <w:t>Cultural Funding by Government — 2017–18 — Australian Capital Territory Government</w:t>
    </w:r>
    <w:r w:rsidR="00842CA0" w:rsidRPr="0037566A">
      <w:rPr>
        <w:sz w:val="18"/>
        <w:szCs w:val="18"/>
      </w:rPr>
      <w:tab/>
    </w:r>
    <w:sdt>
      <w:sdtPr>
        <w:rPr>
          <w:sz w:val="18"/>
          <w:szCs w:val="18"/>
        </w:rPr>
        <w:id w:val="-924028759"/>
        <w:docPartObj>
          <w:docPartGallery w:val="Page Numbers (Top of Page)"/>
          <w:docPartUnique/>
        </w:docPartObj>
      </w:sdtPr>
      <w:sdtEndPr/>
      <w:sdtContent>
        <w:r w:rsidR="00842CA0" w:rsidRPr="0037566A">
          <w:rPr>
            <w:sz w:val="18"/>
            <w:szCs w:val="18"/>
          </w:rPr>
          <w:t xml:space="preserve">Page </w:t>
        </w:r>
        <w:r w:rsidR="00842CA0" w:rsidRPr="0037566A">
          <w:rPr>
            <w:bCs/>
            <w:sz w:val="18"/>
            <w:szCs w:val="18"/>
          </w:rPr>
          <w:fldChar w:fldCharType="begin"/>
        </w:r>
        <w:r w:rsidR="00842CA0" w:rsidRPr="0037566A">
          <w:rPr>
            <w:bCs/>
            <w:sz w:val="18"/>
            <w:szCs w:val="18"/>
          </w:rPr>
          <w:instrText xml:space="preserve"> PAGE </w:instrText>
        </w:r>
        <w:r w:rsidR="00842CA0" w:rsidRPr="0037566A">
          <w:rPr>
            <w:bCs/>
            <w:sz w:val="18"/>
            <w:szCs w:val="18"/>
          </w:rPr>
          <w:fldChar w:fldCharType="separate"/>
        </w:r>
        <w:r w:rsidR="005C5F67">
          <w:rPr>
            <w:bCs/>
            <w:noProof/>
            <w:sz w:val="18"/>
            <w:szCs w:val="18"/>
          </w:rPr>
          <w:t>2</w:t>
        </w:r>
        <w:r w:rsidR="00842CA0" w:rsidRPr="0037566A">
          <w:rPr>
            <w:bCs/>
            <w:sz w:val="18"/>
            <w:szCs w:val="18"/>
          </w:rPr>
          <w:fldChar w:fldCharType="end"/>
        </w:r>
        <w:r w:rsidR="00842CA0" w:rsidRPr="0037566A">
          <w:rPr>
            <w:sz w:val="18"/>
            <w:szCs w:val="18"/>
          </w:rPr>
          <w:t xml:space="preserve"> of </w:t>
        </w:r>
        <w:r w:rsidR="00842CA0" w:rsidRPr="0037566A">
          <w:rPr>
            <w:bCs/>
            <w:sz w:val="18"/>
            <w:szCs w:val="18"/>
          </w:rPr>
          <w:fldChar w:fldCharType="begin"/>
        </w:r>
        <w:r w:rsidR="00842CA0" w:rsidRPr="0037566A">
          <w:rPr>
            <w:bCs/>
            <w:sz w:val="18"/>
            <w:szCs w:val="18"/>
          </w:rPr>
          <w:instrText xml:space="preserve"> NUMPAGES  </w:instrText>
        </w:r>
        <w:r w:rsidR="00842CA0" w:rsidRPr="0037566A">
          <w:rPr>
            <w:bCs/>
            <w:sz w:val="18"/>
            <w:szCs w:val="18"/>
          </w:rPr>
          <w:fldChar w:fldCharType="separate"/>
        </w:r>
        <w:r w:rsidR="005C5F67">
          <w:rPr>
            <w:bCs/>
            <w:noProof/>
            <w:sz w:val="18"/>
            <w:szCs w:val="18"/>
          </w:rPr>
          <w:t>2</w:t>
        </w:r>
        <w:r w:rsidR="00842CA0" w:rsidRPr="0037566A">
          <w:rPr>
            <w:bCs/>
            <w:sz w:val="18"/>
            <w:szCs w:val="18"/>
          </w:rPr>
          <w:fldChar w:fldCharType="end"/>
        </w:r>
      </w:sdtContent>
    </w:sdt>
  </w:p>
  <w:p w14:paraId="4845150E" w14:textId="77777777" w:rsidR="00842CA0" w:rsidRDefault="00842CA0" w:rsidP="00842CA0">
    <w:pPr>
      <w:spacing w:after="0"/>
      <w:ind w:left="-1418"/>
    </w:pPr>
    <w:r>
      <w:rPr>
        <w:noProof/>
        <w:lang w:eastAsia="en-AU"/>
      </w:rPr>
      <w:drawing>
        <wp:inline distT="0" distB="0" distL="0" distR="0" wp14:anchorId="48451512" wp14:editId="48451513">
          <wp:extent cx="7560000" cy="358181"/>
          <wp:effectExtent l="0" t="0" r="3175" b="3810"/>
          <wp:docPr id="7" name="Picture 7"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7560000" cy="35818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150F" w14:textId="77777777" w:rsidR="00BA0A5A" w:rsidRPr="00477982" w:rsidRDefault="00842CA0" w:rsidP="00477982">
    <w:pPr>
      <w:pStyle w:val="Footer"/>
      <w:ind w:left="-1418"/>
      <w:rPr>
        <w:rStyle w:val="Hyperlink"/>
        <w:color w:val="auto"/>
        <w:u w:val="none"/>
      </w:rPr>
    </w:pPr>
    <w:r>
      <w:rPr>
        <w:noProof/>
        <w:lang w:eastAsia="en-AU"/>
      </w:rPr>
      <w:drawing>
        <wp:inline distT="0" distB="0" distL="0" distR="0" wp14:anchorId="48451514" wp14:editId="48451515">
          <wp:extent cx="7560000" cy="358181"/>
          <wp:effectExtent l="0" t="0" r="3175" b="3810"/>
          <wp:docPr id="8" name="Picture 8" descr="Purple Border "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935" t="-12324" r="1078" b="19102"/>
                  <a:stretch/>
                </pic:blipFill>
                <pic:spPr bwMode="auto">
                  <a:xfrm>
                    <a:off x="0" y="0"/>
                    <a:ext cx="7560000" cy="358181"/>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51507" w14:textId="77777777" w:rsidR="00EF213E" w:rsidRDefault="00EF213E" w:rsidP="002117E6">
      <w:pPr>
        <w:spacing w:after="0"/>
      </w:pPr>
      <w:r>
        <w:separator/>
      </w:r>
    </w:p>
  </w:footnote>
  <w:footnote w:type="continuationSeparator" w:id="0">
    <w:p w14:paraId="48451508" w14:textId="77777777" w:rsidR="00EF213E" w:rsidRDefault="00EF213E" w:rsidP="00211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150B" w14:textId="77777777" w:rsidR="00477982" w:rsidRDefault="00477982" w:rsidP="00477982">
    <w:pPr>
      <w:pStyle w:val="Header"/>
      <w:ind w:left="-1418"/>
    </w:pPr>
    <w:r>
      <w:rPr>
        <w:noProof/>
        <w:lang w:eastAsia="en-AU"/>
      </w:rPr>
      <w:drawing>
        <wp:inline distT="0" distB="0" distL="0" distR="0" wp14:anchorId="48451510" wp14:editId="48451511">
          <wp:extent cx="7560000" cy="544479"/>
          <wp:effectExtent l="0" t="0" r="3175" b="8255"/>
          <wp:docPr id="6" name="Picture 6" descr="Purple Border" title="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654" t="19214" r="1857"/>
                  <a:stretch/>
                </pic:blipFill>
                <pic:spPr bwMode="auto">
                  <a:xfrm>
                    <a:off x="0" y="0"/>
                    <a:ext cx="7560000" cy="544479"/>
                  </a:xfrm>
                  <a:prstGeom prst="rect">
                    <a:avLst/>
                  </a:prstGeom>
                  <a:noFill/>
                  <a:ln>
                    <a:noFill/>
                  </a:ln>
                  <a:extLst>
                    <a:ext uri="{53640926-AAD7-44D8-BBD7-CCE9431645EC}">
                      <a14:shadowObscured xmlns:a14="http://schemas.microsoft.com/office/drawing/2010/main"/>
                    </a:ext>
                  </a:extLst>
                </pic:spPr>
              </pic:pic>
            </a:graphicData>
          </a:graphic>
        </wp:inline>
      </w:drawing>
    </w:r>
  </w:p>
  <w:p w14:paraId="4845150C" w14:textId="77777777" w:rsidR="00477982" w:rsidRDefault="00477982" w:rsidP="00477982">
    <w:pPr>
      <w:pStyle w:val="Header"/>
      <w:tabs>
        <w:tab w:val="clear" w:pos="9026"/>
        <w:tab w:val="right" w:pos="9333"/>
      </w:tabs>
    </w:pPr>
    <w:r>
      <w:t>MCM Statistics Working Group</w:t>
    </w:r>
    <w:r w:rsidRPr="00A96536">
      <w:tab/>
    </w:r>
    <w:r w:rsidRPr="00A96536">
      <w:tab/>
    </w:r>
    <w:r w:rsidR="00426F0B">
      <w:t>June</w:t>
    </w:r>
    <w:r w:rsidR="001D64AC">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D9E"/>
    <w:multiLevelType w:val="hybridMultilevel"/>
    <w:tmpl w:val="790075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17C6A73"/>
    <w:multiLevelType w:val="hybridMultilevel"/>
    <w:tmpl w:val="528A0C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F7139D"/>
    <w:multiLevelType w:val="hybridMultilevel"/>
    <w:tmpl w:val="5B38CF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93E1F26"/>
    <w:multiLevelType w:val="hybridMultilevel"/>
    <w:tmpl w:val="1A68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3E"/>
    <w:rsid w:val="00022D8F"/>
    <w:rsid w:val="00024E6D"/>
    <w:rsid w:val="000B27A8"/>
    <w:rsid w:val="0010452B"/>
    <w:rsid w:val="00111A64"/>
    <w:rsid w:val="001471EA"/>
    <w:rsid w:val="001472FC"/>
    <w:rsid w:val="001736CC"/>
    <w:rsid w:val="00185E9F"/>
    <w:rsid w:val="0019701B"/>
    <w:rsid w:val="001C7827"/>
    <w:rsid w:val="001D64AC"/>
    <w:rsid w:val="001D7905"/>
    <w:rsid w:val="002117E6"/>
    <w:rsid w:val="0024033A"/>
    <w:rsid w:val="00242B78"/>
    <w:rsid w:val="00290FEC"/>
    <w:rsid w:val="00293DD6"/>
    <w:rsid w:val="002A4338"/>
    <w:rsid w:val="002C5369"/>
    <w:rsid w:val="002E2477"/>
    <w:rsid w:val="002F0402"/>
    <w:rsid w:val="002F3895"/>
    <w:rsid w:val="00302513"/>
    <w:rsid w:val="00327F06"/>
    <w:rsid w:val="00335334"/>
    <w:rsid w:val="00336DDD"/>
    <w:rsid w:val="00381364"/>
    <w:rsid w:val="00393ED1"/>
    <w:rsid w:val="003B5B1D"/>
    <w:rsid w:val="003F495D"/>
    <w:rsid w:val="00400E77"/>
    <w:rsid w:val="0041185C"/>
    <w:rsid w:val="00426F0B"/>
    <w:rsid w:val="00436F4C"/>
    <w:rsid w:val="00450D6E"/>
    <w:rsid w:val="00456F44"/>
    <w:rsid w:val="00467552"/>
    <w:rsid w:val="004755A2"/>
    <w:rsid w:val="00477982"/>
    <w:rsid w:val="00526687"/>
    <w:rsid w:val="005377F7"/>
    <w:rsid w:val="00542695"/>
    <w:rsid w:val="00544465"/>
    <w:rsid w:val="00561190"/>
    <w:rsid w:val="005658F1"/>
    <w:rsid w:val="00565B47"/>
    <w:rsid w:val="005741CF"/>
    <w:rsid w:val="00575A5A"/>
    <w:rsid w:val="005932D0"/>
    <w:rsid w:val="00597F9B"/>
    <w:rsid w:val="005C5F67"/>
    <w:rsid w:val="005F23E0"/>
    <w:rsid w:val="00605481"/>
    <w:rsid w:val="0061446D"/>
    <w:rsid w:val="00625397"/>
    <w:rsid w:val="0064138E"/>
    <w:rsid w:val="006A2F0E"/>
    <w:rsid w:val="006F06FD"/>
    <w:rsid w:val="00705B86"/>
    <w:rsid w:val="0074751D"/>
    <w:rsid w:val="00753BB6"/>
    <w:rsid w:val="007A4B0F"/>
    <w:rsid w:val="007A5DD1"/>
    <w:rsid w:val="008169A6"/>
    <w:rsid w:val="0082186E"/>
    <w:rsid w:val="00834DE8"/>
    <w:rsid w:val="00842CA0"/>
    <w:rsid w:val="008646E6"/>
    <w:rsid w:val="00866475"/>
    <w:rsid w:val="00867254"/>
    <w:rsid w:val="008A4B1F"/>
    <w:rsid w:val="008B767F"/>
    <w:rsid w:val="008D4E53"/>
    <w:rsid w:val="008F7FA4"/>
    <w:rsid w:val="009313D2"/>
    <w:rsid w:val="00937283"/>
    <w:rsid w:val="0094124E"/>
    <w:rsid w:val="009654E0"/>
    <w:rsid w:val="00966C24"/>
    <w:rsid w:val="009B7EF0"/>
    <w:rsid w:val="009E12E4"/>
    <w:rsid w:val="00A22246"/>
    <w:rsid w:val="00A241FE"/>
    <w:rsid w:val="00A35CD0"/>
    <w:rsid w:val="00A57B08"/>
    <w:rsid w:val="00A606B1"/>
    <w:rsid w:val="00AA38E6"/>
    <w:rsid w:val="00AC0B64"/>
    <w:rsid w:val="00AC1A69"/>
    <w:rsid w:val="00AE4F02"/>
    <w:rsid w:val="00AF5FC0"/>
    <w:rsid w:val="00B049A4"/>
    <w:rsid w:val="00B04E5C"/>
    <w:rsid w:val="00B1045C"/>
    <w:rsid w:val="00B43C56"/>
    <w:rsid w:val="00B55747"/>
    <w:rsid w:val="00B704AE"/>
    <w:rsid w:val="00B96893"/>
    <w:rsid w:val="00BA0A5A"/>
    <w:rsid w:val="00BC0D30"/>
    <w:rsid w:val="00BC329E"/>
    <w:rsid w:val="00BC4BB1"/>
    <w:rsid w:val="00BC7D72"/>
    <w:rsid w:val="00BE1F34"/>
    <w:rsid w:val="00BE7E66"/>
    <w:rsid w:val="00C16794"/>
    <w:rsid w:val="00C240E2"/>
    <w:rsid w:val="00C451EE"/>
    <w:rsid w:val="00C55F55"/>
    <w:rsid w:val="00CC4247"/>
    <w:rsid w:val="00CC75CC"/>
    <w:rsid w:val="00D03AE2"/>
    <w:rsid w:val="00D47936"/>
    <w:rsid w:val="00D521E7"/>
    <w:rsid w:val="00D92957"/>
    <w:rsid w:val="00DB4FA3"/>
    <w:rsid w:val="00DC2DFA"/>
    <w:rsid w:val="00DC6A98"/>
    <w:rsid w:val="00DD5D52"/>
    <w:rsid w:val="00E06D3D"/>
    <w:rsid w:val="00E85276"/>
    <w:rsid w:val="00E92EB5"/>
    <w:rsid w:val="00E97404"/>
    <w:rsid w:val="00EA2F26"/>
    <w:rsid w:val="00EA5BA4"/>
    <w:rsid w:val="00EA6D34"/>
    <w:rsid w:val="00EB40A5"/>
    <w:rsid w:val="00EE5043"/>
    <w:rsid w:val="00EF213E"/>
    <w:rsid w:val="00EF61B4"/>
    <w:rsid w:val="00F242E6"/>
    <w:rsid w:val="00F3567E"/>
    <w:rsid w:val="00F408EE"/>
    <w:rsid w:val="00F56262"/>
    <w:rsid w:val="00F7051B"/>
    <w:rsid w:val="00FC16F3"/>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4514D9"/>
  <w15:docId w15:val="{A8A217F8-DAF3-47F2-A0C9-233017B5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552"/>
    <w:pPr>
      <w:spacing w:after="200" w:line="240" w:lineRule="auto"/>
    </w:pPr>
  </w:style>
  <w:style w:type="paragraph" w:styleId="Heading1">
    <w:name w:val="heading 1"/>
    <w:basedOn w:val="Normal"/>
    <w:next w:val="Normal"/>
    <w:link w:val="Heading1Char"/>
    <w:uiPriority w:val="9"/>
    <w:qFormat/>
    <w:rsid w:val="00DC6A98"/>
    <w:pPr>
      <w:keepNext/>
      <w:spacing w:before="360" w:after="240"/>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242B78"/>
    <w:pPr>
      <w:keepNext/>
      <w:outlineLvl w:val="1"/>
    </w:pPr>
    <w:rPr>
      <w:rFonts w:asciiTheme="majorHAnsi" w:eastAsiaTheme="majorEastAsia" w:hAnsiTheme="majorHAnsi" w:cstheme="majorBidi"/>
      <w:b/>
      <w:color w:val="554B87"/>
      <w:sz w:val="36"/>
      <w:szCs w:val="26"/>
      <w:lang w:eastAsia="en-US"/>
    </w:rPr>
  </w:style>
  <w:style w:type="paragraph" w:styleId="Heading3">
    <w:name w:val="heading 3"/>
    <w:basedOn w:val="Normal"/>
    <w:next w:val="Normal"/>
    <w:link w:val="Heading3Char"/>
    <w:uiPriority w:val="9"/>
    <w:unhideWhenUsed/>
    <w:qFormat/>
    <w:rsid w:val="00242B78"/>
    <w:pPr>
      <w:keepNext/>
      <w:spacing w:after="120"/>
      <w:outlineLvl w:val="2"/>
    </w:pPr>
    <w:rPr>
      <w:rFonts w:asciiTheme="majorHAnsi" w:eastAsiaTheme="majorEastAsia" w:hAnsiTheme="majorHAnsi" w:cstheme="majorBidi"/>
      <w:b/>
      <w:color w:val="554B87"/>
      <w:sz w:val="30"/>
      <w:szCs w:val="24"/>
      <w:lang w:eastAsia="en-US"/>
    </w:rPr>
  </w:style>
  <w:style w:type="paragraph" w:styleId="Heading4">
    <w:name w:val="heading 4"/>
    <w:basedOn w:val="Normal"/>
    <w:next w:val="Normal"/>
    <w:link w:val="Heading4Char"/>
    <w:uiPriority w:val="9"/>
    <w:unhideWhenUsed/>
    <w:qFormat/>
    <w:rsid w:val="00242B78"/>
    <w:pPr>
      <w:keepNext/>
      <w:keepLines/>
      <w:spacing w:after="120"/>
      <w:outlineLvl w:val="3"/>
    </w:pPr>
    <w:rPr>
      <w:rFonts w:asciiTheme="majorHAnsi" w:eastAsiaTheme="majorEastAsia" w:hAnsiTheme="majorHAnsi" w:cstheme="majorBidi"/>
      <w:b/>
      <w:bCs/>
      <w:color w:val="554B87"/>
      <w:sz w:val="24"/>
      <w:szCs w:val="24"/>
    </w:rPr>
  </w:style>
  <w:style w:type="paragraph" w:styleId="Heading5">
    <w:name w:val="heading 5"/>
    <w:basedOn w:val="Normal"/>
    <w:next w:val="Normal"/>
    <w:link w:val="Heading5Char"/>
    <w:uiPriority w:val="9"/>
    <w:unhideWhenUsed/>
    <w:qFormat/>
    <w:rsid w:val="00242B78"/>
    <w:pPr>
      <w:keepNext/>
      <w:keepLines/>
      <w:spacing w:after="60"/>
      <w:outlineLvl w:val="4"/>
    </w:pPr>
    <w:rPr>
      <w:rFonts w:asciiTheme="majorHAnsi" w:eastAsiaTheme="majorEastAsia" w:hAnsiTheme="majorHAnsi" w:cstheme="majorBidi"/>
      <w:b/>
      <w:color w:val="554B87"/>
    </w:rPr>
  </w:style>
  <w:style w:type="paragraph" w:styleId="Heading6">
    <w:name w:val="heading 6"/>
    <w:basedOn w:val="Normal"/>
    <w:next w:val="Normal"/>
    <w:link w:val="Heading6Char"/>
    <w:uiPriority w:val="9"/>
    <w:unhideWhenUsed/>
    <w:qFormat/>
    <w:rsid w:val="00242B78"/>
    <w:pPr>
      <w:keepNext/>
      <w:keepLines/>
      <w:spacing w:after="60"/>
      <w:outlineLvl w:val="5"/>
    </w:pPr>
    <w:rPr>
      <w:rFonts w:asciiTheme="majorHAnsi" w:eastAsiaTheme="majorEastAsia" w:hAnsiTheme="majorHAnsi" w:cstheme="majorBidi"/>
      <w:b/>
      <w:i/>
      <w:iCs/>
      <w:color w:val="554B87"/>
    </w:rPr>
  </w:style>
  <w:style w:type="paragraph" w:styleId="Heading7">
    <w:name w:val="heading 7"/>
    <w:basedOn w:val="Normal"/>
    <w:next w:val="Normal"/>
    <w:link w:val="Heading7Char"/>
    <w:uiPriority w:val="9"/>
    <w:unhideWhenUsed/>
    <w:qFormat/>
    <w:rsid w:val="00242B78"/>
    <w:pPr>
      <w:keepNext/>
      <w:keepLines/>
      <w:spacing w:before="40" w:after="0"/>
      <w:outlineLvl w:val="6"/>
    </w:pPr>
    <w:rPr>
      <w:rFonts w:asciiTheme="majorHAnsi" w:eastAsiaTheme="majorEastAsia" w:hAnsiTheme="majorHAnsi" w:cstheme="majorBidi"/>
      <w:b/>
      <w:i/>
      <w:iCs/>
      <w:color w:val="554B87"/>
    </w:rPr>
  </w:style>
  <w:style w:type="paragraph" w:styleId="Heading8">
    <w:name w:val="heading 8"/>
    <w:basedOn w:val="Normal"/>
    <w:next w:val="Normal"/>
    <w:link w:val="Heading8Char"/>
    <w:uiPriority w:val="9"/>
    <w:unhideWhenUsed/>
    <w:qFormat/>
    <w:rsid w:val="00242B78"/>
    <w:pPr>
      <w:keepNext/>
      <w:keepLines/>
      <w:spacing w:before="40" w:after="0"/>
      <w:outlineLvl w:val="7"/>
    </w:pPr>
    <w:rPr>
      <w:rFonts w:asciiTheme="majorHAnsi" w:eastAsiaTheme="majorEastAsia" w:hAnsiTheme="majorHAnsi" w:cstheme="majorBidi"/>
      <w:b/>
      <w:color w:val="554B87"/>
      <w:sz w:val="21"/>
      <w:szCs w:val="21"/>
    </w:rPr>
  </w:style>
  <w:style w:type="paragraph" w:styleId="Heading9">
    <w:name w:val="heading 9"/>
    <w:basedOn w:val="Normal"/>
    <w:next w:val="Normal"/>
    <w:link w:val="Heading9Char"/>
    <w:uiPriority w:val="9"/>
    <w:unhideWhenUsed/>
    <w:qFormat/>
    <w:rsid w:val="00242B78"/>
    <w:pPr>
      <w:keepNext/>
      <w:keepLines/>
      <w:spacing w:before="40" w:after="0"/>
      <w:outlineLvl w:val="8"/>
    </w:pPr>
    <w:rPr>
      <w:rFonts w:asciiTheme="majorHAnsi" w:eastAsiaTheme="majorEastAsia" w:hAnsiTheme="majorHAnsi" w:cstheme="majorBidi"/>
      <w:b/>
      <w:i/>
      <w:iCs/>
      <w:color w:val="554B8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A98"/>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242B78"/>
    <w:rPr>
      <w:rFonts w:asciiTheme="majorHAnsi" w:eastAsiaTheme="majorEastAsia" w:hAnsiTheme="majorHAnsi" w:cstheme="majorBidi"/>
      <w:b/>
      <w:color w:val="554B87"/>
      <w:sz w:val="36"/>
      <w:szCs w:val="26"/>
      <w:lang w:eastAsia="en-US"/>
    </w:rPr>
  </w:style>
  <w:style w:type="character" w:customStyle="1" w:styleId="Heading3Char">
    <w:name w:val="Heading 3 Char"/>
    <w:basedOn w:val="DefaultParagraphFont"/>
    <w:link w:val="Heading3"/>
    <w:uiPriority w:val="9"/>
    <w:rsid w:val="00242B78"/>
    <w:rPr>
      <w:rFonts w:asciiTheme="majorHAnsi" w:eastAsiaTheme="majorEastAsia" w:hAnsiTheme="majorHAnsi" w:cstheme="majorBidi"/>
      <w:b/>
      <w:color w:val="554B87"/>
      <w:sz w:val="30"/>
      <w:szCs w:val="24"/>
      <w:lang w:eastAsia="en-US"/>
    </w:rPr>
  </w:style>
  <w:style w:type="character" w:styleId="Hyperlink">
    <w:name w:val="Hyperlink"/>
    <w:basedOn w:val="DefaultParagraphFont"/>
    <w:uiPriority w:val="99"/>
    <w:unhideWhenUsed/>
    <w:rsid w:val="00F56262"/>
    <w:rPr>
      <w:b/>
      <w:color w:val="554B87"/>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67552"/>
    <w:pPr>
      <w:ind w:left="567"/>
    </w:pPr>
    <w:rPr>
      <w:rFonts w:eastAsiaTheme="minorHAnsi"/>
      <w:b/>
      <w:i/>
      <w:iCs/>
      <w:color w:val="554B87"/>
      <w:lang w:eastAsia="en-US"/>
    </w:rPr>
  </w:style>
  <w:style w:type="character" w:customStyle="1" w:styleId="QuoteChar">
    <w:name w:val="Quote Char"/>
    <w:basedOn w:val="DefaultParagraphFont"/>
    <w:link w:val="Quote"/>
    <w:uiPriority w:val="29"/>
    <w:rsid w:val="00467552"/>
    <w:rPr>
      <w:rFonts w:eastAsiaTheme="minorHAnsi"/>
      <w:b/>
      <w:i/>
      <w:iCs/>
      <w:color w:val="554B87"/>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242B78"/>
    <w:rPr>
      <w:rFonts w:asciiTheme="majorHAnsi" w:eastAsiaTheme="majorEastAsia" w:hAnsiTheme="majorHAnsi" w:cstheme="majorBidi"/>
      <w:b/>
      <w:bCs/>
      <w:color w:val="554B87"/>
      <w:sz w:val="24"/>
      <w:szCs w:val="24"/>
    </w:rPr>
  </w:style>
  <w:style w:type="character" w:customStyle="1" w:styleId="Heading5Char">
    <w:name w:val="Heading 5 Char"/>
    <w:basedOn w:val="DefaultParagraphFont"/>
    <w:link w:val="Heading5"/>
    <w:uiPriority w:val="9"/>
    <w:rsid w:val="00242B78"/>
    <w:rPr>
      <w:rFonts w:asciiTheme="majorHAnsi" w:eastAsiaTheme="majorEastAsia" w:hAnsiTheme="majorHAnsi" w:cstheme="majorBidi"/>
      <w:b/>
      <w:color w:val="554B87"/>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B767F"/>
    <w:pPr>
      <w:keepNext/>
      <w:spacing w:after="0"/>
    </w:pPr>
    <w:rPr>
      <w:rFonts w:asciiTheme="majorHAnsi" w:eastAsiaTheme="minorHAnsi" w:hAnsiTheme="majorHAnsi"/>
      <w:b/>
      <w:color w:val="554B87"/>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242B78"/>
    <w:rPr>
      <w:rFonts w:asciiTheme="majorHAnsi" w:eastAsiaTheme="majorEastAsia" w:hAnsiTheme="majorHAnsi" w:cstheme="majorBidi"/>
      <w:b/>
      <w:i/>
      <w:iCs/>
      <w:color w:val="554B87"/>
    </w:rPr>
  </w:style>
  <w:style w:type="character" w:customStyle="1" w:styleId="Heading7Char">
    <w:name w:val="Heading 7 Char"/>
    <w:basedOn w:val="DefaultParagraphFont"/>
    <w:link w:val="Heading7"/>
    <w:uiPriority w:val="9"/>
    <w:rsid w:val="00242B78"/>
    <w:rPr>
      <w:rFonts w:asciiTheme="majorHAnsi" w:eastAsiaTheme="majorEastAsia" w:hAnsiTheme="majorHAnsi" w:cstheme="majorBidi"/>
      <w:b/>
      <w:i/>
      <w:iCs/>
      <w:color w:val="554B87"/>
    </w:rPr>
  </w:style>
  <w:style w:type="character" w:customStyle="1" w:styleId="Heading8Char">
    <w:name w:val="Heading 8 Char"/>
    <w:basedOn w:val="DefaultParagraphFont"/>
    <w:link w:val="Heading8"/>
    <w:uiPriority w:val="9"/>
    <w:rsid w:val="00242B78"/>
    <w:rPr>
      <w:rFonts w:asciiTheme="majorHAnsi" w:eastAsiaTheme="majorEastAsia" w:hAnsiTheme="majorHAnsi" w:cstheme="majorBidi"/>
      <w:b/>
      <w:color w:val="554B87"/>
      <w:sz w:val="21"/>
      <w:szCs w:val="21"/>
    </w:rPr>
  </w:style>
  <w:style w:type="character" w:customStyle="1" w:styleId="Heading9Char">
    <w:name w:val="Heading 9 Char"/>
    <w:basedOn w:val="DefaultParagraphFont"/>
    <w:link w:val="Heading9"/>
    <w:uiPriority w:val="9"/>
    <w:rsid w:val="00242B78"/>
    <w:rPr>
      <w:rFonts w:asciiTheme="majorHAnsi" w:eastAsiaTheme="majorEastAsia" w:hAnsiTheme="majorHAnsi" w:cstheme="majorBidi"/>
      <w:b/>
      <w:i/>
      <w:iCs/>
      <w:color w:val="554B87"/>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4755A2"/>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BalloonText">
    <w:name w:val="Balloon Text"/>
    <w:basedOn w:val="Normal"/>
    <w:link w:val="BalloonTextChar"/>
    <w:uiPriority w:val="99"/>
    <w:semiHidden/>
    <w:unhideWhenUsed/>
    <w:rsid w:val="009372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7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E3A57EF42484D8B194BCF43214089" ma:contentTypeVersion="0" ma:contentTypeDescription="Create a new document." ma:contentTypeScope="" ma:versionID="3ba73bcc6edb73fc48aac1b8d8582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885E-1907-4D41-998E-B527D5D43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74C95FB-162E-490B-BC7F-536A6DE3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2100</Characters>
  <Application>Microsoft Office Word</Application>
  <DocSecurity>0</DocSecurity>
  <Lines>45</Lines>
  <Paragraphs>34</Paragraphs>
  <ScaleCrop>false</ScaleCrop>
  <HeadingPairs>
    <vt:vector size="2" baseType="variant">
      <vt:variant>
        <vt:lpstr>Title</vt:lpstr>
      </vt:variant>
      <vt:variant>
        <vt:i4>1</vt:i4>
      </vt:variant>
    </vt:vector>
  </HeadingPairs>
  <TitlesOfParts>
    <vt:vector size="1" baseType="lpstr">
      <vt:lpstr>Cultural Funding by Government — 2017–18 — Australian Capital Territory Government</vt:lpstr>
    </vt:vector>
  </TitlesOfParts>
  <Company>Department of Communications and the Arts</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Funding by Government — 2017–18 — Australian Capital Territory Government</dc:title>
  <dc:subject/>
  <dc:creator>Department of Communications and the Arts</dc:creator>
  <cp:keywords/>
  <dc:description>22 November 2018</dc:description>
  <cp:lastModifiedBy>Hall, Theresa</cp:lastModifiedBy>
  <cp:revision>2</cp:revision>
  <dcterms:created xsi:type="dcterms:W3CDTF">2019-07-03T06:22:00Z</dcterms:created>
  <dcterms:modified xsi:type="dcterms:W3CDTF">2019-07-03T06:22:00Z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0x010100025E3A57EF42484D8B194BCF43214089</vt:lpwstr>
  </property>
  <property fmtid="{D5CDD505-2E9C-101B-9397-08002B2CF9AE}" pid="3" name="TrimRevisionNumber">
    <vt:i4>1</vt:i4>
  </property>
</Properties>
</file>