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1394B" w14:textId="74EFD85F" w:rsidR="00CA6891" w:rsidRPr="00B71DB4" w:rsidRDefault="00CA6891" w:rsidP="00CA6891">
      <w:pPr>
        <w:pStyle w:val="Title"/>
        <w:jc w:val="right"/>
        <w:rPr>
          <w:b/>
          <w:caps/>
          <w:color w:val="275C75"/>
          <w:sz w:val="40"/>
        </w:rPr>
      </w:pPr>
      <w:r w:rsidRPr="00B71DB4">
        <w:rPr>
          <w:b/>
          <w:caps/>
          <w:color w:val="275C75"/>
          <w:sz w:val="40"/>
        </w:rPr>
        <w:t>Review of the Protection of Movable Cultural Heritage Act 1986</w:t>
      </w:r>
    </w:p>
    <w:p w14:paraId="4A4AE48D" w14:textId="77777777" w:rsidR="00054F7D" w:rsidRPr="00B71DB4" w:rsidRDefault="00320F93" w:rsidP="00CA6891">
      <w:pPr>
        <w:pStyle w:val="Heading1"/>
        <w:rPr>
          <w:color w:val="275C75"/>
        </w:rPr>
      </w:pPr>
      <w:r w:rsidRPr="00B71DB4">
        <w:rPr>
          <w:color w:val="275C75"/>
        </w:rPr>
        <w:t>Introduction and Background</w:t>
      </w:r>
    </w:p>
    <w:p w14:paraId="4A4AE48E" w14:textId="77777777" w:rsidR="008B5622" w:rsidRDefault="008B5622" w:rsidP="00FD7568">
      <w:r>
        <w:t xml:space="preserve">The </w:t>
      </w:r>
      <w:r w:rsidRPr="00FD7568">
        <w:rPr>
          <w:i/>
        </w:rPr>
        <w:t>Protection of Movable Cultural Heritage Act</w:t>
      </w:r>
      <w:r>
        <w:t xml:space="preserve"> </w:t>
      </w:r>
      <w:r w:rsidRPr="00FD7568">
        <w:rPr>
          <w:i/>
        </w:rPr>
        <w:t>1986</w:t>
      </w:r>
      <w:r>
        <w:t xml:space="preserve"> provides Australia’s regulatory framework for the import and export of significant cultural material. It has allowed Australia to fulfil its obligations under the UNESCO </w:t>
      </w:r>
      <w:r w:rsidRPr="00FD7568">
        <w:rPr>
          <w:i/>
        </w:rPr>
        <w:t>Convention on the Means of Prohibiting and Preventing the Illicit Import, Export and Transfer of Ownership of Cultural Property</w:t>
      </w:r>
      <w:r>
        <w:t xml:space="preserve"> 1970 and seeks to provide protection to both Australian and foreign cultural material. </w:t>
      </w:r>
    </w:p>
    <w:p w14:paraId="5C907FB8" w14:textId="5CA30962" w:rsidR="009F5AB5" w:rsidRDefault="008B5622" w:rsidP="00FD7568">
      <w:pPr>
        <w:rPr>
          <w:szCs w:val="24"/>
        </w:rPr>
      </w:pPr>
      <w:r>
        <w:t>Such legislation must balance the public interest in protecting cultural material with the public and private interests of property ownership and the maintenance of a legitimate trade in such material.</w:t>
      </w:r>
      <w:r w:rsidR="009F5AB5">
        <w:t xml:space="preserve">  </w:t>
      </w:r>
      <w:r>
        <w:t>The Minister for the Arts has appointed Australia’s pre-emine</w:t>
      </w:r>
      <w:r w:rsidR="00CA6891">
        <w:t>nt cultural property lawyer, Mr Shane </w:t>
      </w:r>
      <w:r>
        <w:t xml:space="preserve">Simpson </w:t>
      </w:r>
      <w:r w:rsidRPr="00FD7568">
        <w:rPr>
          <w:sz w:val="20"/>
          <w:szCs w:val="20"/>
        </w:rPr>
        <w:t xml:space="preserve">AM </w:t>
      </w:r>
      <w:r w:rsidRPr="00FD7568">
        <w:rPr>
          <w:szCs w:val="24"/>
        </w:rPr>
        <w:t xml:space="preserve">to conduct this important review and recommend the changes necessary </w:t>
      </w:r>
      <w:r w:rsidR="009F5AB5">
        <w:rPr>
          <w:szCs w:val="24"/>
        </w:rPr>
        <w:t>to</w:t>
      </w:r>
      <w:r w:rsidR="00CA6891">
        <w:rPr>
          <w:szCs w:val="24"/>
        </w:rPr>
        <w:t>:</w:t>
      </w:r>
    </w:p>
    <w:p w14:paraId="33750F2D" w14:textId="19D22697" w:rsidR="009F5AB5" w:rsidRPr="009F5AB5" w:rsidRDefault="008B5622" w:rsidP="007A68B5">
      <w:pPr>
        <w:pStyle w:val="ListParagraph"/>
        <w:numPr>
          <w:ilvl w:val="0"/>
          <w:numId w:val="8"/>
        </w:numPr>
      </w:pPr>
      <w:r w:rsidRPr="009F5AB5">
        <w:rPr>
          <w:szCs w:val="24"/>
        </w:rPr>
        <w:t xml:space="preserve">deliver a balanced, more efficient, and more flexible system </w:t>
      </w:r>
    </w:p>
    <w:p w14:paraId="4A4AE490" w14:textId="2E1F35AA" w:rsidR="008B5622" w:rsidRDefault="008B5622" w:rsidP="007A68B5">
      <w:pPr>
        <w:pStyle w:val="ListParagraph"/>
        <w:numPr>
          <w:ilvl w:val="0"/>
          <w:numId w:val="8"/>
        </w:numPr>
      </w:pPr>
      <w:r w:rsidRPr="009F5AB5">
        <w:rPr>
          <w:szCs w:val="24"/>
        </w:rPr>
        <w:t>permit Australia to fulfil its international role in the protection of movable cultural property.</w:t>
      </w:r>
    </w:p>
    <w:p w14:paraId="4A4AE491" w14:textId="53D96D99" w:rsidR="001468B6" w:rsidRDefault="001468B6" w:rsidP="00CA6891">
      <w:pPr>
        <w:pStyle w:val="Heading2"/>
        <w:rPr>
          <w:color w:val="0076A5"/>
        </w:rPr>
      </w:pPr>
      <w:r w:rsidRPr="00CA6891">
        <w:rPr>
          <w:color w:val="0076A5"/>
        </w:rPr>
        <w:t>Methodology</w:t>
      </w:r>
      <w:r w:rsidR="00A14CDA" w:rsidRPr="00CA6891">
        <w:rPr>
          <w:color w:val="0076A5"/>
        </w:rPr>
        <w:t xml:space="preserve"> </w:t>
      </w:r>
      <w:r w:rsidR="009F5AB5" w:rsidRPr="00CA6891">
        <w:rPr>
          <w:color w:val="0076A5"/>
        </w:rPr>
        <w:t>of the Review</w:t>
      </w:r>
    </w:p>
    <w:p w14:paraId="574E6AD6" w14:textId="04A8DCFD" w:rsidR="00CA6891" w:rsidRPr="00CA6891" w:rsidRDefault="00CA6891" w:rsidP="00CA6891">
      <w:bookmarkStart w:id="0" w:name="Figure1"/>
      <w:r>
        <w:rPr>
          <w:noProof/>
          <w:lang w:eastAsia="en-AU"/>
        </w:rPr>
        <w:drawing>
          <wp:inline distT="0" distB="0" distL="0" distR="0" wp14:anchorId="5D328856" wp14:editId="3155A3E7">
            <wp:extent cx="5731510" cy="1726565"/>
            <wp:effectExtent l="0" t="0" r="2540" b="6985"/>
            <wp:docPr id="1" name="Picture 1" descr="Stage 1 is research and development of model for modernising the protection of cultural heritage material. Stage 2 is targeted consultation inviting input from acknowledged experts; broader consultation, including travel to states and territories, and; undertaking a national survey to ensure wider input regarding the proposed model. Stage 3 is finalisation of the model and report to government" title="Methodology of the revie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1726565"/>
                    </a:xfrm>
                    <a:prstGeom prst="rect">
                      <a:avLst/>
                    </a:prstGeom>
                  </pic:spPr>
                </pic:pic>
              </a:graphicData>
            </a:graphic>
          </wp:inline>
        </w:drawing>
      </w:r>
      <w:bookmarkEnd w:id="0"/>
    </w:p>
    <w:p w14:paraId="194E62BD" w14:textId="197D09E6" w:rsidR="00862925" w:rsidRDefault="00862925" w:rsidP="001468B6">
      <w:r>
        <w:t xml:space="preserve">The </w:t>
      </w:r>
      <w:r w:rsidR="00CA6891">
        <w:t>r</w:t>
      </w:r>
      <w:r>
        <w:t xml:space="preserve">eview is currently in Stage 2. </w:t>
      </w:r>
      <w:r w:rsidR="00D11DC6">
        <w:t>A</w:t>
      </w:r>
      <w:r>
        <w:t xml:space="preserve"> </w:t>
      </w:r>
      <w:r w:rsidR="007A68B5">
        <w:t>P</w:t>
      </w:r>
      <w:r>
        <w:t xml:space="preserve">osition </w:t>
      </w:r>
      <w:r w:rsidR="007A68B5">
        <w:t>P</w:t>
      </w:r>
      <w:r>
        <w:t xml:space="preserve">aper </w:t>
      </w:r>
      <w:r w:rsidR="00D11DC6">
        <w:t xml:space="preserve">has been developed </w:t>
      </w:r>
      <w:r w:rsidR="00045D16">
        <w:t>that</w:t>
      </w:r>
      <w:r w:rsidR="00D11DC6">
        <w:t xml:space="preserve"> describe</w:t>
      </w:r>
      <w:r w:rsidR="00045D16">
        <w:t>s</w:t>
      </w:r>
      <w:r w:rsidR="00D11DC6">
        <w:t xml:space="preserve"> </w:t>
      </w:r>
      <w:r w:rsidR="007A68B5">
        <w:t>a</w:t>
      </w:r>
      <w:r>
        <w:t xml:space="preserve"> new model for the protection of cultural heritage. This </w:t>
      </w:r>
      <w:r w:rsidR="007A68B5">
        <w:t xml:space="preserve">summary </w:t>
      </w:r>
      <w:r w:rsidR="00F75ABB">
        <w:t>document provides a</w:t>
      </w:r>
      <w:r w:rsidR="007A68B5">
        <w:t xml:space="preserve">n overview </w:t>
      </w:r>
      <w:r>
        <w:t>of th</w:t>
      </w:r>
      <w:r w:rsidR="00045D16">
        <w:t>at</w:t>
      </w:r>
      <w:r>
        <w:t xml:space="preserve"> Position Paper and the proposed changes.</w:t>
      </w:r>
    </w:p>
    <w:p w14:paraId="4A4AE496" w14:textId="6F2EAD9F" w:rsidR="001468B6" w:rsidRPr="00B71DB4" w:rsidRDefault="001468B6" w:rsidP="00CA6891">
      <w:pPr>
        <w:pStyle w:val="Heading2"/>
        <w:rPr>
          <w:color w:val="0076A5"/>
        </w:rPr>
      </w:pPr>
      <w:r w:rsidRPr="00B71DB4">
        <w:rPr>
          <w:color w:val="0076A5"/>
        </w:rPr>
        <w:t>Invitation to comment</w:t>
      </w:r>
      <w:r w:rsidR="00421AB9" w:rsidRPr="00B71DB4">
        <w:rPr>
          <w:color w:val="0076A5"/>
        </w:rPr>
        <w:t xml:space="preserve"> from Mr Shane Simpson </w:t>
      </w:r>
      <w:r w:rsidR="00421AB9" w:rsidRPr="00B71DB4">
        <w:rPr>
          <w:color w:val="0076A5"/>
          <w:sz w:val="18"/>
          <w:szCs w:val="18"/>
        </w:rPr>
        <w:t>AM</w:t>
      </w:r>
    </w:p>
    <w:p w14:paraId="4A4AE497" w14:textId="7F0FDFC8" w:rsidR="005B36AF" w:rsidRPr="00CA6891" w:rsidRDefault="005B36AF" w:rsidP="005B36AF">
      <w:r w:rsidRPr="00CA6891">
        <w:t xml:space="preserve">In </w:t>
      </w:r>
      <w:r w:rsidR="00834BA7" w:rsidRPr="00CA6891">
        <w:t>my</w:t>
      </w:r>
      <w:r w:rsidRPr="00CA6891">
        <w:t xml:space="preserve"> </w:t>
      </w:r>
      <w:r w:rsidR="007A68B5" w:rsidRPr="00CA6891">
        <w:t>P</w:t>
      </w:r>
      <w:r w:rsidRPr="00CA6891">
        <w:t>osition</w:t>
      </w:r>
      <w:r w:rsidR="00AA0B4A" w:rsidRPr="00CA6891">
        <w:t xml:space="preserve"> </w:t>
      </w:r>
      <w:r w:rsidR="007A68B5" w:rsidRPr="00CA6891">
        <w:t>P</w:t>
      </w:r>
      <w:r w:rsidR="00AA0B4A" w:rsidRPr="00CA6891">
        <w:t>aper I set out in some detail</w:t>
      </w:r>
      <w:r w:rsidRPr="00CA6891">
        <w:t xml:space="preserve"> my view as to the numerous issues that need attention </w:t>
      </w:r>
      <w:r w:rsidR="00834BA7" w:rsidRPr="00CA6891">
        <w:t xml:space="preserve">with regard to the Act </w:t>
      </w:r>
      <w:r w:rsidRPr="00CA6891">
        <w:t xml:space="preserve">and how they might be best resolved. </w:t>
      </w:r>
      <w:r w:rsidR="00234729" w:rsidRPr="00CA6891">
        <w:t>I have taken the</w:t>
      </w:r>
      <w:r w:rsidR="00AA0B4A" w:rsidRPr="00CA6891">
        <w:t>, perhaps unusual,</w:t>
      </w:r>
      <w:r w:rsidR="00234729" w:rsidRPr="00CA6891">
        <w:t xml:space="preserve"> approach of proposing preferred models for change</w:t>
      </w:r>
      <w:r w:rsidRPr="00CA6891">
        <w:t xml:space="preserve"> because I believe that </w:t>
      </w:r>
      <w:r w:rsidR="00234729" w:rsidRPr="00CA6891">
        <w:t xml:space="preserve">this will promote more focussed and incisive </w:t>
      </w:r>
      <w:r w:rsidRPr="00CA6891">
        <w:t xml:space="preserve">comment </w:t>
      </w:r>
      <w:r w:rsidR="00234729" w:rsidRPr="00CA6891">
        <w:t>from the sector.</w:t>
      </w:r>
      <w:r w:rsidR="00167CD4" w:rsidRPr="00CA6891">
        <w:t xml:space="preserve"> </w:t>
      </w:r>
    </w:p>
    <w:p w14:paraId="4A4AE498" w14:textId="359CEF57" w:rsidR="001468B6" w:rsidRPr="00CA6891" w:rsidRDefault="00862925" w:rsidP="005B36AF">
      <w:r w:rsidRPr="00CA6891">
        <w:t xml:space="preserve">I look forward to considering your comments once you have had a chance to consider the proposals </w:t>
      </w:r>
      <w:r w:rsidR="00D11DC6" w:rsidRPr="00CA6891">
        <w:t>described</w:t>
      </w:r>
      <w:r w:rsidRPr="00CA6891">
        <w:t xml:space="preserve"> in the </w:t>
      </w:r>
      <w:r w:rsidR="007A68B5" w:rsidRPr="00CA6891">
        <w:t>P</w:t>
      </w:r>
      <w:r w:rsidRPr="00CA6891">
        <w:t xml:space="preserve">osition </w:t>
      </w:r>
      <w:r w:rsidR="007A68B5" w:rsidRPr="00CA6891">
        <w:t>P</w:t>
      </w:r>
      <w:r w:rsidRPr="00CA6891">
        <w:t xml:space="preserve">aper. </w:t>
      </w:r>
      <w:r w:rsidR="005B36AF" w:rsidRPr="00CA6891">
        <w:t xml:space="preserve">If you support an approach, tell me. If it won’t work, tell me why and how the issue can be better resolved. Similarly, if I’ve missed an issue, tell me what it is and what </w:t>
      </w:r>
      <w:r w:rsidR="00D11DC6" w:rsidRPr="00CA6891">
        <w:t xml:space="preserve">you think </w:t>
      </w:r>
      <w:r w:rsidR="005B36AF" w:rsidRPr="00CA6891">
        <w:t>should be done. I</w:t>
      </w:r>
      <w:r w:rsidR="00834BA7" w:rsidRPr="00CA6891">
        <w:t xml:space="preserve"> do not promise that the final r</w:t>
      </w:r>
      <w:r w:rsidR="005B36AF" w:rsidRPr="00CA6891">
        <w:t>eport will reflect your view but I can assure you that it will have been properly considered.</w:t>
      </w:r>
      <w:r w:rsidRPr="00CA6891">
        <w:t xml:space="preserve"> </w:t>
      </w:r>
    </w:p>
    <w:p w14:paraId="4A4AE499" w14:textId="77777777" w:rsidR="001468B6" w:rsidRPr="00B71DB4" w:rsidRDefault="001468B6" w:rsidP="00CA6891">
      <w:pPr>
        <w:pStyle w:val="Heading2"/>
        <w:rPr>
          <w:color w:val="0076A5"/>
        </w:rPr>
      </w:pPr>
      <w:r w:rsidRPr="00B71DB4">
        <w:rPr>
          <w:color w:val="0076A5"/>
        </w:rPr>
        <w:lastRenderedPageBreak/>
        <w:t>How to provide feedback and comment</w:t>
      </w:r>
    </w:p>
    <w:p w14:paraId="16F1DD00" w14:textId="02436C38" w:rsidR="00B71DB4" w:rsidRPr="00CA6891" w:rsidRDefault="001468B6" w:rsidP="001468B6">
      <w:r>
        <w:t>Feedback can be provided through our online survey</w:t>
      </w:r>
      <w:r w:rsidR="00862925">
        <w:t xml:space="preserve"> or during the consultation process. The survey will be available on the Review’s </w:t>
      </w:r>
      <w:hyperlink r:id="rId8" w:history="1">
        <w:r w:rsidR="00862925" w:rsidRPr="00AA7FFE">
          <w:rPr>
            <w:rStyle w:val="Hyperlink"/>
          </w:rPr>
          <w:t>website</w:t>
        </w:r>
      </w:hyperlink>
      <w:r w:rsidR="00045D16">
        <w:t>.</w:t>
      </w:r>
    </w:p>
    <w:p w14:paraId="4A4AE49D" w14:textId="24DE014B" w:rsidR="000B650D" w:rsidRPr="00B71DB4" w:rsidRDefault="00CA6891" w:rsidP="00B71DB4">
      <w:pPr>
        <w:pStyle w:val="Heading1"/>
        <w:rPr>
          <w:color w:val="275C75"/>
        </w:rPr>
      </w:pPr>
      <w:r w:rsidRPr="00B71DB4">
        <w:rPr>
          <w:color w:val="275C75"/>
        </w:rPr>
        <w:t>Modernising</w:t>
      </w:r>
      <w:r w:rsidR="00862925" w:rsidRPr="00B71DB4">
        <w:rPr>
          <w:color w:val="275C75"/>
        </w:rPr>
        <w:t xml:space="preserve"> </w:t>
      </w:r>
      <w:r w:rsidR="000B650D" w:rsidRPr="00B71DB4">
        <w:rPr>
          <w:color w:val="275C75"/>
        </w:rPr>
        <w:t>the pr</w:t>
      </w:r>
      <w:r w:rsidR="00B30CF0" w:rsidRPr="00B71DB4">
        <w:rPr>
          <w:color w:val="275C75"/>
        </w:rPr>
        <w:t xml:space="preserve">ocess for export </w:t>
      </w:r>
      <w:r w:rsidR="00B576D0" w:rsidRPr="00B71DB4">
        <w:rPr>
          <w:color w:val="275C75"/>
        </w:rPr>
        <w:t xml:space="preserve">control </w:t>
      </w:r>
      <w:r w:rsidR="00B30CF0" w:rsidRPr="00B71DB4">
        <w:rPr>
          <w:color w:val="275C75"/>
        </w:rPr>
        <w:t>of Australian cultural m</w:t>
      </w:r>
      <w:r w:rsidR="008B5622" w:rsidRPr="00B71DB4">
        <w:rPr>
          <w:color w:val="275C75"/>
        </w:rPr>
        <w:t>aterial</w:t>
      </w:r>
    </w:p>
    <w:p w14:paraId="4A4AE49E" w14:textId="20D0AF50" w:rsidR="000B650D" w:rsidRPr="00CA6891" w:rsidRDefault="00B30CF0" w:rsidP="00B52293">
      <w:r w:rsidRPr="00CA6891">
        <w:t>A</w:t>
      </w:r>
      <w:r w:rsidR="000B650D" w:rsidRPr="00CA6891">
        <w:t xml:space="preserve"> new classification model for cultur</w:t>
      </w:r>
      <w:r w:rsidR="008B5622" w:rsidRPr="00CA6891">
        <w:t>al material</w:t>
      </w:r>
    </w:p>
    <w:p w14:paraId="4A4AE49F" w14:textId="07C682F3" w:rsidR="00F24EA6" w:rsidRDefault="00F24EA6" w:rsidP="008B5622">
      <w:r>
        <w:t>The new model provides clearer definitions of the cultural material protected by the Act</w:t>
      </w:r>
      <w:r w:rsidR="00FE11E9">
        <w:t>,</w:t>
      </w:r>
      <w:r>
        <w:t xml:space="preserve"> and reconfigures the National Cultural Heritage Control List to provide objective standards to define objects regulated by the Act. </w:t>
      </w:r>
    </w:p>
    <w:p w14:paraId="4A4AE4A0" w14:textId="659A5461" w:rsidR="00F24EA6" w:rsidRDefault="00F24EA6" w:rsidP="008B5622">
      <w:r>
        <w:t xml:space="preserve">It also establishes a new system of categorising cultural material as defined below. </w:t>
      </w:r>
    </w:p>
    <w:p w14:paraId="73E46732" w14:textId="7A5F6ED1" w:rsidR="00CA6891" w:rsidRDefault="00CA6891" w:rsidP="008B5622"/>
    <w:p w14:paraId="57DC408C" w14:textId="3D77723E" w:rsidR="00BE5CFE" w:rsidRDefault="00BE5CFE" w:rsidP="001C3159">
      <w:pPr>
        <w:rPr>
          <w:color w:val="0076A5"/>
        </w:rPr>
      </w:pPr>
      <w:r>
        <w:rPr>
          <w:noProof/>
          <w:lang w:eastAsia="en-AU"/>
        </w:rPr>
        <w:drawing>
          <wp:inline distT="0" distB="0" distL="0" distR="0" wp14:anchorId="3CED88E7" wp14:editId="04544182">
            <wp:extent cx="5731510" cy="2630295"/>
            <wp:effectExtent l="0" t="0" r="2540" b="0"/>
            <wp:docPr id="6" name="Picture 6" descr="An Australian Heritage Object (AHO) is cultural property that exceeds the relevant age and value thresholds as set out in the updated Control List. For an Australian Heritage Object an application for permit and an assessment is required.&#10;An Australian Protected Object (APO) is an AHO that has been determined to be significant to Australia or a part of Australia, according to the new significance criteria. For an APO a permit is required and an export may be temporary or permanent.&#10;A Declared Australian Protected Object (DAPO) receives the highest level of protection, and is an: APO that is assessed to be of such significance and is not adequately represented in Australian public collections and has therefore been denied permanent export or an object that has been declared on the DAPO list. For a DAPO permanent export is prohibited and temporary export is permitted in exceptional circumstances with conditions.&#10;" title="A system of categor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re\AppData\Local\Microsoft\Windows\Temporary Internet Files\Content.Word\Final - AHO APO DAP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630295"/>
                    </a:xfrm>
                    <a:prstGeom prst="rect">
                      <a:avLst/>
                    </a:prstGeom>
                    <a:noFill/>
                    <a:ln>
                      <a:noFill/>
                    </a:ln>
                  </pic:spPr>
                </pic:pic>
              </a:graphicData>
            </a:graphic>
          </wp:inline>
        </w:drawing>
      </w:r>
    </w:p>
    <w:p w14:paraId="4A4AE4A2" w14:textId="77777777" w:rsidR="00B576D0" w:rsidRPr="00CA6891" w:rsidRDefault="00B576D0" w:rsidP="00CA6891">
      <w:pPr>
        <w:pStyle w:val="Heading2"/>
        <w:rPr>
          <w:color w:val="0076A5"/>
        </w:rPr>
      </w:pPr>
      <w:r w:rsidRPr="00CA6891">
        <w:rPr>
          <w:color w:val="0076A5"/>
        </w:rPr>
        <w:t>Improvements to the export permit process</w:t>
      </w:r>
    </w:p>
    <w:p w14:paraId="240ADEB5" w14:textId="77777777" w:rsidR="00CA6891" w:rsidRDefault="00F27AC5" w:rsidP="00CA6891">
      <w:r>
        <w:t xml:space="preserve">There are a number of key </w:t>
      </w:r>
      <w:r w:rsidR="001805E5">
        <w:t xml:space="preserve">improvements </w:t>
      </w:r>
      <w:r>
        <w:t>to the features of the export process for cultural heritage material. These include</w:t>
      </w:r>
      <w:r w:rsidR="00BC5438">
        <w:t>:</w:t>
      </w:r>
    </w:p>
    <w:p w14:paraId="2C0C557E" w14:textId="77777777" w:rsidR="00CA6891" w:rsidRDefault="00CA6891" w:rsidP="00CA6891">
      <w:pPr>
        <w:pStyle w:val="ListParagraph"/>
        <w:numPr>
          <w:ilvl w:val="0"/>
          <w:numId w:val="9"/>
        </w:numPr>
      </w:pPr>
      <w:r>
        <w:t>I</w:t>
      </w:r>
      <w:r w:rsidR="00B576D0" w:rsidRPr="00233707">
        <w:t>mproved clarity for exporters</w:t>
      </w:r>
      <w:r w:rsidR="00DD4DE5" w:rsidRPr="00233707">
        <w:t xml:space="preserve"> through the </w:t>
      </w:r>
      <w:r w:rsidR="001805E5">
        <w:t>u</w:t>
      </w:r>
      <w:r w:rsidR="00DD4DE5" w:rsidRPr="00233707">
        <w:t>se of objective criteria for determining whether a permit application is necessary</w:t>
      </w:r>
      <w:r>
        <w:t>.</w:t>
      </w:r>
    </w:p>
    <w:p w14:paraId="35676CEC" w14:textId="77777777" w:rsidR="00CA6891" w:rsidRDefault="00CA6891" w:rsidP="00CA6891">
      <w:pPr>
        <w:pStyle w:val="ListParagraph"/>
        <w:numPr>
          <w:ilvl w:val="0"/>
          <w:numId w:val="9"/>
        </w:numPr>
      </w:pPr>
      <w:r>
        <w:t>N</w:t>
      </w:r>
      <w:r w:rsidR="00DD4DE5" w:rsidRPr="00233707">
        <w:t>ew, transparent, flexible a</w:t>
      </w:r>
      <w:r>
        <w:t>nd shortened decision processes.</w:t>
      </w:r>
    </w:p>
    <w:p w14:paraId="42AE263B" w14:textId="77777777" w:rsidR="00CA6891" w:rsidRDefault="00CA6891" w:rsidP="00CA6891">
      <w:pPr>
        <w:pStyle w:val="ListParagraph"/>
        <w:numPr>
          <w:ilvl w:val="0"/>
          <w:numId w:val="9"/>
        </w:numPr>
      </w:pPr>
      <w:r>
        <w:t>I</w:t>
      </w:r>
      <w:r w:rsidR="00DD4DE5" w:rsidRPr="00233707">
        <w:t>mproved use of external experts for the assessment of permit applications and the provision of advice</w:t>
      </w:r>
      <w:r>
        <w:t>.</w:t>
      </w:r>
    </w:p>
    <w:p w14:paraId="2E7DC08E" w14:textId="77777777" w:rsidR="00CA6891" w:rsidRDefault="00CA6891" w:rsidP="00CA6891">
      <w:pPr>
        <w:pStyle w:val="ListParagraph"/>
        <w:numPr>
          <w:ilvl w:val="0"/>
          <w:numId w:val="9"/>
        </w:numPr>
      </w:pPr>
      <w:r>
        <w:t>M</w:t>
      </w:r>
      <w:r w:rsidR="00DD4DE5" w:rsidRPr="00233707">
        <w:t>odernisation of enforcement powers and procedures</w:t>
      </w:r>
      <w:r>
        <w:t>.</w:t>
      </w:r>
    </w:p>
    <w:p w14:paraId="2060A8D1" w14:textId="77777777" w:rsidR="00CA6891" w:rsidRDefault="00CA6891" w:rsidP="00CA6891">
      <w:pPr>
        <w:pStyle w:val="ListParagraph"/>
        <w:numPr>
          <w:ilvl w:val="0"/>
          <w:numId w:val="9"/>
        </w:numPr>
      </w:pPr>
      <w:r>
        <w:t>B</w:t>
      </w:r>
      <w:r w:rsidR="00DD4DE5" w:rsidRPr="00233707">
        <w:t>etter articulated purpose and priorities of the National Cultural Heritage Account</w:t>
      </w:r>
      <w:r>
        <w:t>.</w:t>
      </w:r>
    </w:p>
    <w:p w14:paraId="4A4AE4A9" w14:textId="3739211C" w:rsidR="00DD4DE5" w:rsidRPr="00233707" w:rsidRDefault="00CA6891" w:rsidP="00CA6891">
      <w:pPr>
        <w:pStyle w:val="ListParagraph"/>
        <w:numPr>
          <w:ilvl w:val="0"/>
          <w:numId w:val="9"/>
        </w:numPr>
      </w:pPr>
      <w:r>
        <w:t>S</w:t>
      </w:r>
      <w:r w:rsidR="00DD4DE5" w:rsidRPr="00233707">
        <w:t xml:space="preserve">implification of the process for temporary export permits, including broadening eligibility for General Permits. </w:t>
      </w:r>
    </w:p>
    <w:p w14:paraId="01E9F2D6" w14:textId="77777777" w:rsidR="00B71DB4" w:rsidRDefault="00B71DB4">
      <w:pPr>
        <w:rPr>
          <w:rFonts w:asciiTheme="majorHAnsi" w:eastAsiaTheme="majorEastAsia" w:hAnsiTheme="majorHAnsi" w:cstheme="majorBidi"/>
          <w:b/>
          <w:bCs/>
          <w:color w:val="0076A5"/>
          <w:sz w:val="26"/>
          <w:szCs w:val="26"/>
        </w:rPr>
      </w:pPr>
      <w:r>
        <w:rPr>
          <w:color w:val="0076A5"/>
        </w:rPr>
        <w:br w:type="page"/>
      </w:r>
    </w:p>
    <w:p w14:paraId="4A4AE4AA" w14:textId="400E5BF1" w:rsidR="00B52293" w:rsidRPr="00B71DB4" w:rsidRDefault="00B52293" w:rsidP="00B71DB4">
      <w:pPr>
        <w:pStyle w:val="Heading2"/>
        <w:rPr>
          <w:color w:val="0076A5"/>
        </w:rPr>
      </w:pPr>
      <w:r w:rsidRPr="00B71DB4">
        <w:rPr>
          <w:color w:val="0076A5"/>
        </w:rPr>
        <w:lastRenderedPageBreak/>
        <w:t xml:space="preserve">Significance and Representation </w:t>
      </w:r>
    </w:p>
    <w:p w14:paraId="38E694E2" w14:textId="77777777" w:rsidR="00B71DB4" w:rsidRDefault="001805E5" w:rsidP="00B71DB4">
      <w:r>
        <w:t xml:space="preserve">The significance and representation </w:t>
      </w:r>
      <w:r w:rsidR="00DB5CDF">
        <w:t>of an object</w:t>
      </w:r>
      <w:r>
        <w:t xml:space="preserve"> is an important part of </w:t>
      </w:r>
      <w:r w:rsidR="00DB5CDF">
        <w:t>determining</w:t>
      </w:r>
      <w:r>
        <w:t xml:space="preserve"> whether it can be exported. </w:t>
      </w:r>
    </w:p>
    <w:p w14:paraId="09F1CFF8" w14:textId="00EA7042" w:rsidR="00B71DB4" w:rsidRDefault="001805E5" w:rsidP="00B71DB4">
      <w:r>
        <w:t xml:space="preserve">There are a number of </w:t>
      </w:r>
      <w:r w:rsidR="00BC5438">
        <w:t xml:space="preserve">proposed changes to significance and representation </w:t>
      </w:r>
      <w:r w:rsidR="00045D16">
        <w:t xml:space="preserve">that </w:t>
      </w:r>
      <w:r>
        <w:t>include</w:t>
      </w:r>
      <w:r w:rsidR="00BC5438">
        <w:t>:</w:t>
      </w:r>
    </w:p>
    <w:p w14:paraId="55B14134" w14:textId="77777777" w:rsidR="00B71DB4" w:rsidRDefault="001805E5" w:rsidP="00B71DB4">
      <w:pPr>
        <w:pStyle w:val="ListParagraph"/>
        <w:numPr>
          <w:ilvl w:val="0"/>
          <w:numId w:val="10"/>
        </w:numPr>
      </w:pPr>
      <w:r>
        <w:t>a</w:t>
      </w:r>
      <w:r w:rsidR="00194C8E">
        <w:t xml:space="preserve"> positive test for the determination of the significance level require</w:t>
      </w:r>
      <w:r w:rsidR="00E51868">
        <w:t>d</w:t>
      </w:r>
      <w:r w:rsidR="00194C8E">
        <w:t xml:space="preserve"> to deny the export of an object</w:t>
      </w:r>
    </w:p>
    <w:p w14:paraId="74E8896E" w14:textId="77777777" w:rsidR="00B71DB4" w:rsidRDefault="001805E5" w:rsidP="00B71DB4">
      <w:pPr>
        <w:pStyle w:val="ListParagraph"/>
        <w:numPr>
          <w:ilvl w:val="0"/>
          <w:numId w:val="10"/>
        </w:numPr>
      </w:pPr>
      <w:r>
        <w:t>clarification and articulation of the c</w:t>
      </w:r>
      <w:r w:rsidR="00194C8E">
        <w:t>riteria</w:t>
      </w:r>
      <w:r w:rsidR="009C4C80">
        <w:t xml:space="preserve"> for significance and re</w:t>
      </w:r>
      <w:r w:rsidR="00194C8E">
        <w:t>presentation assessment</w:t>
      </w:r>
    </w:p>
    <w:p w14:paraId="4A4AE4AF" w14:textId="17ED39D3" w:rsidR="00BC5438" w:rsidRPr="00DD2F6D" w:rsidRDefault="001805E5" w:rsidP="00B71DB4">
      <w:pPr>
        <w:pStyle w:val="ListParagraph"/>
        <w:numPr>
          <w:ilvl w:val="0"/>
          <w:numId w:val="10"/>
        </w:numPr>
      </w:pPr>
      <w:r>
        <w:t>r</w:t>
      </w:r>
      <w:r w:rsidR="00194C8E">
        <w:t xml:space="preserve">ecognition of significance assessments undertaken by state and territory agencies. </w:t>
      </w:r>
    </w:p>
    <w:p w14:paraId="3B730610" w14:textId="019D0F71" w:rsidR="0097338C" w:rsidRDefault="00B71DB4">
      <w:pPr>
        <w:rPr>
          <w:u w:val="single"/>
        </w:rPr>
      </w:pPr>
      <w:bookmarkStart w:id="1" w:name="Figure3"/>
      <w:r>
        <w:rPr>
          <w:noProof/>
          <w:u w:val="single"/>
          <w:lang w:eastAsia="en-AU"/>
        </w:rPr>
        <w:drawing>
          <wp:inline distT="0" distB="0" distL="0" distR="0" wp14:anchorId="01660772" wp14:editId="589CCE30">
            <wp:extent cx="5731510" cy="3216910"/>
            <wp:effectExtent l="0" t="0" r="2540" b="2540"/>
            <wp:docPr id="3" name="Picture 3" descr="For a significance assessment the primary criteria and comparative analysis criteria need to be considered in order to ascertain the level of significance of an object.&#10;A representation assessment requires an assessment of the level of representation of objects of equivalent characteristics and quality in Australian public collections.&#10;A decision on export will be informed by the significance assessment and the representation assessment and will be made on the basis of whether the retention of the object is important to the cultural heritage of Australia.&#10;" title="Significance and representation summar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16910"/>
                    </a:xfrm>
                    <a:prstGeom prst="rect">
                      <a:avLst/>
                    </a:prstGeom>
                  </pic:spPr>
                </pic:pic>
              </a:graphicData>
            </a:graphic>
          </wp:inline>
        </w:drawing>
      </w:r>
      <w:bookmarkEnd w:id="1"/>
      <w:r w:rsidR="0097338C">
        <w:rPr>
          <w:u w:val="single"/>
        </w:rPr>
        <w:br w:type="page"/>
      </w:r>
    </w:p>
    <w:p w14:paraId="44D676CF" w14:textId="77777777" w:rsidR="00B71DB4" w:rsidRDefault="001805E5" w:rsidP="00B71DB4">
      <w:pPr>
        <w:pStyle w:val="Heading2"/>
        <w:rPr>
          <w:color w:val="0076A5"/>
        </w:rPr>
      </w:pPr>
      <w:r w:rsidRPr="00B71DB4">
        <w:rPr>
          <w:color w:val="0076A5"/>
        </w:rPr>
        <w:lastRenderedPageBreak/>
        <w:t>Proposed e</w:t>
      </w:r>
      <w:r w:rsidR="00B52293" w:rsidRPr="00B71DB4">
        <w:rPr>
          <w:color w:val="0076A5"/>
        </w:rPr>
        <w:t>xport</w:t>
      </w:r>
      <w:r w:rsidR="00D50C76" w:rsidRPr="00B71DB4">
        <w:rPr>
          <w:color w:val="0076A5"/>
        </w:rPr>
        <w:t xml:space="preserve"> permit process</w:t>
      </w:r>
    </w:p>
    <w:p w14:paraId="5A003C3B" w14:textId="5BAD2889" w:rsidR="00B71DB4" w:rsidRPr="00B71DB4" w:rsidRDefault="00B71DB4" w:rsidP="001C3159">
      <w:pPr>
        <w:rPr>
          <w:color w:val="0076A5"/>
        </w:rPr>
      </w:pPr>
      <w:bookmarkStart w:id="2" w:name="Figure4"/>
      <w:r>
        <w:rPr>
          <w:noProof/>
          <w:lang w:eastAsia="en-AU"/>
        </w:rPr>
        <w:drawing>
          <wp:inline distT="0" distB="0" distL="0" distR="0" wp14:anchorId="1CF8F3E0" wp14:editId="7A7326C8">
            <wp:extent cx="5731510" cy="7741285"/>
            <wp:effectExtent l="0" t="0" r="2540" b="0"/>
            <wp:docPr id="4" name="Picture 4" descr="The owner/agent needs to determine whether the object is an Australian Heritage Object (AHO) through applying the new primary thresholds in the National Cultural Heritage Control List. Changes to the Control List include new thresholds for age and value, refined and coherent categories, removal of significance and representation from definitions and the minister will have the discretion to override age and value thresholds. &#10;If the object is not an AHO the owner may request a letter of clearance stating that no export permit is required. If the object is an AHO the applicant will then consider if the object is a Declared Australian Protected Object (DAPO), through checking the DAPO list, which contains all objects denied permanent export. If the object is a DAPO permanent export is prohibited unless an exception applies.&#10;If the object is not a DAPO the owner/agent should check if the object is covered by a General Permit. Under the new model eligibility will be extended to other trusted organisations. If the owner/agent has a relevant general permit, temporary export is permitted and the owner/agent will be required to report the export to the department.&#10;If the object is not covered by a General permit then the owner/agent will need to apply to the department for temporary or permanent export permit. This application will need to include detail on its current owner, the object and its provenance.&#10;The department will then carry out its preliminary assessment. The department will be empowered to issue temporary export permits for periods of less than six months without the need for a significance assessment, unless: it is uncertain whether the object is a DAPO, or there are concerns about the potential non-return of the object. &#10;In clear cases the department may deny the export permit or issue an export permit, which may be subject to conditions.&#10;If unclear the department will refer the application to two Expert Cultural Significance Assessors. The Expert’s role is to describe the significance of the object and provide information regarding representation. It is no longer the expert’s role to make recommendations as to export permission. If the assessors are unanimous in their significance assessment and the department is unconcerned with this assessment the department makes their decision on the application. If the assessors are not unanimous or if they are unanimous and the department is concerned with the assessment, the department will then seek further advice from the panel. The function of the panel is to provide flexible access to appropriate expertise and will be made up of experts from the Register of Cultural Property Experts. The department will consider the panel’s advice and make its decision.&#10;" title="Proposed export proce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7741285"/>
                    </a:xfrm>
                    <a:prstGeom prst="rect">
                      <a:avLst/>
                    </a:prstGeom>
                  </pic:spPr>
                </pic:pic>
              </a:graphicData>
            </a:graphic>
          </wp:inline>
        </w:drawing>
      </w:r>
      <w:bookmarkEnd w:id="2"/>
      <w:r>
        <w:br w:type="page"/>
      </w:r>
    </w:p>
    <w:p w14:paraId="4A4AE4B8" w14:textId="76168BDB" w:rsidR="00C26539" w:rsidRPr="00B71DB4" w:rsidRDefault="00C26539" w:rsidP="00B71DB4">
      <w:pPr>
        <w:pStyle w:val="Heading1"/>
        <w:rPr>
          <w:color w:val="275C75"/>
        </w:rPr>
      </w:pPr>
      <w:r w:rsidRPr="00B71DB4">
        <w:rPr>
          <w:color w:val="275C75"/>
        </w:rPr>
        <w:lastRenderedPageBreak/>
        <w:t>Enhancing the protection of foreign cultural material</w:t>
      </w:r>
    </w:p>
    <w:p w14:paraId="462B0725" w14:textId="77777777" w:rsidR="00B71DB4" w:rsidRDefault="001805E5" w:rsidP="00B71DB4">
      <w:r>
        <w:t xml:space="preserve">A new model is </w:t>
      </w:r>
      <w:r w:rsidR="000B69BB">
        <w:t xml:space="preserve">proposed </w:t>
      </w:r>
      <w:r w:rsidR="00DB5CDF">
        <w:t xml:space="preserve">for the </w:t>
      </w:r>
      <w:r>
        <w:t>protecti</w:t>
      </w:r>
      <w:r w:rsidR="00DB5CDF">
        <w:t>on</w:t>
      </w:r>
      <w:r>
        <w:t xml:space="preserve"> </w:t>
      </w:r>
      <w:r w:rsidR="000B69BB">
        <w:t xml:space="preserve">of </w:t>
      </w:r>
      <w:r>
        <w:t>foreign cultural material. This is illustrated below. The changes will</w:t>
      </w:r>
      <w:r w:rsidR="00480670">
        <w:t xml:space="preserve"> </w:t>
      </w:r>
      <w:r w:rsidR="00E51868">
        <w:t xml:space="preserve">increase </w:t>
      </w:r>
      <w:r w:rsidR="00F269D1">
        <w:t xml:space="preserve">the </w:t>
      </w:r>
      <w:r w:rsidR="00E51868">
        <w:t xml:space="preserve">effectiveness and </w:t>
      </w:r>
      <w:r w:rsidR="00F269D1">
        <w:t xml:space="preserve">transparency of </w:t>
      </w:r>
      <w:r>
        <w:t xml:space="preserve">the </w:t>
      </w:r>
      <w:r w:rsidR="00F269D1">
        <w:t>processes</w:t>
      </w:r>
      <w:r w:rsidR="00C26539">
        <w:t xml:space="preserve"> to recover and return foreign cultural material</w:t>
      </w:r>
      <w:r w:rsidR="00BB5E94">
        <w:t xml:space="preserve">. The </w:t>
      </w:r>
      <w:r>
        <w:t xml:space="preserve">suggested changes </w:t>
      </w:r>
      <w:r w:rsidR="00BB5E94">
        <w:t>include</w:t>
      </w:r>
      <w:r w:rsidR="006A5B85">
        <w:t>:</w:t>
      </w:r>
    </w:p>
    <w:p w14:paraId="4220F221" w14:textId="77777777" w:rsidR="00B71DB4" w:rsidRDefault="001805E5" w:rsidP="00B71DB4">
      <w:pPr>
        <w:pStyle w:val="ListParagraph"/>
        <w:numPr>
          <w:ilvl w:val="0"/>
          <w:numId w:val="11"/>
        </w:numPr>
      </w:pPr>
      <w:r>
        <w:t>p</w:t>
      </w:r>
      <w:r w:rsidR="00F269D1" w:rsidRPr="005764C6">
        <w:t>ro</w:t>
      </w:r>
      <w:r w:rsidR="00691B1E">
        <w:t>vis</w:t>
      </w:r>
      <w:r w:rsidR="005764C6" w:rsidRPr="005764C6">
        <w:t>ions</w:t>
      </w:r>
      <w:r w:rsidR="00F269D1" w:rsidRPr="005764C6">
        <w:t xml:space="preserve"> to </w:t>
      </w:r>
      <w:r w:rsidR="00167CD4">
        <w:t>protect</w:t>
      </w:r>
      <w:r w:rsidR="00654E85" w:rsidRPr="005764C6">
        <w:t xml:space="preserve"> stolen and looted cultural material</w:t>
      </w:r>
    </w:p>
    <w:p w14:paraId="175466A2" w14:textId="77777777" w:rsidR="00B71DB4" w:rsidRDefault="001805E5" w:rsidP="00B71DB4">
      <w:pPr>
        <w:pStyle w:val="ListParagraph"/>
        <w:numPr>
          <w:ilvl w:val="0"/>
          <w:numId w:val="11"/>
        </w:numPr>
      </w:pPr>
      <w:r>
        <w:t>c</w:t>
      </w:r>
      <w:r w:rsidR="00691B1E">
        <w:t xml:space="preserve">onsolidation and </w:t>
      </w:r>
      <w:r w:rsidR="003877E4">
        <w:t>e</w:t>
      </w:r>
      <w:r w:rsidR="00691B1E">
        <w:t>xtension of criminal sanctions</w:t>
      </w:r>
    </w:p>
    <w:p w14:paraId="68502719" w14:textId="77777777" w:rsidR="00B71DB4" w:rsidRDefault="001805E5" w:rsidP="00B71DB4">
      <w:pPr>
        <w:pStyle w:val="ListParagraph"/>
        <w:numPr>
          <w:ilvl w:val="0"/>
          <w:numId w:val="11"/>
        </w:numPr>
      </w:pPr>
      <w:r>
        <w:t>m</w:t>
      </w:r>
      <w:r w:rsidR="009C4C80">
        <w:t>odern</w:t>
      </w:r>
      <w:r w:rsidR="00F269D1">
        <w:t xml:space="preserve"> </w:t>
      </w:r>
      <w:r w:rsidR="00654E85">
        <w:t xml:space="preserve">law enforcement </w:t>
      </w:r>
      <w:r w:rsidR="00F269D1">
        <w:t xml:space="preserve">provisions </w:t>
      </w:r>
      <w:r w:rsidR="00167CD4">
        <w:t>that encompass</w:t>
      </w:r>
      <w:r w:rsidR="00654E85">
        <w:t xml:space="preserve"> a range of powers</w:t>
      </w:r>
      <w:r w:rsidR="00167CD4">
        <w:t>,</w:t>
      </w:r>
      <w:r w:rsidR="00654E85">
        <w:t xml:space="preserve"> including injunction, search and seizure </w:t>
      </w:r>
      <w:r w:rsidR="00F24EA6">
        <w:t>powers that</w:t>
      </w:r>
      <w:r w:rsidR="00447CCD">
        <w:t xml:space="preserve"> provide for more effective prosecution and reflect current best practice</w:t>
      </w:r>
    </w:p>
    <w:p w14:paraId="103FCA1C" w14:textId="77777777" w:rsidR="00B71DB4" w:rsidRDefault="001805E5" w:rsidP="00B71DB4">
      <w:pPr>
        <w:pStyle w:val="ListParagraph"/>
        <w:numPr>
          <w:ilvl w:val="0"/>
          <w:numId w:val="11"/>
        </w:numPr>
      </w:pPr>
      <w:r>
        <w:t>e</w:t>
      </w:r>
      <w:r w:rsidR="00BB5E94">
        <w:t>nhanced</w:t>
      </w:r>
      <w:r w:rsidR="001E2870">
        <w:t xml:space="preserve"> clarity, due diligence</w:t>
      </w:r>
      <w:r w:rsidR="00BB5E94">
        <w:t xml:space="preserve"> obligations</w:t>
      </w:r>
      <w:r w:rsidR="00376A86">
        <w:t xml:space="preserve"> and</w:t>
      </w:r>
      <w:r w:rsidR="001E2870">
        <w:t xml:space="preserve"> transparency </w:t>
      </w:r>
      <w:r w:rsidR="00376A86">
        <w:t>of process</w:t>
      </w:r>
    </w:p>
    <w:p w14:paraId="01F0FB7F" w14:textId="77777777" w:rsidR="00B71DB4" w:rsidRPr="00B71DB4" w:rsidRDefault="001805E5" w:rsidP="00B71DB4">
      <w:pPr>
        <w:pStyle w:val="ListParagraph"/>
        <w:numPr>
          <w:ilvl w:val="0"/>
          <w:numId w:val="11"/>
        </w:numPr>
      </w:pPr>
      <w:r w:rsidRPr="00B71DB4">
        <w:rPr>
          <w:rFonts w:cs="Arial"/>
          <w:szCs w:val="24"/>
        </w:rPr>
        <w:t>a</w:t>
      </w:r>
      <w:r w:rsidR="00691B1E" w:rsidRPr="00B71DB4">
        <w:rPr>
          <w:rFonts w:cs="Arial"/>
          <w:szCs w:val="24"/>
        </w:rPr>
        <w:t>doption of the UNI</w:t>
      </w:r>
      <w:r w:rsidR="00376A86" w:rsidRPr="00B71DB4">
        <w:rPr>
          <w:rFonts w:cs="Arial"/>
          <w:szCs w:val="24"/>
        </w:rPr>
        <w:t>DROIT mechanisms to give foreign claimants access to Australian courts</w:t>
      </w:r>
    </w:p>
    <w:p w14:paraId="14151AF4" w14:textId="77777777" w:rsidR="00B71DB4" w:rsidRPr="00B71DB4" w:rsidRDefault="001805E5" w:rsidP="00B71DB4">
      <w:pPr>
        <w:pStyle w:val="ListParagraph"/>
        <w:numPr>
          <w:ilvl w:val="0"/>
          <w:numId w:val="11"/>
        </w:numPr>
      </w:pPr>
      <w:r w:rsidRPr="00B71DB4">
        <w:rPr>
          <w:rFonts w:cs="Arial"/>
          <w:szCs w:val="24"/>
        </w:rPr>
        <w:t>r</w:t>
      </w:r>
      <w:r w:rsidR="00877DC0" w:rsidRPr="00B71DB4">
        <w:rPr>
          <w:rFonts w:cs="Arial"/>
          <w:szCs w:val="24"/>
        </w:rPr>
        <w:t>etention of non-court procedure for objects stolen from</w:t>
      </w:r>
      <w:r w:rsidR="00691B1E" w:rsidRPr="00B71DB4">
        <w:rPr>
          <w:rFonts w:cs="Arial"/>
          <w:szCs w:val="24"/>
        </w:rPr>
        <w:t xml:space="preserve"> inventoried</w:t>
      </w:r>
      <w:r w:rsidR="00877DC0" w:rsidRPr="00B71DB4">
        <w:rPr>
          <w:rFonts w:cs="Arial"/>
          <w:szCs w:val="24"/>
        </w:rPr>
        <w:t xml:space="preserve"> c</w:t>
      </w:r>
      <w:r w:rsidR="00691B1E" w:rsidRPr="00B71DB4">
        <w:rPr>
          <w:rFonts w:cs="Arial"/>
          <w:szCs w:val="24"/>
        </w:rPr>
        <w:t>ollections or</w:t>
      </w:r>
      <w:r w:rsidR="003877E4" w:rsidRPr="00B71DB4">
        <w:rPr>
          <w:rFonts w:cs="Arial"/>
          <w:szCs w:val="24"/>
        </w:rPr>
        <w:t xml:space="preserve"> identified sites</w:t>
      </w:r>
    </w:p>
    <w:p w14:paraId="214A915D" w14:textId="77777777" w:rsidR="00B71DB4" w:rsidRPr="00B71DB4" w:rsidRDefault="001805E5" w:rsidP="00B71DB4">
      <w:pPr>
        <w:pStyle w:val="ListParagraph"/>
        <w:numPr>
          <w:ilvl w:val="0"/>
          <w:numId w:val="11"/>
        </w:numPr>
      </w:pPr>
      <w:r w:rsidRPr="00B71DB4">
        <w:rPr>
          <w:rFonts w:cs="Arial"/>
          <w:szCs w:val="24"/>
        </w:rPr>
        <w:t>a</w:t>
      </w:r>
      <w:r w:rsidR="00787C28" w:rsidRPr="00B71DB4">
        <w:rPr>
          <w:rFonts w:cs="Arial"/>
          <w:szCs w:val="24"/>
        </w:rPr>
        <w:t>vailability of an</w:t>
      </w:r>
      <w:r w:rsidR="009C4C80" w:rsidRPr="00B71DB4">
        <w:rPr>
          <w:rFonts w:cs="Arial"/>
          <w:szCs w:val="24"/>
        </w:rPr>
        <w:t xml:space="preserve"> alternative dispute resolution m</w:t>
      </w:r>
      <w:r w:rsidR="009111A2" w:rsidRPr="00B71DB4">
        <w:rPr>
          <w:rFonts w:cs="Arial"/>
          <w:szCs w:val="24"/>
        </w:rPr>
        <w:t>echani</w:t>
      </w:r>
      <w:r w:rsidR="009C4C80" w:rsidRPr="00B71DB4">
        <w:rPr>
          <w:rFonts w:cs="Arial"/>
          <w:szCs w:val="24"/>
        </w:rPr>
        <w:t>sm for claimants and Australian owners</w:t>
      </w:r>
    </w:p>
    <w:p w14:paraId="5DF15009" w14:textId="77777777" w:rsidR="00B71DB4" w:rsidRDefault="001805E5" w:rsidP="00B71DB4">
      <w:pPr>
        <w:pStyle w:val="ListParagraph"/>
        <w:numPr>
          <w:ilvl w:val="0"/>
          <w:numId w:val="11"/>
        </w:numPr>
      </w:pPr>
      <w:r>
        <w:t>t</w:t>
      </w:r>
      <w:r w:rsidR="00691B1E">
        <w:t>ime limitations for the bringing of claims</w:t>
      </w:r>
      <w:r w:rsidR="00877DC0">
        <w:t xml:space="preserve"> limitations regarding claims against illegal exports to clarify expectations for importers in regard to due diligence as to title and provenance</w:t>
      </w:r>
    </w:p>
    <w:p w14:paraId="29EF2E8B" w14:textId="0D9847AF" w:rsidR="00E305FC" w:rsidRPr="00E305FC" w:rsidRDefault="001805E5" w:rsidP="00B71DB4">
      <w:pPr>
        <w:pStyle w:val="ListParagraph"/>
        <w:numPr>
          <w:ilvl w:val="0"/>
          <w:numId w:val="11"/>
        </w:numPr>
      </w:pPr>
      <w:r w:rsidRPr="00B71DB4">
        <w:rPr>
          <w:rFonts w:cs="Arial"/>
          <w:szCs w:val="24"/>
        </w:rPr>
        <w:t>c</w:t>
      </w:r>
      <w:r w:rsidR="001E2870" w:rsidRPr="00B71DB4">
        <w:rPr>
          <w:rFonts w:cs="Arial"/>
          <w:szCs w:val="24"/>
        </w:rPr>
        <w:t xml:space="preserve">onsolidation of processes </w:t>
      </w:r>
      <w:r w:rsidR="00691B1E" w:rsidRPr="00B71DB4">
        <w:rPr>
          <w:rFonts w:cs="Arial"/>
          <w:szCs w:val="24"/>
        </w:rPr>
        <w:t xml:space="preserve">across government </w:t>
      </w:r>
      <w:r w:rsidR="001E2870" w:rsidRPr="00B71DB4">
        <w:rPr>
          <w:rFonts w:cs="Arial"/>
          <w:szCs w:val="24"/>
        </w:rPr>
        <w:t>for the return of looted and sto</w:t>
      </w:r>
      <w:r w:rsidR="00691B1E" w:rsidRPr="00B71DB4">
        <w:rPr>
          <w:rFonts w:cs="Arial"/>
          <w:szCs w:val="24"/>
        </w:rPr>
        <w:t>len material</w:t>
      </w:r>
      <w:r w:rsidR="00F269D1" w:rsidRPr="00B71DB4">
        <w:rPr>
          <w:rFonts w:cs="Arial"/>
          <w:szCs w:val="24"/>
        </w:rPr>
        <w:t>.</w:t>
      </w:r>
    </w:p>
    <w:p w14:paraId="4033D78A" w14:textId="2E658AA7" w:rsidR="00E305FC" w:rsidRDefault="00AA7FFE" w:rsidP="00B71DB4">
      <w:pPr>
        <w:pStyle w:val="Heading2"/>
        <w:rPr>
          <w:color w:val="0076A5"/>
        </w:rPr>
      </w:pPr>
      <w:r w:rsidRPr="00B71DB4">
        <w:rPr>
          <w:color w:val="0076A5"/>
        </w:rPr>
        <w:t>Proposed process regarding foreign claims</w:t>
      </w:r>
      <w:bookmarkStart w:id="3" w:name="Figure5"/>
      <w:r w:rsidR="00444B9C">
        <w:rPr>
          <w:noProof/>
          <w:lang w:eastAsia="en-AU"/>
        </w:rPr>
        <w:t xml:space="preserve"> </w:t>
      </w:r>
      <w:r w:rsidR="00B71DB4">
        <w:rPr>
          <w:noProof/>
          <w:lang w:eastAsia="en-AU"/>
        </w:rPr>
        <w:drawing>
          <wp:inline distT="0" distB="0" distL="0" distR="0" wp14:anchorId="18551991" wp14:editId="154EE558">
            <wp:extent cx="4800600" cy="4465320"/>
            <wp:effectExtent l="0" t="0" r="0" b="0"/>
            <wp:docPr id="5" name="Picture 5" descr="Object is seized on suspicion for safeguarding by the Department for a period of 3 months. This safeguarding period may be extended at any stage of these processes. The request for seizure does not need to have been made by a foreign government. &#10;If the object is not listed in the inventory of a foreign collection, monument or site, the Australian owner will have the opportunity to cede ownership. If the owner does not cede ownership the foreign claimant has a time limited period to commence legal action against the Australian owner (includes mandatory dispute resolution process).&#10;If the foreign claimant does not pursue legal action within the time period, the object is returned to the Australian owner.&#10;A different process applies if the seized object is listed in the inventory of a foreign collection, monument or site. In such cases there will be an opportunity for the foreign government and the Australian owner to provide documentation or cede ownership. The minister will then decide the appropriate action. If the minister decides to return the object to the foreign government there, will be a time limited opportunity for the Australian owner to commence proceedings to prevent forfeiture.&#10;" title="Proposed process regarding foreign claim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00600" cy="4465320"/>
                    </a:xfrm>
                    <a:prstGeom prst="rect">
                      <a:avLst/>
                    </a:prstGeom>
                  </pic:spPr>
                </pic:pic>
              </a:graphicData>
            </a:graphic>
          </wp:inline>
        </w:drawing>
      </w:r>
      <w:bookmarkEnd w:id="3"/>
    </w:p>
    <w:p w14:paraId="31FCCCD2" w14:textId="02E7EF80" w:rsidR="00E305FC" w:rsidRPr="001E2870" w:rsidRDefault="00E305FC" w:rsidP="00B71DB4">
      <w:bookmarkStart w:id="4" w:name="_GoBack"/>
      <w:bookmarkEnd w:id="4"/>
    </w:p>
    <w:sectPr w:rsidR="00E305FC" w:rsidRPr="001E28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79CDD" w14:textId="77777777" w:rsidR="00BF1AAB" w:rsidRDefault="00BF1AAB" w:rsidP="00BF1AAB">
      <w:pPr>
        <w:spacing w:after="0" w:line="240" w:lineRule="auto"/>
      </w:pPr>
      <w:r>
        <w:separator/>
      </w:r>
    </w:p>
  </w:endnote>
  <w:endnote w:type="continuationSeparator" w:id="0">
    <w:p w14:paraId="2948B060" w14:textId="77777777" w:rsidR="00BF1AAB" w:rsidRDefault="00BF1AAB" w:rsidP="00BF1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BA3AF" w14:textId="77777777" w:rsidR="00BF1AAB" w:rsidRDefault="00BF1AAB" w:rsidP="00BF1AAB">
      <w:pPr>
        <w:spacing w:after="0" w:line="240" w:lineRule="auto"/>
      </w:pPr>
      <w:r>
        <w:separator/>
      </w:r>
    </w:p>
  </w:footnote>
  <w:footnote w:type="continuationSeparator" w:id="0">
    <w:p w14:paraId="7C11E0FF" w14:textId="77777777" w:rsidR="00BF1AAB" w:rsidRDefault="00BF1AAB" w:rsidP="00BF1A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03AC"/>
    <w:multiLevelType w:val="hybridMultilevel"/>
    <w:tmpl w:val="28B29ADC"/>
    <w:lvl w:ilvl="0" w:tplc="CEA084B2">
      <w:start w:val="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F00B0F"/>
    <w:multiLevelType w:val="hybridMultilevel"/>
    <w:tmpl w:val="D0341B72"/>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736CFC"/>
    <w:multiLevelType w:val="hybridMultilevel"/>
    <w:tmpl w:val="899826F8"/>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BC37B2"/>
    <w:multiLevelType w:val="hybridMultilevel"/>
    <w:tmpl w:val="CEE2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AB485C"/>
    <w:multiLevelType w:val="hybridMultilevel"/>
    <w:tmpl w:val="8B2A3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636B88"/>
    <w:multiLevelType w:val="hybridMultilevel"/>
    <w:tmpl w:val="41CA5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835D58"/>
    <w:multiLevelType w:val="hybridMultilevel"/>
    <w:tmpl w:val="871257D0"/>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F664F0"/>
    <w:multiLevelType w:val="hybridMultilevel"/>
    <w:tmpl w:val="4EC4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7B2120"/>
    <w:multiLevelType w:val="hybridMultilevel"/>
    <w:tmpl w:val="A684AA1C"/>
    <w:lvl w:ilvl="0" w:tplc="F6F829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8B2A62"/>
    <w:multiLevelType w:val="hybridMultilevel"/>
    <w:tmpl w:val="5C72F8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4E664A6"/>
    <w:multiLevelType w:val="hybridMultilevel"/>
    <w:tmpl w:val="01E610A6"/>
    <w:lvl w:ilvl="0" w:tplc="CEA084B2">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9"/>
  </w:num>
  <w:num w:numId="5">
    <w:abstractNumId w:val="6"/>
  </w:num>
  <w:num w:numId="6">
    <w:abstractNumId w:val="1"/>
  </w:num>
  <w:num w:numId="7">
    <w:abstractNumId w:val="2"/>
  </w:num>
  <w:num w:numId="8">
    <w:abstractNumId w:val="8"/>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5A"/>
    <w:rsid w:val="00045D16"/>
    <w:rsid w:val="00054F7D"/>
    <w:rsid w:val="000B650D"/>
    <w:rsid w:val="000B69BB"/>
    <w:rsid w:val="000D7B5A"/>
    <w:rsid w:val="001468B6"/>
    <w:rsid w:val="00167CD4"/>
    <w:rsid w:val="001805E5"/>
    <w:rsid w:val="00194C8E"/>
    <w:rsid w:val="001C3159"/>
    <w:rsid w:val="001E2870"/>
    <w:rsid w:val="001E2C34"/>
    <w:rsid w:val="00233707"/>
    <w:rsid w:val="00234729"/>
    <w:rsid w:val="00240FE0"/>
    <w:rsid w:val="002E6DE6"/>
    <w:rsid w:val="00302D24"/>
    <w:rsid w:val="003036D6"/>
    <w:rsid w:val="00312D98"/>
    <w:rsid w:val="00320F93"/>
    <w:rsid w:val="00335350"/>
    <w:rsid w:val="00376A86"/>
    <w:rsid w:val="003877E4"/>
    <w:rsid w:val="00421AB9"/>
    <w:rsid w:val="00444B9C"/>
    <w:rsid w:val="00447CCD"/>
    <w:rsid w:val="00453DBF"/>
    <w:rsid w:val="00465F9D"/>
    <w:rsid w:val="00480670"/>
    <w:rsid w:val="00493553"/>
    <w:rsid w:val="00521964"/>
    <w:rsid w:val="00541629"/>
    <w:rsid w:val="00551F68"/>
    <w:rsid w:val="005764C6"/>
    <w:rsid w:val="005B36AF"/>
    <w:rsid w:val="005F3062"/>
    <w:rsid w:val="005F644F"/>
    <w:rsid w:val="00620B8C"/>
    <w:rsid w:val="00654E85"/>
    <w:rsid w:val="00666A00"/>
    <w:rsid w:val="00691B1E"/>
    <w:rsid w:val="00694E33"/>
    <w:rsid w:val="006A5B85"/>
    <w:rsid w:val="00710FB8"/>
    <w:rsid w:val="00745183"/>
    <w:rsid w:val="0074597A"/>
    <w:rsid w:val="007771AE"/>
    <w:rsid w:val="00787C28"/>
    <w:rsid w:val="007A68B5"/>
    <w:rsid w:val="00806762"/>
    <w:rsid w:val="00834BA7"/>
    <w:rsid w:val="00840017"/>
    <w:rsid w:val="00847E63"/>
    <w:rsid w:val="00862925"/>
    <w:rsid w:val="00877DC0"/>
    <w:rsid w:val="008B5622"/>
    <w:rsid w:val="009111A2"/>
    <w:rsid w:val="0097338C"/>
    <w:rsid w:val="009A47F6"/>
    <w:rsid w:val="009C4C80"/>
    <w:rsid w:val="009F5AB5"/>
    <w:rsid w:val="00A14CD9"/>
    <w:rsid w:val="00A14CDA"/>
    <w:rsid w:val="00A47E7E"/>
    <w:rsid w:val="00A55DA5"/>
    <w:rsid w:val="00A63125"/>
    <w:rsid w:val="00AA0B4A"/>
    <w:rsid w:val="00AA5B03"/>
    <w:rsid w:val="00AA7FFE"/>
    <w:rsid w:val="00AB3F71"/>
    <w:rsid w:val="00AC539A"/>
    <w:rsid w:val="00AE5EBD"/>
    <w:rsid w:val="00B300CB"/>
    <w:rsid w:val="00B30CF0"/>
    <w:rsid w:val="00B30D22"/>
    <w:rsid w:val="00B52293"/>
    <w:rsid w:val="00B576D0"/>
    <w:rsid w:val="00B71DB4"/>
    <w:rsid w:val="00BB03B4"/>
    <w:rsid w:val="00BB5E94"/>
    <w:rsid w:val="00BB7A35"/>
    <w:rsid w:val="00BC5438"/>
    <w:rsid w:val="00BE5CFE"/>
    <w:rsid w:val="00BF1AAB"/>
    <w:rsid w:val="00BF4999"/>
    <w:rsid w:val="00C2155C"/>
    <w:rsid w:val="00C26539"/>
    <w:rsid w:val="00C2760F"/>
    <w:rsid w:val="00C86D70"/>
    <w:rsid w:val="00CA6891"/>
    <w:rsid w:val="00D11DC6"/>
    <w:rsid w:val="00D1744A"/>
    <w:rsid w:val="00D50C76"/>
    <w:rsid w:val="00DB3D83"/>
    <w:rsid w:val="00DB5CDF"/>
    <w:rsid w:val="00DD2F6D"/>
    <w:rsid w:val="00DD4DE5"/>
    <w:rsid w:val="00E305FC"/>
    <w:rsid w:val="00E45437"/>
    <w:rsid w:val="00E51868"/>
    <w:rsid w:val="00F12857"/>
    <w:rsid w:val="00F24EA6"/>
    <w:rsid w:val="00F269D1"/>
    <w:rsid w:val="00F27AC5"/>
    <w:rsid w:val="00F75ABB"/>
    <w:rsid w:val="00FD7568"/>
    <w:rsid w:val="00FE11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A4A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6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68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062"/>
    <w:pPr>
      <w:ind w:left="720"/>
      <w:contextualSpacing/>
    </w:pPr>
  </w:style>
  <w:style w:type="paragraph" w:styleId="BalloonText">
    <w:name w:val="Balloon Text"/>
    <w:basedOn w:val="Normal"/>
    <w:link w:val="BalloonTextChar"/>
    <w:uiPriority w:val="99"/>
    <w:semiHidden/>
    <w:unhideWhenUsed/>
    <w:rsid w:val="00302D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D24"/>
    <w:rPr>
      <w:rFonts w:ascii="Tahoma" w:hAnsi="Tahoma" w:cs="Tahoma"/>
      <w:sz w:val="16"/>
      <w:szCs w:val="16"/>
    </w:rPr>
  </w:style>
  <w:style w:type="character" w:styleId="CommentReference">
    <w:name w:val="annotation reference"/>
    <w:basedOn w:val="DefaultParagraphFont"/>
    <w:uiPriority w:val="99"/>
    <w:semiHidden/>
    <w:unhideWhenUsed/>
    <w:rsid w:val="00DD4DE5"/>
    <w:rPr>
      <w:sz w:val="16"/>
      <w:szCs w:val="16"/>
    </w:rPr>
  </w:style>
  <w:style w:type="paragraph" w:styleId="CommentText">
    <w:name w:val="annotation text"/>
    <w:basedOn w:val="Normal"/>
    <w:link w:val="CommentTextChar"/>
    <w:uiPriority w:val="99"/>
    <w:semiHidden/>
    <w:unhideWhenUsed/>
    <w:rsid w:val="00DD4DE5"/>
    <w:pPr>
      <w:spacing w:line="240" w:lineRule="auto"/>
    </w:pPr>
    <w:rPr>
      <w:sz w:val="20"/>
      <w:szCs w:val="20"/>
    </w:rPr>
  </w:style>
  <w:style w:type="character" w:customStyle="1" w:styleId="CommentTextChar">
    <w:name w:val="Comment Text Char"/>
    <w:basedOn w:val="DefaultParagraphFont"/>
    <w:link w:val="CommentText"/>
    <w:uiPriority w:val="99"/>
    <w:semiHidden/>
    <w:rsid w:val="00DD4DE5"/>
    <w:rPr>
      <w:sz w:val="20"/>
      <w:szCs w:val="20"/>
    </w:rPr>
  </w:style>
  <w:style w:type="paragraph" w:styleId="CommentSubject">
    <w:name w:val="annotation subject"/>
    <w:basedOn w:val="CommentText"/>
    <w:next w:val="CommentText"/>
    <w:link w:val="CommentSubjectChar"/>
    <w:uiPriority w:val="99"/>
    <w:semiHidden/>
    <w:unhideWhenUsed/>
    <w:rsid w:val="00DD4DE5"/>
    <w:rPr>
      <w:b/>
      <w:bCs/>
    </w:rPr>
  </w:style>
  <w:style w:type="character" w:customStyle="1" w:styleId="CommentSubjectChar">
    <w:name w:val="Comment Subject Char"/>
    <w:basedOn w:val="CommentTextChar"/>
    <w:link w:val="CommentSubject"/>
    <w:uiPriority w:val="99"/>
    <w:semiHidden/>
    <w:rsid w:val="00DD4DE5"/>
    <w:rPr>
      <w:b/>
      <w:bCs/>
      <w:sz w:val="20"/>
      <w:szCs w:val="20"/>
    </w:rPr>
  </w:style>
  <w:style w:type="character" w:styleId="Hyperlink">
    <w:name w:val="Hyperlink"/>
    <w:basedOn w:val="DefaultParagraphFont"/>
    <w:uiPriority w:val="99"/>
    <w:unhideWhenUsed/>
    <w:rsid w:val="00862925"/>
    <w:rPr>
      <w:color w:val="0000FF" w:themeColor="hyperlink"/>
      <w:u w:val="single"/>
    </w:rPr>
  </w:style>
  <w:style w:type="character" w:styleId="FollowedHyperlink">
    <w:name w:val="FollowedHyperlink"/>
    <w:basedOn w:val="DefaultParagraphFont"/>
    <w:uiPriority w:val="99"/>
    <w:semiHidden/>
    <w:unhideWhenUsed/>
    <w:rsid w:val="00045D16"/>
    <w:rPr>
      <w:color w:val="800080" w:themeColor="followedHyperlink"/>
      <w:u w:val="single"/>
    </w:rPr>
  </w:style>
  <w:style w:type="character" w:customStyle="1" w:styleId="Heading1Char">
    <w:name w:val="Heading 1 Char"/>
    <w:basedOn w:val="DefaultParagraphFont"/>
    <w:link w:val="Heading1"/>
    <w:uiPriority w:val="9"/>
    <w:rsid w:val="00CA689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A68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689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A689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44779">
      <w:bodyDiv w:val="1"/>
      <w:marLeft w:val="0"/>
      <w:marRight w:val="0"/>
      <w:marTop w:val="0"/>
      <w:marBottom w:val="0"/>
      <w:divBdr>
        <w:top w:val="none" w:sz="0" w:space="0" w:color="auto"/>
        <w:left w:val="none" w:sz="0" w:space="0" w:color="auto"/>
        <w:bottom w:val="none" w:sz="0" w:space="0" w:color="auto"/>
        <w:right w:val="none" w:sz="0" w:space="0" w:color="auto"/>
      </w:divBdr>
    </w:div>
    <w:div w:id="593978701">
      <w:bodyDiv w:val="1"/>
      <w:marLeft w:val="0"/>
      <w:marRight w:val="0"/>
      <w:marTop w:val="0"/>
      <w:marBottom w:val="0"/>
      <w:divBdr>
        <w:top w:val="none" w:sz="0" w:space="0" w:color="auto"/>
        <w:left w:val="none" w:sz="0" w:space="0" w:color="auto"/>
        <w:bottom w:val="none" w:sz="0" w:space="0" w:color="auto"/>
        <w:right w:val="none" w:sz="0" w:space="0" w:color="auto"/>
      </w:divBdr>
    </w:div>
    <w:div w:id="1344625947">
      <w:bodyDiv w:val="1"/>
      <w:marLeft w:val="0"/>
      <w:marRight w:val="0"/>
      <w:marTop w:val="0"/>
      <w:marBottom w:val="0"/>
      <w:divBdr>
        <w:top w:val="none" w:sz="0" w:space="0" w:color="auto"/>
        <w:left w:val="none" w:sz="0" w:space="0" w:color="auto"/>
        <w:bottom w:val="none" w:sz="0" w:space="0" w:color="auto"/>
        <w:right w:val="none" w:sz="0" w:space="0" w:color="auto"/>
      </w:divBdr>
    </w:div>
    <w:div w:id="1643273980">
      <w:bodyDiv w:val="1"/>
      <w:marLeft w:val="0"/>
      <w:marRight w:val="0"/>
      <w:marTop w:val="0"/>
      <w:marBottom w:val="0"/>
      <w:divBdr>
        <w:top w:val="none" w:sz="0" w:space="0" w:color="auto"/>
        <w:left w:val="none" w:sz="0" w:space="0" w:color="auto"/>
        <w:bottom w:val="none" w:sz="0" w:space="0" w:color="auto"/>
        <w:right w:val="none" w:sz="0" w:space="0" w:color="auto"/>
      </w:divBdr>
      <w:divsChild>
        <w:div w:id="2062634249">
          <w:marLeft w:val="0"/>
          <w:marRight w:val="0"/>
          <w:marTop w:val="0"/>
          <w:marBottom w:val="0"/>
          <w:divBdr>
            <w:top w:val="none" w:sz="0" w:space="0" w:color="auto"/>
            <w:left w:val="none" w:sz="0" w:space="0" w:color="auto"/>
            <w:bottom w:val="none" w:sz="0" w:space="0" w:color="auto"/>
            <w:right w:val="none" w:sz="0" w:space="0" w:color="auto"/>
          </w:divBdr>
          <w:divsChild>
            <w:div w:id="1435438087">
              <w:marLeft w:val="0"/>
              <w:marRight w:val="0"/>
              <w:marTop w:val="0"/>
              <w:marBottom w:val="0"/>
              <w:divBdr>
                <w:top w:val="none" w:sz="0" w:space="0" w:color="auto"/>
                <w:left w:val="none" w:sz="0" w:space="0" w:color="auto"/>
                <w:bottom w:val="none" w:sz="0" w:space="0" w:color="auto"/>
                <w:right w:val="none" w:sz="0" w:space="0" w:color="auto"/>
              </w:divBdr>
              <w:divsChild>
                <w:div w:id="639656592">
                  <w:marLeft w:val="0"/>
                  <w:marRight w:val="0"/>
                  <w:marTop w:val="0"/>
                  <w:marBottom w:val="0"/>
                  <w:divBdr>
                    <w:top w:val="none" w:sz="0" w:space="0" w:color="auto"/>
                    <w:left w:val="none" w:sz="0" w:space="0" w:color="auto"/>
                    <w:bottom w:val="none" w:sz="0" w:space="0" w:color="auto"/>
                    <w:right w:val="none" w:sz="0" w:space="0" w:color="auto"/>
                  </w:divBdr>
                  <w:divsChild>
                    <w:div w:id="497353235">
                      <w:marLeft w:val="0"/>
                      <w:marRight w:val="0"/>
                      <w:marTop w:val="0"/>
                      <w:marBottom w:val="0"/>
                      <w:divBdr>
                        <w:top w:val="none" w:sz="0" w:space="0" w:color="auto"/>
                        <w:left w:val="none" w:sz="0" w:space="0" w:color="auto"/>
                        <w:bottom w:val="none" w:sz="0" w:space="0" w:color="auto"/>
                        <w:right w:val="none" w:sz="0" w:space="0" w:color="auto"/>
                      </w:divBdr>
                      <w:divsChild>
                        <w:div w:id="805709157">
                          <w:marLeft w:val="0"/>
                          <w:marRight w:val="0"/>
                          <w:marTop w:val="0"/>
                          <w:marBottom w:val="0"/>
                          <w:divBdr>
                            <w:top w:val="none" w:sz="0" w:space="0" w:color="auto"/>
                            <w:left w:val="none" w:sz="0" w:space="0" w:color="auto"/>
                            <w:bottom w:val="none" w:sz="0" w:space="0" w:color="auto"/>
                            <w:right w:val="none" w:sz="0" w:space="0" w:color="auto"/>
                          </w:divBdr>
                          <w:divsChild>
                            <w:div w:id="909077946">
                              <w:marLeft w:val="0"/>
                              <w:marRight w:val="0"/>
                              <w:marTop w:val="0"/>
                              <w:marBottom w:val="0"/>
                              <w:divBdr>
                                <w:top w:val="none" w:sz="0" w:space="0" w:color="auto"/>
                                <w:left w:val="none" w:sz="0" w:space="0" w:color="auto"/>
                                <w:bottom w:val="none" w:sz="0" w:space="0" w:color="auto"/>
                                <w:right w:val="none" w:sz="0" w:space="0" w:color="auto"/>
                              </w:divBdr>
                              <w:divsChild>
                                <w:div w:id="636300442">
                                  <w:marLeft w:val="0"/>
                                  <w:marRight w:val="0"/>
                                  <w:marTop w:val="0"/>
                                  <w:marBottom w:val="0"/>
                                  <w:divBdr>
                                    <w:top w:val="none" w:sz="0" w:space="0" w:color="auto"/>
                                    <w:left w:val="none" w:sz="0" w:space="0" w:color="auto"/>
                                    <w:bottom w:val="none" w:sz="0" w:space="0" w:color="auto"/>
                                    <w:right w:val="none" w:sz="0" w:space="0" w:color="auto"/>
                                  </w:divBdr>
                                  <w:divsChild>
                                    <w:div w:id="1927690742">
                                      <w:marLeft w:val="0"/>
                                      <w:marRight w:val="0"/>
                                      <w:marTop w:val="0"/>
                                      <w:marBottom w:val="0"/>
                                      <w:divBdr>
                                        <w:top w:val="none" w:sz="0" w:space="0" w:color="auto"/>
                                        <w:left w:val="none" w:sz="0" w:space="0" w:color="auto"/>
                                        <w:bottom w:val="none" w:sz="0" w:space="0" w:color="auto"/>
                                        <w:right w:val="none" w:sz="0" w:space="0" w:color="auto"/>
                                      </w:divBdr>
                                      <w:divsChild>
                                        <w:div w:id="6198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456756">
      <w:bodyDiv w:val="1"/>
      <w:marLeft w:val="0"/>
      <w:marRight w:val="0"/>
      <w:marTop w:val="0"/>
      <w:marBottom w:val="0"/>
      <w:divBdr>
        <w:top w:val="none" w:sz="0" w:space="0" w:color="auto"/>
        <w:left w:val="none" w:sz="0" w:space="0" w:color="auto"/>
        <w:bottom w:val="none" w:sz="0" w:space="0" w:color="auto"/>
        <w:right w:val="none" w:sz="0" w:space="0" w:color="auto"/>
      </w:divBdr>
    </w:div>
    <w:div w:id="2035383803">
      <w:bodyDiv w:val="1"/>
      <w:marLeft w:val="0"/>
      <w:marRight w:val="0"/>
      <w:marTop w:val="0"/>
      <w:marBottom w:val="0"/>
      <w:divBdr>
        <w:top w:val="none" w:sz="0" w:space="0" w:color="auto"/>
        <w:left w:val="none" w:sz="0" w:space="0" w:color="auto"/>
        <w:bottom w:val="none" w:sz="0" w:space="0" w:color="auto"/>
        <w:right w:val="none" w:sz="0" w:space="0" w:color="auto"/>
      </w:divBdr>
    </w:div>
    <w:div w:id="2047102332">
      <w:bodyDiv w:val="1"/>
      <w:marLeft w:val="0"/>
      <w:marRight w:val="0"/>
      <w:marTop w:val="0"/>
      <w:marBottom w:val="0"/>
      <w:divBdr>
        <w:top w:val="none" w:sz="0" w:space="0" w:color="auto"/>
        <w:left w:val="none" w:sz="0" w:space="0" w:color="auto"/>
        <w:bottom w:val="none" w:sz="0" w:space="0" w:color="auto"/>
        <w:right w:val="none" w:sz="0" w:space="0" w:color="auto"/>
      </w:divBdr>
      <w:divsChild>
        <w:div w:id="1397360083">
          <w:marLeft w:val="0"/>
          <w:marRight w:val="0"/>
          <w:marTop w:val="0"/>
          <w:marBottom w:val="0"/>
          <w:divBdr>
            <w:top w:val="none" w:sz="0" w:space="0" w:color="auto"/>
            <w:left w:val="none" w:sz="0" w:space="0" w:color="auto"/>
            <w:bottom w:val="none" w:sz="0" w:space="0" w:color="auto"/>
            <w:right w:val="none" w:sz="0" w:space="0" w:color="auto"/>
          </w:divBdr>
          <w:divsChild>
            <w:div w:id="2020229253">
              <w:marLeft w:val="0"/>
              <w:marRight w:val="0"/>
              <w:marTop w:val="0"/>
              <w:marBottom w:val="0"/>
              <w:divBdr>
                <w:top w:val="none" w:sz="0" w:space="0" w:color="auto"/>
                <w:left w:val="none" w:sz="0" w:space="0" w:color="auto"/>
                <w:bottom w:val="none" w:sz="0" w:space="0" w:color="auto"/>
                <w:right w:val="none" w:sz="0" w:space="0" w:color="auto"/>
              </w:divBdr>
              <w:divsChild>
                <w:div w:id="1038041753">
                  <w:marLeft w:val="0"/>
                  <w:marRight w:val="0"/>
                  <w:marTop w:val="0"/>
                  <w:marBottom w:val="0"/>
                  <w:divBdr>
                    <w:top w:val="none" w:sz="0" w:space="0" w:color="auto"/>
                    <w:left w:val="none" w:sz="0" w:space="0" w:color="auto"/>
                    <w:bottom w:val="none" w:sz="0" w:space="0" w:color="auto"/>
                    <w:right w:val="none" w:sz="0" w:space="0" w:color="auto"/>
                  </w:divBdr>
                  <w:divsChild>
                    <w:div w:id="1625891013">
                      <w:marLeft w:val="0"/>
                      <w:marRight w:val="0"/>
                      <w:marTop w:val="0"/>
                      <w:marBottom w:val="0"/>
                      <w:divBdr>
                        <w:top w:val="none" w:sz="0" w:space="0" w:color="auto"/>
                        <w:left w:val="none" w:sz="0" w:space="0" w:color="auto"/>
                        <w:bottom w:val="none" w:sz="0" w:space="0" w:color="auto"/>
                        <w:right w:val="none" w:sz="0" w:space="0" w:color="auto"/>
                      </w:divBdr>
                      <w:divsChild>
                        <w:div w:id="1475562804">
                          <w:marLeft w:val="0"/>
                          <w:marRight w:val="0"/>
                          <w:marTop w:val="0"/>
                          <w:marBottom w:val="0"/>
                          <w:divBdr>
                            <w:top w:val="none" w:sz="0" w:space="0" w:color="auto"/>
                            <w:left w:val="none" w:sz="0" w:space="0" w:color="auto"/>
                            <w:bottom w:val="none" w:sz="0" w:space="0" w:color="auto"/>
                            <w:right w:val="none" w:sz="0" w:space="0" w:color="auto"/>
                          </w:divBdr>
                          <w:divsChild>
                            <w:div w:id="1318681160">
                              <w:marLeft w:val="0"/>
                              <w:marRight w:val="0"/>
                              <w:marTop w:val="0"/>
                              <w:marBottom w:val="0"/>
                              <w:divBdr>
                                <w:top w:val="none" w:sz="0" w:space="0" w:color="auto"/>
                                <w:left w:val="none" w:sz="0" w:space="0" w:color="auto"/>
                                <w:bottom w:val="none" w:sz="0" w:space="0" w:color="auto"/>
                                <w:right w:val="none" w:sz="0" w:space="0" w:color="auto"/>
                              </w:divBdr>
                              <w:divsChild>
                                <w:div w:id="107285623">
                                  <w:marLeft w:val="0"/>
                                  <w:marRight w:val="0"/>
                                  <w:marTop w:val="0"/>
                                  <w:marBottom w:val="0"/>
                                  <w:divBdr>
                                    <w:top w:val="none" w:sz="0" w:space="0" w:color="auto"/>
                                    <w:left w:val="none" w:sz="0" w:space="0" w:color="auto"/>
                                    <w:bottom w:val="none" w:sz="0" w:space="0" w:color="auto"/>
                                    <w:right w:val="none" w:sz="0" w:space="0" w:color="auto"/>
                                  </w:divBdr>
                                  <w:divsChild>
                                    <w:div w:id="1965185197">
                                      <w:marLeft w:val="0"/>
                                      <w:marRight w:val="0"/>
                                      <w:marTop w:val="0"/>
                                      <w:marBottom w:val="0"/>
                                      <w:divBdr>
                                        <w:top w:val="none" w:sz="0" w:space="0" w:color="auto"/>
                                        <w:left w:val="none" w:sz="0" w:space="0" w:color="auto"/>
                                        <w:bottom w:val="none" w:sz="0" w:space="0" w:color="auto"/>
                                        <w:right w:val="none" w:sz="0" w:space="0" w:color="auto"/>
                                      </w:divBdr>
                                      <w:divsChild>
                                        <w:div w:id="2051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s.gov.au/topics/public-consultations/review-protection-movable-cultural-heritage-ac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816</Words>
  <Characters>4654</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PMCH Review Position Paper Overview</vt:lpstr>
    </vt:vector>
  </TitlesOfParts>
  <Company/>
  <LinksUpToDate>false</LinksUpToDate>
  <CharactersWithSpaces>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PMCH Review Position Paper Overview</dc:title>
  <dc:creator/>
  <cp:lastModifiedBy/>
  <cp:revision>1</cp:revision>
  <dcterms:created xsi:type="dcterms:W3CDTF">2018-10-25T02:17:00Z</dcterms:created>
  <dcterms:modified xsi:type="dcterms:W3CDTF">2018-10-25T02:17:00Z</dcterms:modified>
</cp:coreProperties>
</file>