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2C17B4" w14:textId="37E9D888" w:rsidR="001264C6" w:rsidRDefault="001264C6" w:rsidP="001264C6">
      <w:pPr>
        <w:spacing w:line="276" w:lineRule="auto"/>
        <w:ind w:left="-8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sectPr w:rsidR="001264C6" w:rsidSect="001264C6">
          <w:footerReference w:type="default" r:id="rId8"/>
          <w:pgSz w:w="11906" w:h="16838"/>
          <w:pgMar w:top="567" w:right="1440" w:bottom="1440" w:left="1440" w:header="708" w:footer="708" w:gutter="0"/>
          <w:cols w:space="708"/>
          <w:docGrid w:linePitch="360"/>
        </w:sectPr>
      </w:pPr>
      <w:bookmarkStart w:id="0" w:name="_Toc430867337"/>
      <w:bookmarkStart w:id="1" w:name="_Toc423334269"/>
      <w:bookmarkStart w:id="2" w:name="_Toc423334282"/>
      <w:bookmarkStart w:id="3" w:name="_Toc423334283"/>
      <w:bookmarkStart w:id="4" w:name="_Toc423334293"/>
      <w:bookmarkStart w:id="5" w:name="_Toc430867347"/>
      <w:r>
        <w:rPr>
          <w:rFonts w:ascii="Times New Roman" w:eastAsia="Times New Roman" w:hAnsi="Times New Roman" w:cs="Times New Roman"/>
          <w:noProof/>
          <w:color w:val="000000"/>
          <w:w w:val="0"/>
          <w:sz w:val="0"/>
          <w:szCs w:val="0"/>
          <w:u w:color="000000"/>
          <w:bdr w:val="none" w:sz="0" w:space="0" w:color="000000"/>
          <w:shd w:val="clear" w:color="000000" w:fill="000000"/>
          <w:lang w:eastAsia="en-AU"/>
        </w:rPr>
        <w:drawing>
          <wp:inline distT="0" distB="0" distL="0" distR="0" wp14:anchorId="21249ECB" wp14:editId="14EC8CDE">
            <wp:extent cx="6898005" cy="9937115"/>
            <wp:effectExtent l="0" t="0" r="0" b="6985"/>
            <wp:docPr id="687" name="Picture 687" descr="Cover page Borders of Culture: Review of the Protection of Movable Cultural Heirtage Act 1986, Final Report 2015, Shane Simpson AM.&#10;&#10;Image:  Sidney Nolan, Ned Kelly, 1946, enamel paint on composition board, National Gallery of Australia, Canbera. Gift of Sunday Reed, 1977." title="Cover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unok\AppData\Local\Microsoft\Windows\Temporary Internet Files\Content.Outlook\C32Z8NFG\3206 Protection cover23Sept (7).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755" t="2820" r="3521" b="2758"/>
                    <a:stretch/>
                  </pic:blipFill>
                  <pic:spPr bwMode="auto">
                    <a:xfrm>
                      <a:off x="0" y="0"/>
                      <a:ext cx="6898005" cy="9937115"/>
                    </a:xfrm>
                    <a:prstGeom prst="rect">
                      <a:avLst/>
                    </a:prstGeom>
                    <a:noFill/>
                    <a:ln>
                      <a:noFill/>
                    </a:ln>
                    <a:extLst>
                      <a:ext uri="{53640926-AAD7-44D8-BBD7-CCE9431645EC}">
                        <a14:shadowObscured xmlns:a14="http://schemas.microsoft.com/office/drawing/2010/main"/>
                      </a:ext>
                    </a:extLst>
                  </pic:spPr>
                </pic:pic>
              </a:graphicData>
            </a:graphic>
          </wp:inline>
        </w:drawing>
      </w:r>
    </w:p>
    <w:p w14:paraId="5D301448" w14:textId="77777777" w:rsidR="00F55DB7" w:rsidRDefault="00F55DB7" w:rsidP="00F55DB7">
      <w:pPr>
        <w:spacing w:before="2280" w:line="276" w:lineRule="auto"/>
        <w:ind w:right="4065"/>
        <w:rPr>
          <w:sz w:val="16"/>
          <w:szCs w:val="16"/>
        </w:rPr>
      </w:pPr>
    </w:p>
    <w:p w14:paraId="2748F2F6" w14:textId="024BB3A8" w:rsidR="00F55DB7" w:rsidRDefault="00F55DB7" w:rsidP="00F55DB7">
      <w:pPr>
        <w:spacing w:before="2280" w:line="276" w:lineRule="auto"/>
        <w:ind w:right="4065"/>
        <w:rPr>
          <w:sz w:val="19"/>
          <w:szCs w:val="19"/>
        </w:rPr>
      </w:pPr>
      <w:r>
        <w:rPr>
          <w:sz w:val="16"/>
          <w:szCs w:val="16"/>
        </w:rPr>
        <w:t>I</w:t>
      </w:r>
      <w:r>
        <w:rPr>
          <w:sz w:val="19"/>
          <w:szCs w:val="19"/>
        </w:rPr>
        <w:t xml:space="preserve">mage: Sidney Nolan, </w:t>
      </w:r>
      <w:r w:rsidRPr="00F55DB7">
        <w:rPr>
          <w:i/>
          <w:sz w:val="19"/>
          <w:szCs w:val="19"/>
        </w:rPr>
        <w:t>Ned Kelly</w:t>
      </w:r>
      <w:r>
        <w:rPr>
          <w:sz w:val="19"/>
          <w:szCs w:val="19"/>
        </w:rPr>
        <w:t>, 1946, enamel paint on composition board, 90.8 x 121.5 cm, National Gallery of Australia, Canb</w:t>
      </w:r>
      <w:r w:rsidR="00AA7153">
        <w:rPr>
          <w:sz w:val="19"/>
          <w:szCs w:val="19"/>
        </w:rPr>
        <w:t>erra, Gift of Sunday Reed 1977.</w:t>
      </w:r>
    </w:p>
    <w:p w14:paraId="349D81D0" w14:textId="3F2C56CE" w:rsidR="00F55DB7" w:rsidRDefault="00F55DB7" w:rsidP="00F55DB7">
      <w:pPr>
        <w:spacing w:line="276" w:lineRule="auto"/>
        <w:ind w:right="4064"/>
        <w:rPr>
          <w:sz w:val="19"/>
          <w:szCs w:val="19"/>
        </w:rPr>
      </w:pPr>
      <w:r>
        <w:rPr>
          <w:sz w:val="19"/>
          <w:szCs w:val="19"/>
        </w:rPr>
        <w:t>ISBN: 978-1-925290-36-3</w:t>
      </w:r>
      <w:r w:rsidR="00AA7153">
        <w:rPr>
          <w:sz w:val="19"/>
          <w:szCs w:val="19"/>
        </w:rPr>
        <w:t>—</w:t>
      </w:r>
      <w:r>
        <w:rPr>
          <w:sz w:val="19"/>
          <w:szCs w:val="19"/>
        </w:rPr>
        <w:t>Print</w:t>
      </w:r>
    </w:p>
    <w:p w14:paraId="1989D61E" w14:textId="230B0510" w:rsidR="00F55DB7" w:rsidRDefault="00F55DB7" w:rsidP="00F55DB7">
      <w:pPr>
        <w:spacing w:line="276" w:lineRule="auto"/>
        <w:ind w:right="4064"/>
        <w:rPr>
          <w:sz w:val="19"/>
          <w:szCs w:val="19"/>
        </w:rPr>
      </w:pPr>
      <w:r>
        <w:rPr>
          <w:sz w:val="19"/>
          <w:szCs w:val="19"/>
        </w:rPr>
        <w:t>ISBN: 978-1-925290-37-0</w:t>
      </w:r>
      <w:r w:rsidR="00AA7153">
        <w:rPr>
          <w:sz w:val="19"/>
          <w:szCs w:val="19"/>
        </w:rPr>
        <w:t>—</w:t>
      </w:r>
      <w:r>
        <w:rPr>
          <w:sz w:val="19"/>
          <w:szCs w:val="19"/>
        </w:rPr>
        <w:t>Online</w:t>
      </w:r>
    </w:p>
    <w:p w14:paraId="57E7F04C" w14:textId="78CE03B0" w:rsidR="00F55DB7" w:rsidRDefault="00F55DB7" w:rsidP="00F55DB7">
      <w:pPr>
        <w:spacing w:line="276" w:lineRule="auto"/>
        <w:ind w:right="4064"/>
        <w:rPr>
          <w:sz w:val="19"/>
          <w:szCs w:val="19"/>
        </w:rPr>
      </w:pPr>
      <w:r>
        <w:rPr>
          <w:sz w:val="19"/>
          <w:szCs w:val="19"/>
        </w:rPr>
        <w:t>© Commonwealth of Australia 2015</w:t>
      </w:r>
    </w:p>
    <w:p w14:paraId="77FA84AC" w14:textId="12705EB7" w:rsidR="00F55DB7" w:rsidRDefault="00F55DB7" w:rsidP="00F55DB7">
      <w:pPr>
        <w:spacing w:line="276" w:lineRule="auto"/>
        <w:ind w:right="4064"/>
        <w:rPr>
          <w:sz w:val="19"/>
          <w:szCs w:val="19"/>
        </w:rPr>
      </w:pPr>
      <w:r>
        <w:rPr>
          <w:sz w:val="19"/>
          <w:szCs w:val="19"/>
        </w:rPr>
        <w:t>All material presented in this publication is provided under a Creative Commons Attribution 4.0 International licence (</w:t>
      </w:r>
      <w:hyperlink r:id="rId10" w:history="1">
        <w:r w:rsidR="001264C6" w:rsidRPr="00413AEC">
          <w:rPr>
            <w:rStyle w:val="Hyperlink"/>
            <w:sz w:val="19"/>
            <w:szCs w:val="19"/>
          </w:rPr>
          <w:t>www.creativecommons.org/licenses</w:t>
        </w:r>
      </w:hyperlink>
      <w:r w:rsidR="001264C6">
        <w:rPr>
          <w:sz w:val="19"/>
          <w:szCs w:val="19"/>
        </w:rPr>
        <w:t>)</w:t>
      </w:r>
      <w:r>
        <w:rPr>
          <w:sz w:val="19"/>
          <w:szCs w:val="19"/>
        </w:rPr>
        <w:t>.</w:t>
      </w:r>
    </w:p>
    <w:p w14:paraId="60C0BE5B" w14:textId="570F1D00" w:rsidR="00F55DB7" w:rsidRDefault="00F55DB7" w:rsidP="00F55DB7">
      <w:pPr>
        <w:spacing w:line="276" w:lineRule="auto"/>
        <w:ind w:right="4064"/>
        <w:rPr>
          <w:sz w:val="19"/>
          <w:szCs w:val="19"/>
        </w:rPr>
      </w:pPr>
      <w:r>
        <w:rPr>
          <w:sz w:val="19"/>
          <w:szCs w:val="19"/>
        </w:rPr>
        <w:t>For the avoidance of doubt, this means this licence only applies to materi</w:t>
      </w:r>
      <w:r w:rsidR="00AA7153">
        <w:rPr>
          <w:sz w:val="19"/>
          <w:szCs w:val="19"/>
        </w:rPr>
        <w:t>al as set out in this document.</w:t>
      </w:r>
    </w:p>
    <w:p w14:paraId="5D539D45" w14:textId="77777777" w:rsidR="00F55DB7" w:rsidRDefault="00F55DB7" w:rsidP="00F55DB7">
      <w:pPr>
        <w:spacing w:line="276" w:lineRule="auto"/>
        <w:ind w:right="4064"/>
        <w:rPr>
          <w:sz w:val="19"/>
          <w:szCs w:val="19"/>
        </w:rPr>
      </w:pPr>
      <w:r>
        <w:rPr>
          <w:noProof/>
          <w:sz w:val="19"/>
          <w:szCs w:val="19"/>
          <w:lang w:eastAsia="en-AU"/>
        </w:rPr>
        <w:drawing>
          <wp:inline distT="0" distB="0" distL="0" distR="0" wp14:anchorId="6817B83A" wp14:editId="7CE7B8BD">
            <wp:extent cx="1093470" cy="377825"/>
            <wp:effectExtent l="0" t="0" r="0" b="3175"/>
            <wp:docPr id="6" name="Picture 6" descr="Logo: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sif.royalsocietypublishing.org/sites/all/modules/highwire/highwire/images/cc-logo/by.pn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093470" cy="377825"/>
                    </a:xfrm>
                    <a:prstGeom prst="rect">
                      <a:avLst/>
                    </a:prstGeom>
                    <a:noFill/>
                    <a:ln>
                      <a:noFill/>
                    </a:ln>
                  </pic:spPr>
                </pic:pic>
              </a:graphicData>
            </a:graphic>
          </wp:inline>
        </w:drawing>
      </w:r>
    </w:p>
    <w:p w14:paraId="6BC555B4" w14:textId="7EBBF39C" w:rsidR="00F55DB7" w:rsidRDefault="00F55DB7" w:rsidP="00F55DB7">
      <w:pPr>
        <w:spacing w:line="276" w:lineRule="auto"/>
        <w:ind w:right="4064"/>
        <w:rPr>
          <w:sz w:val="19"/>
          <w:szCs w:val="19"/>
        </w:rPr>
      </w:pPr>
      <w:r>
        <w:rPr>
          <w:sz w:val="19"/>
          <w:szCs w:val="19"/>
        </w:rPr>
        <w:t>The details of the relevant licence conditions are available on the Creative Commons website as is the full legal code for the CC BY 4.0 licence (</w:t>
      </w:r>
      <w:hyperlink r:id="rId13" w:history="1">
        <w:r w:rsidRPr="00135AA4">
          <w:rPr>
            <w:rStyle w:val="Hyperlink"/>
            <w:sz w:val="19"/>
            <w:szCs w:val="19"/>
          </w:rPr>
          <w:t>www.creativecommons.org/licenses</w:t>
        </w:r>
      </w:hyperlink>
      <w:r w:rsidR="00AA7153">
        <w:rPr>
          <w:sz w:val="19"/>
          <w:szCs w:val="19"/>
        </w:rPr>
        <w:t>).</w:t>
      </w:r>
    </w:p>
    <w:p w14:paraId="0C75BAFA" w14:textId="6C1A2B17" w:rsidR="00F55DB7" w:rsidRDefault="00AA7153" w:rsidP="00F55DB7">
      <w:pPr>
        <w:spacing w:line="276" w:lineRule="auto"/>
        <w:ind w:right="4064"/>
        <w:rPr>
          <w:b/>
          <w:bCs/>
          <w:sz w:val="19"/>
          <w:szCs w:val="19"/>
        </w:rPr>
      </w:pPr>
      <w:r>
        <w:rPr>
          <w:b/>
          <w:bCs/>
          <w:sz w:val="19"/>
          <w:szCs w:val="19"/>
        </w:rPr>
        <w:t>Use of the Coat of Arms</w:t>
      </w:r>
    </w:p>
    <w:p w14:paraId="1B92C18B" w14:textId="10E482EC" w:rsidR="00F55DB7" w:rsidRDefault="00F55DB7" w:rsidP="00F55DB7">
      <w:pPr>
        <w:spacing w:line="276" w:lineRule="auto"/>
        <w:ind w:right="4064"/>
        <w:rPr>
          <w:rFonts w:asciiTheme="majorHAnsi" w:eastAsiaTheme="majorEastAsia" w:hAnsiTheme="majorHAnsi" w:cstheme="majorBidi"/>
          <w:b/>
          <w:bCs/>
          <w:noProof/>
          <w:color w:val="003958"/>
          <w:sz w:val="28"/>
          <w:szCs w:val="28"/>
          <w:lang w:eastAsia="en-AU"/>
        </w:rPr>
      </w:pPr>
      <w:r>
        <w:rPr>
          <w:sz w:val="19"/>
          <w:szCs w:val="19"/>
        </w:rPr>
        <w:t>The terms under which the Coat of Arms can be used are detailed on the It’s an Honour website (</w:t>
      </w:r>
      <w:hyperlink r:id="rId14" w:history="1">
        <w:r w:rsidR="001264C6" w:rsidRPr="00413AEC">
          <w:rPr>
            <w:rStyle w:val="Hyperlink"/>
            <w:sz w:val="19"/>
            <w:szCs w:val="19"/>
          </w:rPr>
          <w:t>www.itsanhonour.gov.au</w:t>
        </w:r>
      </w:hyperlink>
      <w:r w:rsidR="001264C6">
        <w:rPr>
          <w:sz w:val="19"/>
          <w:szCs w:val="19"/>
        </w:rPr>
        <w:t>)</w:t>
      </w:r>
      <w:r>
        <w:rPr>
          <w:sz w:val="19"/>
          <w:szCs w:val="19"/>
        </w:rPr>
        <w:t>.</w:t>
      </w:r>
    </w:p>
    <w:p w14:paraId="56CDC358" w14:textId="02DC0792" w:rsidR="003B4493" w:rsidRDefault="00B51AD0">
      <w:pPr>
        <w:spacing w:line="276" w:lineRule="auto"/>
        <w:rPr>
          <w:rFonts w:asciiTheme="majorHAnsi" w:eastAsiaTheme="majorEastAsia" w:hAnsiTheme="majorHAnsi" w:cstheme="majorBidi"/>
          <w:b/>
          <w:bCs/>
          <w:color w:val="003958"/>
          <w:sz w:val="28"/>
          <w:szCs w:val="28"/>
        </w:rPr>
      </w:pPr>
      <w:r w:rsidRPr="00B51AD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B4493">
        <w:rPr>
          <w:rFonts w:asciiTheme="majorHAnsi" w:eastAsiaTheme="majorEastAsia" w:hAnsiTheme="majorHAnsi" w:cstheme="majorBidi"/>
          <w:b/>
          <w:bCs/>
          <w:color w:val="003958"/>
          <w:sz w:val="28"/>
          <w:szCs w:val="28"/>
        </w:rPr>
        <w:br w:type="page"/>
      </w:r>
    </w:p>
    <w:p w14:paraId="294E7074" w14:textId="413CC9E3" w:rsidR="00BC31CE" w:rsidRPr="00ED1868" w:rsidRDefault="00B51AD0" w:rsidP="00ED1868">
      <w:pPr>
        <w:pStyle w:val="Title"/>
        <w:spacing w:before="480"/>
        <w:jc w:val="center"/>
        <w:rPr>
          <w:color w:val="198D98"/>
          <w:sz w:val="96"/>
          <w:szCs w:val="96"/>
        </w:rPr>
      </w:pPr>
      <w:r w:rsidRPr="00ED1868">
        <w:rPr>
          <w:color w:val="198D98"/>
          <w:sz w:val="96"/>
          <w:szCs w:val="96"/>
        </w:rPr>
        <w:lastRenderedPageBreak/>
        <w:t>Borders of Culture</w:t>
      </w:r>
    </w:p>
    <w:p w14:paraId="51BE4C70" w14:textId="51243D2E" w:rsidR="00BC31CE" w:rsidRPr="00ED1868" w:rsidRDefault="00BC31CE" w:rsidP="00BC31CE">
      <w:pPr>
        <w:jc w:val="center"/>
        <w:rPr>
          <w:rFonts w:asciiTheme="majorHAnsi" w:hAnsiTheme="majorHAnsi"/>
          <w:color w:val="198D98"/>
          <w:sz w:val="40"/>
          <w:szCs w:val="40"/>
        </w:rPr>
      </w:pPr>
      <w:bookmarkStart w:id="6" w:name="_Toc431303139"/>
      <w:r w:rsidRPr="00ED1868">
        <w:rPr>
          <w:rFonts w:asciiTheme="majorHAnsi" w:hAnsiTheme="majorHAnsi"/>
          <w:color w:val="198D98"/>
          <w:sz w:val="40"/>
          <w:szCs w:val="40"/>
        </w:rPr>
        <w:t>Review of the</w:t>
      </w:r>
    </w:p>
    <w:p w14:paraId="0C874845" w14:textId="77777777" w:rsidR="00BC31CE" w:rsidRPr="00ED1868" w:rsidRDefault="00BC31CE" w:rsidP="00BC31CE">
      <w:pPr>
        <w:jc w:val="center"/>
        <w:rPr>
          <w:rFonts w:asciiTheme="majorHAnsi" w:hAnsiTheme="majorHAnsi"/>
          <w:i/>
          <w:color w:val="198D98"/>
          <w:sz w:val="40"/>
          <w:szCs w:val="40"/>
        </w:rPr>
      </w:pPr>
      <w:r w:rsidRPr="00ED1868">
        <w:rPr>
          <w:rFonts w:asciiTheme="majorHAnsi" w:hAnsiTheme="majorHAnsi"/>
          <w:i/>
          <w:color w:val="198D98"/>
          <w:sz w:val="40"/>
          <w:szCs w:val="40"/>
        </w:rPr>
        <w:t>Protection of Movable Cultural Heritage Act 1986</w:t>
      </w:r>
    </w:p>
    <w:p w14:paraId="53DE016B" w14:textId="1BF8633F" w:rsidR="00B51AD0" w:rsidRPr="00ED1868" w:rsidRDefault="00BC31CE" w:rsidP="00672323">
      <w:pPr>
        <w:spacing w:before="3000" w:after="0"/>
        <w:jc w:val="center"/>
        <w:rPr>
          <w:rFonts w:asciiTheme="majorHAnsi" w:hAnsiTheme="majorHAnsi" w:cstheme="minorHAnsi"/>
          <w:color w:val="198D98"/>
          <w:sz w:val="48"/>
          <w:szCs w:val="48"/>
        </w:rPr>
      </w:pPr>
      <w:r w:rsidRPr="00ED1868">
        <w:rPr>
          <w:rFonts w:asciiTheme="majorHAnsi" w:hAnsiTheme="majorHAnsi" w:cstheme="minorHAnsi"/>
          <w:color w:val="198D98"/>
          <w:sz w:val="48"/>
          <w:szCs w:val="48"/>
        </w:rPr>
        <w:t>Final R</w:t>
      </w:r>
      <w:r w:rsidR="00B51AD0" w:rsidRPr="00ED1868">
        <w:rPr>
          <w:rFonts w:asciiTheme="majorHAnsi" w:hAnsiTheme="majorHAnsi" w:cstheme="minorHAnsi"/>
          <w:color w:val="198D98"/>
          <w:sz w:val="48"/>
          <w:szCs w:val="48"/>
        </w:rPr>
        <w:t>eport 2015</w:t>
      </w:r>
      <w:bookmarkEnd w:id="6"/>
    </w:p>
    <w:p w14:paraId="61A43EF3" w14:textId="750FD98C" w:rsidR="00BC31CE" w:rsidRPr="00ED1868" w:rsidRDefault="00B51AD0" w:rsidP="00BC31CE">
      <w:pPr>
        <w:spacing w:after="0"/>
        <w:jc w:val="center"/>
        <w:rPr>
          <w:rFonts w:asciiTheme="majorHAnsi" w:hAnsiTheme="majorHAnsi" w:cstheme="minorHAnsi"/>
          <w:color w:val="198D98"/>
          <w:sz w:val="48"/>
          <w:szCs w:val="48"/>
        </w:rPr>
      </w:pPr>
      <w:bookmarkStart w:id="7" w:name="_Toc431303140"/>
      <w:r w:rsidRPr="00ED1868">
        <w:rPr>
          <w:rFonts w:asciiTheme="majorHAnsi" w:hAnsiTheme="majorHAnsi" w:cstheme="minorHAnsi"/>
          <w:color w:val="198D98"/>
          <w:sz w:val="48"/>
          <w:szCs w:val="48"/>
        </w:rPr>
        <w:t>Shane Simpson</w:t>
      </w:r>
      <w:r w:rsidRPr="00ED1868">
        <w:rPr>
          <w:rFonts w:asciiTheme="majorHAnsi" w:hAnsiTheme="majorHAnsi" w:cstheme="minorHAnsi"/>
          <w:color w:val="198D98"/>
          <w:sz w:val="32"/>
          <w:szCs w:val="32"/>
        </w:rPr>
        <w:t xml:space="preserve"> AM</w:t>
      </w:r>
      <w:bookmarkEnd w:id="7"/>
    </w:p>
    <w:p w14:paraId="6C0E3384" w14:textId="77777777" w:rsidR="00673441" w:rsidRDefault="00673441">
      <w:pPr>
        <w:spacing w:line="276" w:lineRule="auto"/>
        <w:rPr>
          <w:rFonts w:asciiTheme="majorHAnsi" w:eastAsiaTheme="majorEastAsia" w:hAnsiTheme="majorHAnsi" w:cstheme="majorBidi"/>
          <w:b/>
          <w:bCs/>
          <w:color w:val="198D98"/>
          <w:sz w:val="28"/>
          <w:szCs w:val="28"/>
        </w:rPr>
      </w:pPr>
      <w:r>
        <w:br w:type="page"/>
      </w:r>
    </w:p>
    <w:p w14:paraId="52CCB988" w14:textId="62B24501" w:rsidR="001A20CD" w:rsidRDefault="001A20CD" w:rsidP="00332261">
      <w:pPr>
        <w:pStyle w:val="Heading1"/>
        <w:spacing w:after="720"/>
      </w:pPr>
      <w:bookmarkStart w:id="8" w:name="_Toc433906569"/>
      <w:r w:rsidRPr="00ED1868">
        <w:lastRenderedPageBreak/>
        <w:t>Letter of Transmittal</w:t>
      </w:r>
      <w:bookmarkEnd w:id="8"/>
    </w:p>
    <w:p w14:paraId="7447AE8E" w14:textId="77777777" w:rsidR="00673441" w:rsidRPr="003C4B67" w:rsidRDefault="00673441" w:rsidP="00673441">
      <w:pPr>
        <w:spacing w:after="0" w:line="240" w:lineRule="auto"/>
        <w:rPr>
          <w:rFonts w:asciiTheme="minorHAnsi" w:hAnsiTheme="minorHAnsi" w:cs="Arial"/>
        </w:rPr>
      </w:pPr>
      <w:r w:rsidRPr="003C4B67">
        <w:rPr>
          <w:rFonts w:asciiTheme="minorHAnsi" w:hAnsiTheme="minorHAnsi" w:cs="Arial"/>
        </w:rPr>
        <w:t>Senator the Hon Mitch Fifield</w:t>
      </w:r>
    </w:p>
    <w:p w14:paraId="7D007505" w14:textId="77777777" w:rsidR="00673441" w:rsidRPr="003C4B67" w:rsidRDefault="00673441" w:rsidP="00673441">
      <w:pPr>
        <w:spacing w:after="0" w:line="240" w:lineRule="auto"/>
        <w:rPr>
          <w:rFonts w:asciiTheme="minorHAnsi" w:hAnsiTheme="minorHAnsi" w:cs="Arial"/>
        </w:rPr>
      </w:pPr>
      <w:r w:rsidRPr="003C4B67">
        <w:rPr>
          <w:rFonts w:asciiTheme="minorHAnsi" w:hAnsiTheme="minorHAnsi" w:cs="Arial"/>
        </w:rPr>
        <w:t>Minister for the Arts</w:t>
      </w:r>
    </w:p>
    <w:p w14:paraId="15962F30" w14:textId="77777777" w:rsidR="00673441" w:rsidRPr="003C4B67" w:rsidRDefault="00673441" w:rsidP="00673441">
      <w:pPr>
        <w:spacing w:after="0" w:line="240" w:lineRule="auto"/>
        <w:rPr>
          <w:rFonts w:asciiTheme="minorHAnsi" w:hAnsiTheme="minorHAnsi" w:cs="Arial"/>
        </w:rPr>
      </w:pPr>
      <w:r w:rsidRPr="003C4B67">
        <w:rPr>
          <w:rFonts w:asciiTheme="minorHAnsi" w:hAnsiTheme="minorHAnsi" w:cs="Arial"/>
        </w:rPr>
        <w:t>Parliament House</w:t>
      </w:r>
    </w:p>
    <w:p w14:paraId="3D9D0D58" w14:textId="77777777" w:rsidR="00673441" w:rsidRPr="003C4B67" w:rsidRDefault="00673441" w:rsidP="00673441">
      <w:pPr>
        <w:spacing w:after="0" w:line="240" w:lineRule="auto"/>
        <w:rPr>
          <w:rFonts w:asciiTheme="minorHAnsi" w:hAnsiTheme="minorHAnsi" w:cs="Arial"/>
        </w:rPr>
      </w:pPr>
      <w:r w:rsidRPr="003C4B67">
        <w:rPr>
          <w:rFonts w:asciiTheme="minorHAnsi" w:hAnsiTheme="minorHAnsi" w:cs="Arial"/>
        </w:rPr>
        <w:t>CANBERRA ACT 2600</w:t>
      </w:r>
    </w:p>
    <w:p w14:paraId="4D15B8B1" w14:textId="77777777" w:rsidR="00673441" w:rsidRDefault="00673441" w:rsidP="00673441">
      <w:pPr>
        <w:pStyle w:val="Salutation"/>
        <w:spacing w:afterLines="60" w:after="144"/>
        <w:rPr>
          <w:rFonts w:asciiTheme="minorHAnsi" w:hAnsiTheme="minorHAnsi" w:cs="Arial"/>
        </w:rPr>
      </w:pPr>
      <w:r w:rsidRPr="003C4B67">
        <w:rPr>
          <w:rFonts w:asciiTheme="minorHAnsi" w:hAnsiTheme="minorHAnsi" w:cs="Arial"/>
        </w:rPr>
        <w:t>Dear Minister</w:t>
      </w:r>
    </w:p>
    <w:p w14:paraId="555B4254" w14:textId="77777777" w:rsidR="00673441" w:rsidRDefault="00673441" w:rsidP="00673441">
      <w:pPr>
        <w:spacing w:after="0"/>
        <w:rPr>
          <w:rFonts w:asciiTheme="minorHAnsi" w:eastAsia="Arial Unicode MS" w:hAnsiTheme="minorHAnsi" w:cs="Arial"/>
          <w:b/>
          <w:i/>
          <w:szCs w:val="24"/>
        </w:rPr>
      </w:pPr>
      <w:r w:rsidRPr="00665797">
        <w:rPr>
          <w:rFonts w:asciiTheme="minorHAnsi" w:eastAsia="Arial Unicode MS" w:hAnsiTheme="minorHAnsi" w:cs="Arial"/>
          <w:b/>
          <w:szCs w:val="24"/>
        </w:rPr>
        <w:t xml:space="preserve">Independent review of the </w:t>
      </w:r>
      <w:r w:rsidRPr="00665797">
        <w:rPr>
          <w:rFonts w:asciiTheme="minorHAnsi" w:eastAsia="Arial Unicode MS" w:hAnsiTheme="minorHAnsi" w:cs="Arial"/>
          <w:b/>
          <w:i/>
          <w:szCs w:val="24"/>
        </w:rPr>
        <w:t>Protection of Movable Cultural Heritage Act 1986</w:t>
      </w:r>
    </w:p>
    <w:p w14:paraId="290C7D2A" w14:textId="2FD5116F" w:rsidR="00673441" w:rsidRPr="003C4B67" w:rsidRDefault="00673441" w:rsidP="00A36D95">
      <w:pPr>
        <w:rPr>
          <w:rFonts w:asciiTheme="minorHAnsi" w:eastAsia="Arial Unicode MS" w:hAnsiTheme="minorHAnsi" w:cs="Arial"/>
          <w:szCs w:val="24"/>
        </w:rPr>
      </w:pPr>
      <w:r w:rsidRPr="003C4B67">
        <w:rPr>
          <w:rFonts w:asciiTheme="minorHAnsi" w:eastAsia="Arial Unicode MS" w:hAnsiTheme="minorHAnsi" w:cs="Arial"/>
          <w:szCs w:val="24"/>
        </w:rPr>
        <w:t xml:space="preserve">I am very pleased to present to you </w:t>
      </w:r>
      <w:r>
        <w:rPr>
          <w:rFonts w:asciiTheme="minorHAnsi" w:eastAsia="Arial Unicode MS" w:hAnsiTheme="minorHAnsi" w:cs="Arial"/>
          <w:szCs w:val="24"/>
        </w:rPr>
        <w:t xml:space="preserve">the </w:t>
      </w:r>
      <w:r w:rsidRPr="00A36D95">
        <w:rPr>
          <w:rFonts w:asciiTheme="minorHAnsi" w:eastAsia="Arial Unicode MS" w:hAnsiTheme="minorHAnsi" w:cs="Arial"/>
          <w:szCs w:val="24"/>
        </w:rPr>
        <w:t>Borders of Culture</w:t>
      </w:r>
      <w:r w:rsidR="00801A32">
        <w:rPr>
          <w:rFonts w:asciiTheme="minorHAnsi" w:eastAsia="Arial Unicode MS" w:hAnsiTheme="minorHAnsi" w:cs="Arial"/>
          <w:szCs w:val="24"/>
        </w:rPr>
        <w:t>—</w:t>
      </w:r>
      <w:r w:rsidRPr="00A36D95">
        <w:rPr>
          <w:rFonts w:asciiTheme="minorHAnsi" w:eastAsia="Arial Unicode MS" w:hAnsiTheme="minorHAnsi" w:cs="Arial"/>
          <w:szCs w:val="24"/>
        </w:rPr>
        <w:t xml:space="preserve">Review of the Protection of </w:t>
      </w:r>
      <w:r w:rsidRPr="007F3104">
        <w:rPr>
          <w:rFonts w:asciiTheme="minorHAnsi" w:eastAsia="Arial Unicode MS" w:hAnsiTheme="minorHAnsi" w:cs="Arial"/>
          <w:i/>
          <w:szCs w:val="24"/>
        </w:rPr>
        <w:t>Movable Cultural Heritage Act 1986</w:t>
      </w:r>
      <w:r w:rsidRPr="003C4B67">
        <w:rPr>
          <w:rFonts w:asciiTheme="minorHAnsi" w:eastAsia="Arial Unicode MS" w:hAnsiTheme="minorHAnsi" w:cs="Arial"/>
          <w:szCs w:val="24"/>
        </w:rPr>
        <w:t>.</w:t>
      </w:r>
    </w:p>
    <w:p w14:paraId="5F2A7645" w14:textId="77777777" w:rsidR="00673441" w:rsidRPr="003C4B67" w:rsidRDefault="00673441" w:rsidP="00A36D95">
      <w:pPr>
        <w:rPr>
          <w:rFonts w:asciiTheme="minorHAnsi" w:eastAsia="Arial Unicode MS" w:hAnsiTheme="minorHAnsi" w:cs="Arial"/>
          <w:szCs w:val="24"/>
        </w:rPr>
      </w:pPr>
      <w:r w:rsidRPr="003C4B67">
        <w:rPr>
          <w:rFonts w:asciiTheme="minorHAnsi" w:eastAsia="Arial Unicode MS" w:hAnsiTheme="minorHAnsi" w:cs="Arial"/>
          <w:szCs w:val="24"/>
        </w:rPr>
        <w:t>The Australian Government commissioned me to undertake this review in December 2014. As outlined in the introduction, I have taken into account the findings of previous reviews and completed a comprehensive consultation process. This approach was necessary to address both the breadth of my terms of reference as well as to deal intelligently with the extraordinary range of materials regulated by the Act.</w:t>
      </w:r>
    </w:p>
    <w:p w14:paraId="7B080FE0" w14:textId="1A3D218E" w:rsidR="00673441" w:rsidRPr="003C4B67" w:rsidRDefault="00673441" w:rsidP="00A36D95">
      <w:pPr>
        <w:rPr>
          <w:rFonts w:asciiTheme="minorHAnsi" w:eastAsia="Arial Unicode MS" w:hAnsiTheme="minorHAnsi" w:cs="Arial"/>
          <w:szCs w:val="24"/>
        </w:rPr>
      </w:pPr>
      <w:r w:rsidRPr="003C4B67">
        <w:rPr>
          <w:rFonts w:asciiTheme="minorHAnsi" w:eastAsia="Arial Unicode MS" w:hAnsiTheme="minorHAnsi" w:cs="Arial"/>
          <w:szCs w:val="24"/>
        </w:rPr>
        <w:t>The challenge of the review was to provide a new model for a legislative framework that would be balanced and nuanced.</w:t>
      </w:r>
      <w:r w:rsidR="00801A32">
        <w:rPr>
          <w:rFonts w:asciiTheme="minorHAnsi" w:eastAsia="Arial Unicode MS" w:hAnsiTheme="minorHAnsi" w:cs="Arial"/>
          <w:szCs w:val="24"/>
        </w:rPr>
        <w:t xml:space="preserve"> </w:t>
      </w:r>
      <w:r w:rsidRPr="003C4B67">
        <w:rPr>
          <w:rFonts w:asciiTheme="minorHAnsi" w:eastAsia="Arial Unicode MS" w:hAnsiTheme="minorHAnsi" w:cs="Arial"/>
          <w:szCs w:val="24"/>
        </w:rPr>
        <w:t>Private owners of culturally significant material have a right to enjoy the financial value of their personal property and their agents, dealers and auction houses have a corresponding financial interest in being able to sell to the highest bidder, irrespective of borders. On the other hand, the Australian community has a public interest in maintaining items of select, important cultural material within the borders so that the Australian story can be told a</w:t>
      </w:r>
      <w:r w:rsidR="00AA7153">
        <w:rPr>
          <w:rFonts w:asciiTheme="minorHAnsi" w:eastAsia="Arial Unicode MS" w:hAnsiTheme="minorHAnsi" w:cs="Arial"/>
          <w:szCs w:val="24"/>
        </w:rPr>
        <w:t>t home.</w:t>
      </w:r>
    </w:p>
    <w:p w14:paraId="3358E4A0" w14:textId="33055A1F" w:rsidR="00673441" w:rsidRPr="00A36D95" w:rsidRDefault="00673441" w:rsidP="00673441">
      <w:pPr>
        <w:rPr>
          <w:rFonts w:asciiTheme="minorHAnsi" w:eastAsia="Arial Unicode MS" w:hAnsiTheme="minorHAnsi" w:cs="Arial"/>
          <w:szCs w:val="24"/>
        </w:rPr>
      </w:pPr>
      <w:r w:rsidRPr="003C4B67">
        <w:rPr>
          <w:rFonts w:asciiTheme="minorHAnsi" w:eastAsia="Arial Unicode MS" w:hAnsiTheme="minorHAnsi" w:cs="Arial"/>
          <w:szCs w:val="24"/>
        </w:rPr>
        <w:t>The gentle irony of the report’s title is intended. Advances in technology, systems and markets mean that the trade in cultural property i</w:t>
      </w:r>
      <w:r>
        <w:rPr>
          <w:rFonts w:asciiTheme="minorHAnsi" w:eastAsia="Arial Unicode MS" w:hAnsiTheme="minorHAnsi" w:cs="Arial"/>
          <w:szCs w:val="24"/>
        </w:rPr>
        <w:t>s truly global. The use of the i</w:t>
      </w:r>
      <w:r w:rsidRPr="003C4B67">
        <w:rPr>
          <w:rFonts w:asciiTheme="minorHAnsi" w:eastAsia="Arial Unicode MS" w:hAnsiTheme="minorHAnsi" w:cs="Arial"/>
          <w:szCs w:val="24"/>
        </w:rPr>
        <w:t>nternet to market and sell cultural property</w:t>
      </w:r>
      <w:r>
        <w:rPr>
          <w:rFonts w:asciiTheme="minorHAnsi" w:eastAsia="Arial Unicode MS" w:hAnsiTheme="minorHAnsi" w:cs="Arial"/>
          <w:szCs w:val="24"/>
        </w:rPr>
        <w:t>,</w:t>
      </w:r>
      <w:r w:rsidRPr="003C4B67">
        <w:rPr>
          <w:rFonts w:asciiTheme="minorHAnsi" w:eastAsia="Arial Unicode MS" w:hAnsiTheme="minorHAnsi" w:cs="Arial"/>
          <w:szCs w:val="24"/>
        </w:rPr>
        <w:t xml:space="preserve"> together with modern delivery mechanisms</w:t>
      </w:r>
      <w:r>
        <w:rPr>
          <w:rFonts w:asciiTheme="minorHAnsi" w:eastAsia="Arial Unicode MS" w:hAnsiTheme="minorHAnsi" w:cs="Arial"/>
          <w:szCs w:val="24"/>
        </w:rPr>
        <w:t>,</w:t>
      </w:r>
      <w:r w:rsidRPr="003C4B67">
        <w:rPr>
          <w:rFonts w:asciiTheme="minorHAnsi" w:eastAsia="Arial Unicode MS" w:hAnsiTheme="minorHAnsi" w:cs="Arial"/>
          <w:szCs w:val="24"/>
        </w:rPr>
        <w:t xml:space="preserve"> mean that international purchases are now made in minutes and delivery rates are measured in hours. The ability of law enforcement to truly control the borders is more limited than it has ever been.</w:t>
      </w:r>
    </w:p>
    <w:p w14:paraId="394EE234" w14:textId="23E8BF73" w:rsidR="00673441" w:rsidRDefault="00673441" w:rsidP="00A36D95">
      <w:pPr>
        <w:rPr>
          <w:rFonts w:asciiTheme="minorHAnsi" w:eastAsia="Arial Unicode MS" w:hAnsiTheme="minorHAnsi" w:cs="Arial"/>
          <w:szCs w:val="24"/>
        </w:rPr>
      </w:pPr>
      <w:r w:rsidRPr="003C4B67">
        <w:rPr>
          <w:rFonts w:asciiTheme="minorHAnsi" w:eastAsia="Arial Unicode MS" w:hAnsiTheme="minorHAnsi" w:cs="Arial"/>
          <w:szCs w:val="24"/>
        </w:rPr>
        <w:t xml:space="preserve">Implementation of previous reviews has been limited or not progressed at all and now, what was appropriate a quarter </w:t>
      </w:r>
      <w:r w:rsidR="00AA7153">
        <w:rPr>
          <w:rFonts w:asciiTheme="minorHAnsi" w:eastAsia="Arial Unicode MS" w:hAnsiTheme="minorHAnsi" w:cs="Arial"/>
          <w:szCs w:val="24"/>
        </w:rPr>
        <w:t>of a century ago, is no longer.</w:t>
      </w:r>
    </w:p>
    <w:p w14:paraId="245CF283" w14:textId="77777777" w:rsidR="00AA7153" w:rsidRDefault="00673441" w:rsidP="00A36D95">
      <w:pPr>
        <w:rPr>
          <w:rFonts w:asciiTheme="minorHAnsi" w:eastAsia="Arial Unicode MS" w:hAnsiTheme="minorHAnsi" w:cs="Arial"/>
          <w:szCs w:val="24"/>
        </w:rPr>
      </w:pPr>
      <w:r w:rsidRPr="003C4B67">
        <w:rPr>
          <w:rFonts w:asciiTheme="minorHAnsi" w:eastAsia="Arial Unicode MS" w:hAnsiTheme="minorHAnsi" w:cs="Arial"/>
          <w:szCs w:val="24"/>
        </w:rPr>
        <w:lastRenderedPageBreak/>
        <w:t>I was asked at the outset whether the Act should be modified or completely rethought. I believed then and I am certain now, that only the latter approach will be effective. To this end, I have decided not to present a smorgasbord of recommendations for individual consideration and action by Government. Rather, I present a new and single model for regulating cultural m</w:t>
      </w:r>
      <w:r>
        <w:rPr>
          <w:rFonts w:asciiTheme="minorHAnsi" w:eastAsia="Arial Unicode MS" w:hAnsiTheme="minorHAnsi" w:cs="Arial"/>
          <w:szCs w:val="24"/>
        </w:rPr>
        <w:t>aterial coming into and leaving</w:t>
      </w:r>
      <w:r w:rsidRPr="003C4B67">
        <w:rPr>
          <w:rFonts w:asciiTheme="minorHAnsi" w:eastAsia="Arial Unicode MS" w:hAnsiTheme="minorHAnsi" w:cs="Arial"/>
          <w:szCs w:val="24"/>
        </w:rPr>
        <w:t xml:space="preserve"> Australia.</w:t>
      </w:r>
    </w:p>
    <w:p w14:paraId="5C8A74F0" w14:textId="506885A0" w:rsidR="00673441" w:rsidRPr="003C4B67" w:rsidRDefault="00673441" w:rsidP="00A36D95">
      <w:pPr>
        <w:rPr>
          <w:rFonts w:asciiTheme="minorHAnsi" w:eastAsia="Arial Unicode MS" w:hAnsiTheme="minorHAnsi" w:cs="Arial"/>
          <w:szCs w:val="24"/>
        </w:rPr>
      </w:pPr>
      <w:r w:rsidRPr="003C4B67">
        <w:rPr>
          <w:rFonts w:asciiTheme="minorHAnsi" w:eastAsia="Arial Unicode MS" w:hAnsiTheme="minorHAnsi" w:cs="Arial"/>
          <w:szCs w:val="24"/>
        </w:rPr>
        <w:t>In the contemporary context, a new and streamlined approach is needed: one that provides a devolved decision-making process that will allow decisions to be made more quickly, cheaply, transparently, and certainly</w:t>
      </w:r>
      <w:r w:rsidR="00AA7153">
        <w:rPr>
          <w:rFonts w:asciiTheme="minorHAnsi" w:eastAsia="Arial Unicode MS" w:hAnsiTheme="minorHAnsi" w:cs="Arial"/>
          <w:szCs w:val="24"/>
        </w:rPr>
        <w:t>—</w:t>
      </w:r>
      <w:r w:rsidRPr="003C4B67">
        <w:rPr>
          <w:rFonts w:asciiTheme="minorHAnsi" w:eastAsia="Arial Unicode MS" w:hAnsiTheme="minorHAnsi" w:cs="Arial"/>
          <w:szCs w:val="24"/>
        </w:rPr>
        <w:t>while more effectively protecting Australia</w:t>
      </w:r>
      <w:r w:rsidRPr="00A36D95">
        <w:rPr>
          <w:rFonts w:asciiTheme="minorHAnsi" w:eastAsia="Arial Unicode MS" w:hAnsiTheme="minorHAnsi" w:cs="Arial"/>
          <w:szCs w:val="24"/>
        </w:rPr>
        <w:t>’</w:t>
      </w:r>
      <w:r w:rsidRPr="003C4B67">
        <w:rPr>
          <w:rFonts w:asciiTheme="minorHAnsi" w:eastAsia="Arial Unicode MS" w:hAnsiTheme="minorHAnsi" w:cs="Arial"/>
          <w:szCs w:val="24"/>
        </w:rPr>
        <w:t>s most significant material. It is not an easy balance.</w:t>
      </w:r>
    </w:p>
    <w:p w14:paraId="46B5135F" w14:textId="77777777" w:rsidR="00673441" w:rsidRPr="003C4B67" w:rsidRDefault="00673441" w:rsidP="00A36D95">
      <w:pPr>
        <w:rPr>
          <w:rFonts w:asciiTheme="minorHAnsi" w:eastAsia="Arial Unicode MS" w:hAnsiTheme="minorHAnsi" w:cs="Arial"/>
          <w:szCs w:val="24"/>
        </w:rPr>
      </w:pPr>
      <w:r w:rsidRPr="003C4B67">
        <w:rPr>
          <w:rFonts w:asciiTheme="minorHAnsi" w:eastAsia="Arial Unicode MS" w:hAnsiTheme="minorHAnsi" w:cs="Arial"/>
          <w:szCs w:val="24"/>
        </w:rPr>
        <w:t xml:space="preserve">In relation to the importation of foreign cultural material, the model ensures the continued ability to fulfil our obligations under the UNESCO </w:t>
      </w:r>
      <w:r w:rsidRPr="001C66D7">
        <w:rPr>
          <w:rFonts w:asciiTheme="minorHAnsi" w:eastAsia="Arial Unicode MS" w:hAnsiTheme="minorHAnsi" w:cs="Arial"/>
          <w:i/>
          <w:szCs w:val="24"/>
        </w:rPr>
        <w:t>Convention on the Means of Prohibiting and Preventing the Illicit Import, Export and Transfer of Ownership of Cultural Property</w:t>
      </w:r>
      <w:r w:rsidRPr="00A36D95">
        <w:rPr>
          <w:rFonts w:asciiTheme="minorHAnsi" w:eastAsia="Arial Unicode MS" w:hAnsiTheme="minorHAnsi" w:cs="Arial"/>
          <w:szCs w:val="24"/>
        </w:rPr>
        <w:t xml:space="preserve"> </w:t>
      </w:r>
      <w:r w:rsidRPr="003C4B67">
        <w:rPr>
          <w:rFonts w:asciiTheme="minorHAnsi" w:eastAsia="Arial Unicode MS" w:hAnsiTheme="minorHAnsi" w:cs="Arial"/>
          <w:szCs w:val="24"/>
        </w:rPr>
        <w:t>1970 through a transparent and balanced process. The model also affords the opportunity to strengthen Australia’s commitment to protect foreign cultural material that has been stolen or looted</w:t>
      </w:r>
      <w:r>
        <w:rPr>
          <w:rFonts w:asciiTheme="minorHAnsi" w:eastAsia="Arial Unicode MS" w:hAnsiTheme="minorHAnsi" w:cs="Arial"/>
          <w:szCs w:val="24"/>
        </w:rPr>
        <w:t>.</w:t>
      </w:r>
    </w:p>
    <w:p w14:paraId="2BB50AD7" w14:textId="77777777" w:rsidR="00673441" w:rsidRPr="003C4B67" w:rsidRDefault="00673441" w:rsidP="00A36D95">
      <w:pPr>
        <w:rPr>
          <w:rFonts w:asciiTheme="minorHAnsi" w:eastAsia="Arial Unicode MS" w:hAnsiTheme="minorHAnsi" w:cs="Arial"/>
          <w:szCs w:val="24"/>
        </w:rPr>
      </w:pPr>
      <w:r w:rsidRPr="003C4B67">
        <w:rPr>
          <w:rFonts w:asciiTheme="minorHAnsi" w:eastAsia="Arial Unicode MS" w:hAnsiTheme="minorHAnsi" w:cs="Arial"/>
          <w:szCs w:val="24"/>
        </w:rPr>
        <w:t xml:space="preserve">It has been my privilege, through this review, to </w:t>
      </w:r>
      <w:r>
        <w:rPr>
          <w:rFonts w:asciiTheme="minorHAnsi" w:eastAsia="Arial Unicode MS" w:hAnsiTheme="minorHAnsi" w:cs="Arial"/>
          <w:szCs w:val="24"/>
        </w:rPr>
        <w:t>consult with</w:t>
      </w:r>
      <w:r w:rsidRPr="003C4B67">
        <w:rPr>
          <w:rFonts w:asciiTheme="minorHAnsi" w:eastAsia="Arial Unicode MS" w:hAnsiTheme="minorHAnsi" w:cs="Arial"/>
          <w:szCs w:val="24"/>
        </w:rPr>
        <w:t xml:space="preserve"> many individuals and stakeholder groups. Their views are wide ranging and, in their divergence, reflect the complexity of the issues. I would like to express my sincerest thanks to all those who gave their time and thoughtful consideration in discussions with me. This generous engagement influenced the final form of the model and made it both more practicable and more robust.</w:t>
      </w:r>
    </w:p>
    <w:p w14:paraId="5B6DA016" w14:textId="77777777" w:rsidR="00673441" w:rsidRPr="003C4B67" w:rsidRDefault="00673441" w:rsidP="00A36D95">
      <w:pPr>
        <w:rPr>
          <w:rFonts w:asciiTheme="minorHAnsi" w:eastAsia="Arial Unicode MS" w:hAnsiTheme="minorHAnsi" w:cs="Arial"/>
          <w:szCs w:val="24"/>
        </w:rPr>
      </w:pPr>
      <w:r w:rsidRPr="003C4B67">
        <w:rPr>
          <w:rFonts w:asciiTheme="minorHAnsi" w:eastAsia="Arial Unicode MS" w:hAnsiTheme="minorHAnsi" w:cs="Arial"/>
          <w:szCs w:val="24"/>
        </w:rPr>
        <w:t>I commend my report to you and look forward to the Government’s response.</w:t>
      </w:r>
    </w:p>
    <w:p w14:paraId="17A35EDC" w14:textId="77777777" w:rsidR="00673441" w:rsidRPr="003C4B67" w:rsidRDefault="00673441" w:rsidP="00A36D95">
      <w:pPr>
        <w:rPr>
          <w:rFonts w:asciiTheme="minorHAnsi" w:eastAsia="Arial Unicode MS" w:hAnsiTheme="minorHAnsi" w:cs="Arial"/>
          <w:szCs w:val="24"/>
        </w:rPr>
      </w:pPr>
      <w:r w:rsidRPr="003C4B67">
        <w:rPr>
          <w:rFonts w:asciiTheme="minorHAnsi" w:eastAsia="Arial Unicode MS" w:hAnsiTheme="minorHAnsi" w:cs="Arial"/>
          <w:szCs w:val="24"/>
        </w:rPr>
        <w:t>Yours sincerely</w:t>
      </w:r>
    </w:p>
    <w:p w14:paraId="717AE2DA" w14:textId="77777777" w:rsidR="00673441" w:rsidRDefault="00673441" w:rsidP="00673441">
      <w:pPr>
        <w:spacing w:line="276" w:lineRule="auto"/>
        <w:rPr>
          <w:rFonts w:asciiTheme="minorHAnsi" w:eastAsia="Arial Unicode MS" w:hAnsiTheme="minorHAnsi" w:cs="Arial"/>
          <w:szCs w:val="24"/>
        </w:rPr>
      </w:pPr>
      <w:r>
        <w:rPr>
          <w:rFonts w:asciiTheme="minorHAnsi" w:eastAsia="Arial Unicode MS" w:hAnsiTheme="minorHAnsi" w:cs="Arial"/>
          <w:noProof/>
          <w:szCs w:val="24"/>
          <w:lang w:eastAsia="en-AU"/>
        </w:rPr>
        <w:drawing>
          <wp:inline distT="0" distB="0" distL="0" distR="0" wp14:anchorId="60B4E1B5" wp14:editId="3384C591">
            <wp:extent cx="2179955" cy="1023620"/>
            <wp:effectExtent l="0" t="0" r="0" b="5080"/>
            <wp:docPr id="8" name="Picture 8" descr="Handwritten signature of Shane Simpson" title="Signature of Shane Simpson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ane:Documents:1. SHANE'S AFFAIRS:Shane :Shane Signat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0500" cy="1023876"/>
                    </a:xfrm>
                    <a:prstGeom prst="rect">
                      <a:avLst/>
                    </a:prstGeom>
                    <a:noFill/>
                    <a:ln>
                      <a:noFill/>
                    </a:ln>
                  </pic:spPr>
                </pic:pic>
              </a:graphicData>
            </a:graphic>
          </wp:inline>
        </w:drawing>
      </w:r>
    </w:p>
    <w:p w14:paraId="125DC999" w14:textId="77777777" w:rsidR="00673441" w:rsidRDefault="00673441" w:rsidP="00673441">
      <w:pPr>
        <w:spacing w:line="276" w:lineRule="auto"/>
        <w:rPr>
          <w:rFonts w:asciiTheme="minorHAnsi" w:eastAsia="Arial Unicode MS" w:hAnsiTheme="minorHAnsi" w:cs="Arial"/>
          <w:szCs w:val="24"/>
        </w:rPr>
      </w:pPr>
      <w:r w:rsidRPr="003C4B67">
        <w:rPr>
          <w:rFonts w:asciiTheme="minorHAnsi" w:eastAsia="Arial Unicode MS" w:hAnsiTheme="minorHAnsi" w:cs="Arial"/>
          <w:szCs w:val="24"/>
        </w:rPr>
        <w:t>Shane Simpson AM</w:t>
      </w:r>
    </w:p>
    <w:p w14:paraId="14D1A9E2" w14:textId="77777777" w:rsidR="00292161" w:rsidRDefault="00673441">
      <w:pPr>
        <w:spacing w:line="276" w:lineRule="auto"/>
        <w:rPr>
          <w:rFonts w:asciiTheme="minorHAnsi" w:eastAsia="Arial Unicode MS" w:hAnsiTheme="minorHAnsi" w:cs="Arial"/>
          <w:szCs w:val="24"/>
        </w:rPr>
        <w:sectPr w:rsidR="00292161" w:rsidSect="00672323">
          <w:type w:val="continuous"/>
          <w:pgSz w:w="11906" w:h="16838" w:code="9"/>
          <w:pgMar w:top="1440" w:right="1440" w:bottom="1440" w:left="1440" w:header="709" w:footer="709" w:gutter="0"/>
          <w:cols w:space="708"/>
          <w:vAlign w:val="center"/>
          <w:docGrid w:linePitch="360"/>
        </w:sectPr>
      </w:pPr>
      <w:r>
        <w:rPr>
          <w:rFonts w:asciiTheme="minorHAnsi" w:eastAsia="Arial Unicode MS" w:hAnsiTheme="minorHAnsi" w:cs="Arial"/>
          <w:szCs w:val="24"/>
        </w:rPr>
        <w:t>30</w:t>
      </w:r>
      <w:r w:rsidRPr="00D928AE">
        <w:rPr>
          <w:rFonts w:asciiTheme="minorHAnsi" w:eastAsia="Arial Unicode MS" w:hAnsiTheme="minorHAnsi" w:cs="Arial"/>
          <w:szCs w:val="24"/>
          <w:vertAlign w:val="superscript"/>
        </w:rPr>
        <w:t>th</w:t>
      </w:r>
      <w:r>
        <w:rPr>
          <w:rFonts w:asciiTheme="minorHAnsi" w:eastAsia="Arial Unicode MS" w:hAnsiTheme="minorHAnsi" w:cs="Arial"/>
          <w:szCs w:val="24"/>
        </w:rPr>
        <w:t xml:space="preserve"> September 2015</w:t>
      </w:r>
    </w:p>
    <w:p w14:paraId="2B2BB378" w14:textId="29761691" w:rsidR="001A20CD" w:rsidRPr="001C21DC" w:rsidRDefault="001A20CD" w:rsidP="00ED1868">
      <w:pPr>
        <w:pStyle w:val="TOCHeading"/>
        <w:rPr>
          <w:lang w:val="en-AU" w:eastAsia="en-US"/>
        </w:rPr>
      </w:pPr>
      <w:r w:rsidRPr="001C21DC">
        <w:rPr>
          <w:lang w:val="en-AU" w:eastAsia="en-US"/>
        </w:rPr>
        <w:lastRenderedPageBreak/>
        <w:t>Acknowledgements</w:t>
      </w:r>
    </w:p>
    <w:p w14:paraId="4690CA00" w14:textId="77777777" w:rsidR="001A20CD" w:rsidRPr="00F23083" w:rsidRDefault="001A20CD" w:rsidP="001A20CD"/>
    <w:p w14:paraId="7D74B0CF" w14:textId="77777777" w:rsidR="00AA7153" w:rsidRDefault="001A20CD" w:rsidP="000A0230">
      <w:r>
        <w:t>I would like to thank everyone who contributed to the Review.</w:t>
      </w:r>
    </w:p>
    <w:p w14:paraId="777D9826" w14:textId="77777777" w:rsidR="00AA7153" w:rsidRDefault="001A20CD" w:rsidP="000A0230">
      <w:r>
        <w:t>Those who made submissions to this and the 2009 Review and those who participated in the extensive consultation process were generous in the way that they shared their knowledge, experience and passions.</w:t>
      </w:r>
    </w:p>
    <w:p w14:paraId="26D3B193" w14:textId="77777777" w:rsidR="00AA7153" w:rsidRDefault="001A20CD" w:rsidP="000A0230">
      <w:pPr>
        <w:rPr>
          <w:b/>
          <w:bCs/>
        </w:rPr>
      </w:pPr>
      <w:r>
        <w:t xml:space="preserve">I would like to acknowledge the extensive assistance given me by the staff of the Ministry of the Arts, the Attorney General’s Department and several other government departments. In particular, Kim </w:t>
      </w:r>
      <w:proofErr w:type="spellStart"/>
      <w:r>
        <w:t>Brunoro</w:t>
      </w:r>
      <w:proofErr w:type="spellEnd"/>
      <w:r>
        <w:t>, the Director and Erin Cassie, the Assistant Director of the Review’s secretariat made an enormous contribution to the authorship of the Review. I am grateful not only for their intellectual and organisational contribution, but for the spirit in which they worked.</w:t>
      </w:r>
    </w:p>
    <w:p w14:paraId="2B50790B" w14:textId="2842D435" w:rsidR="008E696C" w:rsidRDefault="008E696C" w:rsidP="00AA7153">
      <w:pPr>
        <w:rPr>
          <w:rStyle w:val="Heading1Char"/>
        </w:rPr>
      </w:pPr>
      <w:bookmarkStart w:id="9" w:name="_Toc423334315"/>
      <w:r>
        <w:rPr>
          <w:rStyle w:val="Heading1Char"/>
        </w:rPr>
        <w:br w:type="page"/>
      </w:r>
    </w:p>
    <w:p w14:paraId="01E2AFF8" w14:textId="4D78B8A5" w:rsidR="008E696C" w:rsidRPr="00BD6F8B" w:rsidRDefault="008E696C" w:rsidP="008E696C">
      <w:pPr>
        <w:pStyle w:val="ListParagraph"/>
        <w:ind w:left="0"/>
        <w:rPr>
          <w:rFonts w:cs="Arial"/>
          <w:i/>
          <w:szCs w:val="24"/>
        </w:rPr>
      </w:pPr>
      <w:bookmarkStart w:id="10" w:name="_Toc431303141"/>
      <w:bookmarkStart w:id="11" w:name="_Toc431307789"/>
      <w:bookmarkStart w:id="12" w:name="_Toc433906570"/>
      <w:r w:rsidRPr="00931F2B">
        <w:rPr>
          <w:rStyle w:val="Heading1Char"/>
        </w:rPr>
        <w:lastRenderedPageBreak/>
        <w:t>Terms of Reference</w:t>
      </w:r>
      <w:bookmarkEnd w:id="9"/>
      <w:bookmarkEnd w:id="10"/>
      <w:bookmarkEnd w:id="11"/>
      <w:bookmarkEnd w:id="12"/>
    </w:p>
    <w:p w14:paraId="748FE5CB" w14:textId="77777777" w:rsidR="00AA7153" w:rsidRDefault="008E696C" w:rsidP="000A0230">
      <w:r w:rsidRPr="000A0230">
        <w:t xml:space="preserve">The </w:t>
      </w:r>
      <w:r w:rsidRPr="007F3104">
        <w:rPr>
          <w:i/>
        </w:rPr>
        <w:t>Protection of Movable Cultural Heritage Act 1986</w:t>
      </w:r>
      <w:r w:rsidRPr="000A0230">
        <w:t xml:space="preserve"> protects Australia’s movable cultural heritage and provides for the return of foreign cultural property which has been illegally exported from its country of origin and imported into Australia. It gives effect to Australia’s agreement to the UNESCO </w:t>
      </w:r>
      <w:r w:rsidRPr="001C66D7">
        <w:rPr>
          <w:i/>
        </w:rPr>
        <w:t>Convention on the Means of Prohibiting and Preventing the Illicit Import, Export and Transfer of Ownership of Cultural Property</w:t>
      </w:r>
      <w:r w:rsidRPr="000A0230">
        <w:t xml:space="preserve"> 1970. The </w:t>
      </w:r>
      <w:r w:rsidRPr="001C66D7">
        <w:rPr>
          <w:i/>
        </w:rPr>
        <w:t>Protection of Movable Cultural Heritage Act 1986</w:t>
      </w:r>
      <w:r w:rsidRPr="000A0230">
        <w:t xml:space="preserve"> has not been significantly amended since its enactment, and the scope of the proposed Review is therefore intentionally broad. It will consider the existing framework for the protection of movable cultural heritage material in Australia, as set out in the </w:t>
      </w:r>
      <w:r w:rsidRPr="007F3104">
        <w:rPr>
          <w:i/>
        </w:rPr>
        <w:t>Protection of Movable Cultural Heritage Act 1986</w:t>
      </w:r>
      <w:r w:rsidRPr="000A0230">
        <w:t xml:space="preserve"> and the </w:t>
      </w:r>
      <w:r w:rsidRPr="004C5F5C">
        <w:rPr>
          <w:i/>
        </w:rPr>
        <w:t>Protection of Movable Cultural Heritage Regulations 1987</w:t>
      </w:r>
      <w:r w:rsidRPr="000A0230">
        <w:t>. The Review will focus on the appropriate settings for protection and regulation in this area, and explore other, similar protection schemes in Australia and other international models for the protection of cultural property</w:t>
      </w:r>
      <w:r w:rsidRPr="00EF0F8F">
        <w:t>.</w:t>
      </w:r>
    </w:p>
    <w:p w14:paraId="070791E9" w14:textId="77777777" w:rsidR="00AA7153" w:rsidRDefault="008E696C" w:rsidP="008E696C">
      <w:pPr>
        <w:spacing w:after="120"/>
        <w:rPr>
          <w:b/>
          <w:bCs/>
          <w:szCs w:val="24"/>
        </w:rPr>
      </w:pPr>
      <w:r w:rsidRPr="00EF0F8F">
        <w:rPr>
          <w:b/>
          <w:bCs/>
          <w:szCs w:val="24"/>
        </w:rPr>
        <w:t xml:space="preserve">Which objects are protected, including having regard to the </w:t>
      </w:r>
      <w:proofErr w:type="gramStart"/>
      <w:r w:rsidRPr="00EF0F8F">
        <w:rPr>
          <w:b/>
          <w:bCs/>
          <w:szCs w:val="24"/>
        </w:rPr>
        <w:t>following:</w:t>
      </w:r>
      <w:proofErr w:type="gramEnd"/>
    </w:p>
    <w:p w14:paraId="584E04BB" w14:textId="77777777" w:rsidR="00AA7153" w:rsidRDefault="008E696C" w:rsidP="0035682E">
      <w:pPr>
        <w:pStyle w:val="ListParagraph"/>
        <w:numPr>
          <w:ilvl w:val="0"/>
          <w:numId w:val="24"/>
        </w:numPr>
        <w:ind w:left="567" w:hanging="283"/>
        <w:rPr>
          <w:szCs w:val="24"/>
        </w:rPr>
      </w:pPr>
      <w:r w:rsidRPr="00EF0F8F">
        <w:rPr>
          <w:szCs w:val="24"/>
        </w:rPr>
        <w:t>What are the categories and types of Australian cultural objects which should be protected via regulation?</w:t>
      </w:r>
    </w:p>
    <w:p w14:paraId="785A962C" w14:textId="77777777" w:rsidR="00AA7153" w:rsidRDefault="008E696C" w:rsidP="0035682E">
      <w:pPr>
        <w:pStyle w:val="ListParagraph"/>
        <w:numPr>
          <w:ilvl w:val="0"/>
          <w:numId w:val="24"/>
        </w:numPr>
        <w:ind w:left="567" w:hanging="283"/>
        <w:rPr>
          <w:szCs w:val="24"/>
        </w:rPr>
      </w:pPr>
      <w:r w:rsidRPr="00EF0F8F">
        <w:rPr>
          <w:szCs w:val="24"/>
        </w:rPr>
        <w:t>What are the appropriate thresholds and definitions of significance?</w:t>
      </w:r>
    </w:p>
    <w:p w14:paraId="20500743" w14:textId="77777777" w:rsidR="00AA7153" w:rsidRDefault="008E696C" w:rsidP="0035682E">
      <w:pPr>
        <w:pStyle w:val="ListParagraph"/>
        <w:numPr>
          <w:ilvl w:val="0"/>
          <w:numId w:val="24"/>
        </w:numPr>
        <w:ind w:left="567" w:hanging="283"/>
        <w:rPr>
          <w:szCs w:val="24"/>
        </w:rPr>
      </w:pPr>
      <w:r w:rsidRPr="00EF0F8F">
        <w:rPr>
          <w:szCs w:val="24"/>
        </w:rPr>
        <w:t>What levels of protection should be extended to foreign material?</w:t>
      </w:r>
    </w:p>
    <w:p w14:paraId="0362BEBA" w14:textId="77777777" w:rsidR="00AA7153" w:rsidRDefault="008E696C" w:rsidP="008E696C">
      <w:pPr>
        <w:spacing w:after="120"/>
        <w:rPr>
          <w:b/>
          <w:bCs/>
          <w:szCs w:val="24"/>
        </w:rPr>
      </w:pPr>
      <w:r w:rsidRPr="00EF0F8F">
        <w:rPr>
          <w:b/>
          <w:bCs/>
          <w:szCs w:val="24"/>
        </w:rPr>
        <w:t>How Australia’s international obligations are fulfilled, including having regard to the following:</w:t>
      </w:r>
    </w:p>
    <w:p w14:paraId="4DC4A60B" w14:textId="4CF300E9" w:rsidR="00AA7153" w:rsidRDefault="008E696C" w:rsidP="0035682E">
      <w:pPr>
        <w:pStyle w:val="ListParagraph"/>
        <w:numPr>
          <w:ilvl w:val="0"/>
          <w:numId w:val="29"/>
        </w:numPr>
        <w:ind w:left="567" w:hanging="283"/>
        <w:rPr>
          <w:szCs w:val="24"/>
        </w:rPr>
      </w:pPr>
      <w:r w:rsidRPr="00EF0F8F">
        <w:rPr>
          <w:szCs w:val="24"/>
        </w:rPr>
        <w:t xml:space="preserve">How Australia implements the UNESCO </w:t>
      </w:r>
      <w:r w:rsidRPr="00EF0F8F">
        <w:rPr>
          <w:i/>
          <w:iCs/>
          <w:szCs w:val="24"/>
        </w:rPr>
        <w:t xml:space="preserve">Convention on the </w:t>
      </w:r>
      <w:r w:rsidR="004C5F5C">
        <w:rPr>
          <w:i/>
          <w:iCs/>
          <w:szCs w:val="24"/>
        </w:rPr>
        <w:t xml:space="preserve">Means of </w:t>
      </w:r>
      <w:r w:rsidRPr="00EF0F8F">
        <w:rPr>
          <w:i/>
          <w:iCs/>
          <w:szCs w:val="24"/>
        </w:rPr>
        <w:t>Prohibitin</w:t>
      </w:r>
      <w:r w:rsidR="004C5F5C">
        <w:rPr>
          <w:i/>
          <w:iCs/>
          <w:szCs w:val="24"/>
        </w:rPr>
        <w:t>g</w:t>
      </w:r>
      <w:r w:rsidRPr="00EF0F8F">
        <w:rPr>
          <w:i/>
          <w:iCs/>
          <w:szCs w:val="24"/>
        </w:rPr>
        <w:t xml:space="preserve"> and Preventin</w:t>
      </w:r>
      <w:r w:rsidR="004C5F5C">
        <w:rPr>
          <w:i/>
          <w:iCs/>
          <w:szCs w:val="24"/>
        </w:rPr>
        <w:t>g</w:t>
      </w:r>
      <w:r w:rsidRPr="00EF0F8F">
        <w:rPr>
          <w:i/>
          <w:iCs/>
          <w:szCs w:val="24"/>
        </w:rPr>
        <w:t xml:space="preserve"> the Illicit Import, Export and Transfer of Ownership of Cultural Property </w:t>
      </w:r>
      <w:r w:rsidRPr="00EF0F8F">
        <w:rPr>
          <w:szCs w:val="24"/>
        </w:rPr>
        <w:t>1970;</w:t>
      </w:r>
    </w:p>
    <w:p w14:paraId="2CFD6AE6" w14:textId="64AD1718" w:rsidR="00AA7153" w:rsidRDefault="008E696C" w:rsidP="0035682E">
      <w:pPr>
        <w:pStyle w:val="ListParagraph"/>
        <w:numPr>
          <w:ilvl w:val="0"/>
          <w:numId w:val="29"/>
        </w:numPr>
        <w:ind w:left="567" w:hanging="283"/>
        <w:rPr>
          <w:szCs w:val="24"/>
        </w:rPr>
      </w:pPr>
      <w:r w:rsidRPr="00EF0F8F">
        <w:rPr>
          <w:szCs w:val="24"/>
        </w:rPr>
        <w:t xml:space="preserve">How this scheme interacts with obligations under the UNESCO </w:t>
      </w:r>
      <w:r w:rsidRPr="00EF0F8F">
        <w:rPr>
          <w:i/>
          <w:iCs/>
          <w:szCs w:val="24"/>
        </w:rPr>
        <w:t xml:space="preserve">Hague Convention for the Protection of Cultural Property in the Event of Armed Conflict </w:t>
      </w:r>
      <w:r w:rsidRPr="00EF0F8F">
        <w:rPr>
          <w:szCs w:val="24"/>
        </w:rPr>
        <w:t>195</w:t>
      </w:r>
      <w:r w:rsidR="004C5F5C">
        <w:rPr>
          <w:szCs w:val="24"/>
        </w:rPr>
        <w:t>4</w:t>
      </w:r>
      <w:r w:rsidRPr="00EF0F8F">
        <w:rPr>
          <w:szCs w:val="24"/>
        </w:rPr>
        <w:t>; and</w:t>
      </w:r>
    </w:p>
    <w:p w14:paraId="09F8026D" w14:textId="1871EB54" w:rsidR="000B6292" w:rsidRDefault="008E696C" w:rsidP="008E696C">
      <w:pPr>
        <w:pStyle w:val="ListParagraph"/>
        <w:numPr>
          <w:ilvl w:val="0"/>
          <w:numId w:val="29"/>
        </w:numPr>
        <w:ind w:left="567" w:hanging="283"/>
        <w:rPr>
          <w:szCs w:val="24"/>
        </w:rPr>
      </w:pPr>
      <w:r w:rsidRPr="007C4781">
        <w:rPr>
          <w:szCs w:val="24"/>
        </w:rPr>
        <w:t>Whether there are other international conventions or practices which provide useful benchmarks or guidance?</w:t>
      </w:r>
    </w:p>
    <w:p w14:paraId="655DB3C7" w14:textId="77777777" w:rsidR="000B6292" w:rsidRDefault="000B6292">
      <w:pPr>
        <w:spacing w:line="276" w:lineRule="auto"/>
        <w:rPr>
          <w:szCs w:val="24"/>
        </w:rPr>
      </w:pPr>
      <w:r>
        <w:rPr>
          <w:szCs w:val="24"/>
        </w:rPr>
        <w:br w:type="page"/>
      </w:r>
    </w:p>
    <w:p w14:paraId="3974669A" w14:textId="77777777" w:rsidR="00AA7153" w:rsidRDefault="008E696C" w:rsidP="008E696C">
      <w:pPr>
        <w:spacing w:after="120"/>
        <w:rPr>
          <w:b/>
          <w:bCs/>
          <w:szCs w:val="24"/>
        </w:rPr>
      </w:pPr>
      <w:r w:rsidRPr="00EF0F8F">
        <w:rPr>
          <w:b/>
          <w:bCs/>
          <w:szCs w:val="24"/>
        </w:rPr>
        <w:lastRenderedPageBreak/>
        <w:t>How this protection is administered, including having regard to the following:</w:t>
      </w:r>
    </w:p>
    <w:p w14:paraId="722C3EC9" w14:textId="77777777" w:rsidR="00AA7153" w:rsidRDefault="008E696C" w:rsidP="0035682E">
      <w:pPr>
        <w:pStyle w:val="ListParagraph"/>
        <w:numPr>
          <w:ilvl w:val="0"/>
          <w:numId w:val="30"/>
        </w:numPr>
        <w:ind w:left="567" w:hanging="283"/>
        <w:rPr>
          <w:szCs w:val="24"/>
        </w:rPr>
      </w:pPr>
      <w:r w:rsidRPr="00EF0F8F">
        <w:rPr>
          <w:szCs w:val="24"/>
        </w:rPr>
        <w:t>What is the most effective framework for protecting Australia’s cultural heritage?</w:t>
      </w:r>
    </w:p>
    <w:p w14:paraId="6C785FF1" w14:textId="77777777" w:rsidR="00AA7153" w:rsidRDefault="008E696C" w:rsidP="0035682E">
      <w:pPr>
        <w:pStyle w:val="ListParagraph"/>
        <w:numPr>
          <w:ilvl w:val="0"/>
          <w:numId w:val="30"/>
        </w:numPr>
        <w:ind w:left="567" w:hanging="283"/>
        <w:rPr>
          <w:szCs w:val="24"/>
        </w:rPr>
      </w:pPr>
      <w:r w:rsidRPr="00EF0F8F">
        <w:rPr>
          <w:szCs w:val="24"/>
        </w:rPr>
        <w:t>How are decisions regarding specific objects best made?</w:t>
      </w:r>
    </w:p>
    <w:p w14:paraId="2FE67E6F" w14:textId="77777777" w:rsidR="00AA7153" w:rsidRDefault="008E696C" w:rsidP="0035682E">
      <w:pPr>
        <w:pStyle w:val="ListParagraph"/>
        <w:numPr>
          <w:ilvl w:val="0"/>
          <w:numId w:val="30"/>
        </w:numPr>
        <w:ind w:left="567" w:hanging="283"/>
        <w:rPr>
          <w:szCs w:val="24"/>
        </w:rPr>
      </w:pPr>
      <w:r w:rsidRPr="00EF0F8F">
        <w:rPr>
          <w:szCs w:val="24"/>
        </w:rPr>
        <w:t>How the scheme is best enforced?</w:t>
      </w:r>
    </w:p>
    <w:p w14:paraId="1CE39481" w14:textId="6105A060" w:rsidR="008E696C" w:rsidRPr="00B71FAA" w:rsidRDefault="008E696C" w:rsidP="000A0230">
      <w:r w:rsidRPr="00EF0F8F">
        <w:t>The Review may also examine and report on any other issues it considers relevant or incidental, and will consult with stakeholders as is thought necessary. It will report to the Australian Government Minister for the Arts by 30 September 2015.</w:t>
      </w:r>
    </w:p>
    <w:p w14:paraId="7ED9BADD" w14:textId="42AF79F9" w:rsidR="008E696C" w:rsidRDefault="008E696C" w:rsidP="001C21DC">
      <w:pPr>
        <w:pStyle w:val="Title"/>
        <w:rPr>
          <w:b/>
          <w:bCs/>
        </w:rPr>
        <w:sectPr w:rsidR="008E696C" w:rsidSect="00292161">
          <w:pgSz w:w="11906" w:h="16838" w:code="9"/>
          <w:pgMar w:top="1440" w:right="1440" w:bottom="1440" w:left="1440" w:header="709" w:footer="709" w:gutter="0"/>
          <w:cols w:space="708"/>
          <w:docGrid w:linePitch="360"/>
        </w:sectPr>
      </w:pPr>
      <w:r>
        <w:br w:type="page"/>
      </w:r>
    </w:p>
    <w:sdt>
      <w:sdtPr>
        <w:rPr>
          <w:rFonts w:ascii="Arial" w:eastAsiaTheme="minorHAnsi" w:hAnsi="Arial" w:cstheme="minorBidi"/>
          <w:b w:val="0"/>
          <w:bCs w:val="0"/>
          <w:color w:val="auto"/>
          <w:sz w:val="24"/>
          <w:szCs w:val="22"/>
          <w:lang w:val="en-AU" w:eastAsia="en-US"/>
        </w:rPr>
        <w:id w:val="-1309706318"/>
        <w:docPartObj>
          <w:docPartGallery w:val="Table of Contents"/>
          <w:docPartUnique/>
        </w:docPartObj>
      </w:sdtPr>
      <w:sdtEndPr>
        <w:rPr>
          <w:noProof/>
        </w:rPr>
      </w:sdtEndPr>
      <w:sdtContent>
        <w:p w14:paraId="58AAB91D" w14:textId="77777777" w:rsidR="00B91F13" w:rsidRDefault="001A20CD" w:rsidP="004379F5">
          <w:pPr>
            <w:pStyle w:val="TOCHeading"/>
            <w:rPr>
              <w:noProof/>
            </w:rPr>
          </w:pPr>
          <w:r w:rsidRPr="0054119F">
            <w:rPr>
              <w:lang w:val="en-AU" w:eastAsia="en-US"/>
            </w:rPr>
            <w:t>Contents</w:t>
          </w:r>
          <w:r>
            <w:rPr>
              <w:b w:val="0"/>
              <w:noProof/>
            </w:rPr>
            <w:fldChar w:fldCharType="begin"/>
          </w:r>
          <w:r>
            <w:instrText xml:space="preserve"> TOC \o "1-2" \h \z \u </w:instrText>
          </w:r>
          <w:r>
            <w:rPr>
              <w:b w:val="0"/>
              <w:noProof/>
            </w:rPr>
            <w:fldChar w:fldCharType="separate"/>
          </w:r>
        </w:p>
        <w:p w14:paraId="5135CF1F" w14:textId="77777777" w:rsidR="00B91F13" w:rsidRDefault="000B51F5">
          <w:pPr>
            <w:pStyle w:val="TOC1"/>
            <w:rPr>
              <w:rFonts w:asciiTheme="minorHAnsi" w:eastAsiaTheme="minorEastAsia" w:hAnsiTheme="minorHAnsi"/>
              <w:b w:val="0"/>
              <w:sz w:val="22"/>
              <w:szCs w:val="22"/>
              <w:lang w:eastAsia="en-AU"/>
            </w:rPr>
          </w:pPr>
          <w:hyperlink w:anchor="_Toc433906571" w:history="1">
            <w:r w:rsidR="00B91F13" w:rsidRPr="003671F5">
              <w:rPr>
                <w:rStyle w:val="Hyperlink"/>
              </w:rPr>
              <w:t>Part A: Introduction</w:t>
            </w:r>
            <w:r w:rsidR="00B91F13">
              <w:rPr>
                <w:webHidden/>
              </w:rPr>
              <w:tab/>
            </w:r>
            <w:r w:rsidR="00B91F13">
              <w:rPr>
                <w:webHidden/>
              </w:rPr>
              <w:fldChar w:fldCharType="begin"/>
            </w:r>
            <w:r w:rsidR="00B91F13">
              <w:rPr>
                <w:webHidden/>
              </w:rPr>
              <w:instrText xml:space="preserve"> PAGEREF _Toc433906571 \h </w:instrText>
            </w:r>
            <w:r w:rsidR="00B91F13">
              <w:rPr>
                <w:webHidden/>
              </w:rPr>
            </w:r>
            <w:r w:rsidR="00B91F13">
              <w:rPr>
                <w:webHidden/>
              </w:rPr>
              <w:fldChar w:fldCharType="separate"/>
            </w:r>
            <w:r w:rsidR="001C66D7">
              <w:rPr>
                <w:webHidden/>
              </w:rPr>
              <w:t>1</w:t>
            </w:r>
            <w:r w:rsidR="00B91F13">
              <w:rPr>
                <w:webHidden/>
              </w:rPr>
              <w:fldChar w:fldCharType="end"/>
            </w:r>
          </w:hyperlink>
        </w:p>
        <w:p w14:paraId="1857B1E1" w14:textId="77777777" w:rsidR="00B91F13" w:rsidRDefault="000B51F5">
          <w:pPr>
            <w:pStyle w:val="TOC2"/>
            <w:rPr>
              <w:rFonts w:asciiTheme="minorHAnsi" w:eastAsiaTheme="minorEastAsia" w:hAnsiTheme="minorHAnsi"/>
              <w:sz w:val="22"/>
              <w:szCs w:val="22"/>
              <w:lang w:eastAsia="en-AU"/>
            </w:rPr>
          </w:pPr>
          <w:hyperlink w:anchor="_Toc433906572" w:history="1">
            <w:r w:rsidR="00B91F13" w:rsidRPr="003671F5">
              <w:rPr>
                <w:rStyle w:val="Hyperlink"/>
                <w14:scene3d>
                  <w14:camera w14:prst="orthographicFront"/>
                  <w14:lightRig w14:rig="threePt" w14:dir="t">
                    <w14:rot w14:lat="0" w14:lon="0" w14:rev="0"/>
                  </w14:lightRig>
                </w14:scene3d>
              </w:rPr>
              <w:t>1</w:t>
            </w:r>
            <w:r w:rsidR="00B91F13">
              <w:rPr>
                <w:rFonts w:asciiTheme="minorHAnsi" w:eastAsiaTheme="minorEastAsia" w:hAnsiTheme="minorHAnsi"/>
                <w:sz w:val="22"/>
                <w:szCs w:val="22"/>
                <w:lang w:eastAsia="en-AU"/>
              </w:rPr>
              <w:tab/>
            </w:r>
            <w:r w:rsidR="00B91F13" w:rsidRPr="003671F5">
              <w:rPr>
                <w:rStyle w:val="Hyperlink"/>
              </w:rPr>
              <w:t>The Review</w:t>
            </w:r>
            <w:r w:rsidR="00B91F13">
              <w:rPr>
                <w:webHidden/>
              </w:rPr>
              <w:tab/>
            </w:r>
            <w:r w:rsidR="00B91F13">
              <w:rPr>
                <w:webHidden/>
              </w:rPr>
              <w:fldChar w:fldCharType="begin"/>
            </w:r>
            <w:r w:rsidR="00B91F13">
              <w:rPr>
                <w:webHidden/>
              </w:rPr>
              <w:instrText xml:space="preserve"> PAGEREF _Toc433906572 \h </w:instrText>
            </w:r>
            <w:r w:rsidR="00B91F13">
              <w:rPr>
                <w:webHidden/>
              </w:rPr>
            </w:r>
            <w:r w:rsidR="00B91F13">
              <w:rPr>
                <w:webHidden/>
              </w:rPr>
              <w:fldChar w:fldCharType="separate"/>
            </w:r>
            <w:r w:rsidR="001C66D7">
              <w:rPr>
                <w:webHidden/>
              </w:rPr>
              <w:t>1</w:t>
            </w:r>
            <w:r w:rsidR="00B91F13">
              <w:rPr>
                <w:webHidden/>
              </w:rPr>
              <w:fldChar w:fldCharType="end"/>
            </w:r>
          </w:hyperlink>
        </w:p>
        <w:p w14:paraId="774FC181" w14:textId="77777777" w:rsidR="00B91F13" w:rsidRDefault="000B51F5">
          <w:pPr>
            <w:pStyle w:val="TOC2"/>
            <w:rPr>
              <w:rFonts w:asciiTheme="minorHAnsi" w:eastAsiaTheme="minorEastAsia" w:hAnsiTheme="minorHAnsi"/>
              <w:sz w:val="22"/>
              <w:szCs w:val="22"/>
              <w:lang w:eastAsia="en-AU"/>
            </w:rPr>
          </w:pPr>
          <w:hyperlink w:anchor="_Toc433906573" w:history="1">
            <w:r w:rsidR="00B91F13" w:rsidRPr="003671F5">
              <w:rPr>
                <w:rStyle w:val="Hyperlink"/>
                <w14:scene3d>
                  <w14:camera w14:prst="orthographicFront"/>
                  <w14:lightRig w14:rig="threePt" w14:dir="t">
                    <w14:rot w14:lat="0" w14:lon="0" w14:rev="0"/>
                  </w14:lightRig>
                </w14:scene3d>
              </w:rPr>
              <w:t>2</w:t>
            </w:r>
            <w:r w:rsidR="00B91F13">
              <w:rPr>
                <w:rFonts w:asciiTheme="minorHAnsi" w:eastAsiaTheme="minorEastAsia" w:hAnsiTheme="minorHAnsi"/>
                <w:sz w:val="22"/>
                <w:szCs w:val="22"/>
                <w:lang w:eastAsia="en-AU"/>
              </w:rPr>
              <w:tab/>
            </w:r>
            <w:r w:rsidR="00B91F13" w:rsidRPr="003671F5">
              <w:rPr>
                <w:rStyle w:val="Hyperlink"/>
              </w:rPr>
              <w:t>Methodology</w:t>
            </w:r>
            <w:r w:rsidR="00B91F13">
              <w:rPr>
                <w:webHidden/>
              </w:rPr>
              <w:tab/>
            </w:r>
            <w:r w:rsidR="00B91F13">
              <w:rPr>
                <w:webHidden/>
              </w:rPr>
              <w:fldChar w:fldCharType="begin"/>
            </w:r>
            <w:r w:rsidR="00B91F13">
              <w:rPr>
                <w:webHidden/>
              </w:rPr>
              <w:instrText xml:space="preserve"> PAGEREF _Toc433906573 \h </w:instrText>
            </w:r>
            <w:r w:rsidR="00B91F13">
              <w:rPr>
                <w:webHidden/>
              </w:rPr>
            </w:r>
            <w:r w:rsidR="00B91F13">
              <w:rPr>
                <w:webHidden/>
              </w:rPr>
              <w:fldChar w:fldCharType="separate"/>
            </w:r>
            <w:r w:rsidR="001C66D7">
              <w:rPr>
                <w:webHidden/>
              </w:rPr>
              <w:t>3</w:t>
            </w:r>
            <w:r w:rsidR="00B91F13">
              <w:rPr>
                <w:webHidden/>
              </w:rPr>
              <w:fldChar w:fldCharType="end"/>
            </w:r>
          </w:hyperlink>
        </w:p>
        <w:p w14:paraId="49BF579E" w14:textId="77777777" w:rsidR="00B91F13" w:rsidRDefault="000B51F5">
          <w:pPr>
            <w:pStyle w:val="TOC2"/>
            <w:rPr>
              <w:rFonts w:asciiTheme="minorHAnsi" w:eastAsiaTheme="minorEastAsia" w:hAnsiTheme="minorHAnsi"/>
              <w:sz w:val="22"/>
              <w:szCs w:val="22"/>
              <w:lang w:eastAsia="en-AU"/>
            </w:rPr>
          </w:pPr>
          <w:hyperlink w:anchor="_Toc433906574" w:history="1">
            <w:r w:rsidR="00B91F13" w:rsidRPr="003671F5">
              <w:rPr>
                <w:rStyle w:val="Hyperlink"/>
                <w14:scene3d>
                  <w14:camera w14:prst="orthographicFront"/>
                  <w14:lightRig w14:rig="threePt" w14:dir="t">
                    <w14:rot w14:lat="0" w14:lon="0" w14:rev="0"/>
                  </w14:lightRig>
                </w14:scene3d>
              </w:rPr>
              <w:t>3</w:t>
            </w:r>
            <w:r w:rsidR="00B91F13">
              <w:rPr>
                <w:rFonts w:asciiTheme="minorHAnsi" w:eastAsiaTheme="minorEastAsia" w:hAnsiTheme="minorHAnsi"/>
                <w:sz w:val="22"/>
                <w:szCs w:val="22"/>
                <w:lang w:eastAsia="en-AU"/>
              </w:rPr>
              <w:tab/>
            </w:r>
            <w:r w:rsidR="00B91F13" w:rsidRPr="003671F5">
              <w:rPr>
                <w:rStyle w:val="Hyperlink"/>
              </w:rPr>
              <w:t>Purpose of the regulation of cultural material</w:t>
            </w:r>
            <w:r w:rsidR="00B91F13">
              <w:rPr>
                <w:webHidden/>
              </w:rPr>
              <w:tab/>
            </w:r>
            <w:r w:rsidR="00B91F13">
              <w:rPr>
                <w:webHidden/>
              </w:rPr>
              <w:fldChar w:fldCharType="begin"/>
            </w:r>
            <w:r w:rsidR="00B91F13">
              <w:rPr>
                <w:webHidden/>
              </w:rPr>
              <w:instrText xml:space="preserve"> PAGEREF _Toc433906574 \h </w:instrText>
            </w:r>
            <w:r w:rsidR="00B91F13">
              <w:rPr>
                <w:webHidden/>
              </w:rPr>
            </w:r>
            <w:r w:rsidR="00B91F13">
              <w:rPr>
                <w:webHidden/>
              </w:rPr>
              <w:fldChar w:fldCharType="separate"/>
            </w:r>
            <w:r w:rsidR="001C66D7">
              <w:rPr>
                <w:webHidden/>
              </w:rPr>
              <w:t>4</w:t>
            </w:r>
            <w:r w:rsidR="00B91F13">
              <w:rPr>
                <w:webHidden/>
              </w:rPr>
              <w:fldChar w:fldCharType="end"/>
            </w:r>
          </w:hyperlink>
        </w:p>
        <w:p w14:paraId="4C911580" w14:textId="77777777" w:rsidR="00B91F13" w:rsidRDefault="000B51F5">
          <w:pPr>
            <w:pStyle w:val="TOC2"/>
            <w:rPr>
              <w:rFonts w:asciiTheme="minorHAnsi" w:eastAsiaTheme="minorEastAsia" w:hAnsiTheme="minorHAnsi"/>
              <w:sz w:val="22"/>
              <w:szCs w:val="22"/>
              <w:lang w:eastAsia="en-AU"/>
            </w:rPr>
          </w:pPr>
          <w:hyperlink w:anchor="_Toc433906575" w:history="1">
            <w:r w:rsidR="00B91F13" w:rsidRPr="003671F5">
              <w:rPr>
                <w:rStyle w:val="Hyperlink"/>
                <w14:scene3d>
                  <w14:camera w14:prst="orthographicFront"/>
                  <w14:lightRig w14:rig="threePt" w14:dir="t">
                    <w14:rot w14:lat="0" w14:lon="0" w14:rev="0"/>
                  </w14:lightRig>
                </w14:scene3d>
              </w:rPr>
              <w:t>4</w:t>
            </w:r>
            <w:r w:rsidR="00B91F13">
              <w:rPr>
                <w:rFonts w:asciiTheme="minorHAnsi" w:eastAsiaTheme="minorEastAsia" w:hAnsiTheme="minorHAnsi"/>
                <w:sz w:val="22"/>
                <w:szCs w:val="22"/>
                <w:lang w:eastAsia="en-AU"/>
              </w:rPr>
              <w:tab/>
            </w:r>
            <w:r w:rsidR="00B91F13" w:rsidRPr="003671F5">
              <w:rPr>
                <w:rStyle w:val="Hyperlink"/>
              </w:rPr>
              <w:t>Limitations of the current model</w:t>
            </w:r>
            <w:r w:rsidR="00B91F13">
              <w:rPr>
                <w:webHidden/>
              </w:rPr>
              <w:tab/>
            </w:r>
            <w:r w:rsidR="00B91F13">
              <w:rPr>
                <w:webHidden/>
              </w:rPr>
              <w:fldChar w:fldCharType="begin"/>
            </w:r>
            <w:r w:rsidR="00B91F13">
              <w:rPr>
                <w:webHidden/>
              </w:rPr>
              <w:instrText xml:space="preserve"> PAGEREF _Toc433906575 \h </w:instrText>
            </w:r>
            <w:r w:rsidR="00B91F13">
              <w:rPr>
                <w:webHidden/>
              </w:rPr>
            </w:r>
            <w:r w:rsidR="00B91F13">
              <w:rPr>
                <w:webHidden/>
              </w:rPr>
              <w:fldChar w:fldCharType="separate"/>
            </w:r>
            <w:r w:rsidR="001C66D7">
              <w:rPr>
                <w:webHidden/>
              </w:rPr>
              <w:t>7</w:t>
            </w:r>
            <w:r w:rsidR="00B91F13">
              <w:rPr>
                <w:webHidden/>
              </w:rPr>
              <w:fldChar w:fldCharType="end"/>
            </w:r>
          </w:hyperlink>
        </w:p>
        <w:p w14:paraId="74F2A5D1" w14:textId="77777777" w:rsidR="00B91F13" w:rsidRDefault="000B51F5">
          <w:pPr>
            <w:pStyle w:val="TOC2"/>
            <w:rPr>
              <w:rFonts w:asciiTheme="minorHAnsi" w:eastAsiaTheme="minorEastAsia" w:hAnsiTheme="minorHAnsi"/>
              <w:sz w:val="22"/>
              <w:szCs w:val="22"/>
              <w:lang w:eastAsia="en-AU"/>
            </w:rPr>
          </w:pPr>
          <w:hyperlink w:anchor="_Toc433906576" w:history="1">
            <w:r w:rsidR="00B91F13" w:rsidRPr="003671F5">
              <w:rPr>
                <w:rStyle w:val="Hyperlink"/>
                <w14:scene3d>
                  <w14:camera w14:prst="orthographicFront"/>
                  <w14:lightRig w14:rig="threePt" w14:dir="t">
                    <w14:rot w14:lat="0" w14:lon="0" w14:rev="0"/>
                  </w14:lightRig>
                </w14:scene3d>
              </w:rPr>
              <w:t>5</w:t>
            </w:r>
            <w:r w:rsidR="00B91F13">
              <w:rPr>
                <w:rFonts w:asciiTheme="minorHAnsi" w:eastAsiaTheme="minorEastAsia" w:hAnsiTheme="minorHAnsi"/>
                <w:sz w:val="22"/>
                <w:szCs w:val="22"/>
                <w:lang w:eastAsia="en-AU"/>
              </w:rPr>
              <w:tab/>
            </w:r>
            <w:r w:rsidR="00B91F13" w:rsidRPr="003671F5">
              <w:rPr>
                <w:rStyle w:val="Hyperlink"/>
              </w:rPr>
              <w:t>Principles for the proposed model</w:t>
            </w:r>
            <w:r w:rsidR="00B91F13">
              <w:rPr>
                <w:webHidden/>
              </w:rPr>
              <w:tab/>
            </w:r>
            <w:r w:rsidR="00B91F13">
              <w:rPr>
                <w:webHidden/>
              </w:rPr>
              <w:fldChar w:fldCharType="begin"/>
            </w:r>
            <w:r w:rsidR="00B91F13">
              <w:rPr>
                <w:webHidden/>
              </w:rPr>
              <w:instrText xml:space="preserve"> PAGEREF _Toc433906576 \h </w:instrText>
            </w:r>
            <w:r w:rsidR="00B91F13">
              <w:rPr>
                <w:webHidden/>
              </w:rPr>
            </w:r>
            <w:r w:rsidR="00B91F13">
              <w:rPr>
                <w:webHidden/>
              </w:rPr>
              <w:fldChar w:fldCharType="separate"/>
            </w:r>
            <w:r w:rsidR="001C66D7">
              <w:rPr>
                <w:webHidden/>
              </w:rPr>
              <w:t>7</w:t>
            </w:r>
            <w:r w:rsidR="00B91F13">
              <w:rPr>
                <w:webHidden/>
              </w:rPr>
              <w:fldChar w:fldCharType="end"/>
            </w:r>
          </w:hyperlink>
        </w:p>
        <w:p w14:paraId="1BD0265C" w14:textId="658CB7B3" w:rsidR="00B91F13" w:rsidRDefault="000B51F5">
          <w:pPr>
            <w:pStyle w:val="TOC2"/>
            <w:rPr>
              <w:rFonts w:asciiTheme="minorHAnsi" w:eastAsiaTheme="minorEastAsia" w:hAnsiTheme="minorHAnsi"/>
              <w:sz w:val="22"/>
              <w:szCs w:val="22"/>
              <w:lang w:eastAsia="en-AU"/>
            </w:rPr>
          </w:pPr>
          <w:hyperlink w:anchor="_Toc433906577" w:history="1">
            <w:r w:rsidR="00B91F13" w:rsidRPr="003671F5">
              <w:rPr>
                <w:rStyle w:val="Hyperlink"/>
                <w14:scene3d>
                  <w14:camera w14:prst="orthographicFront"/>
                  <w14:lightRig w14:rig="threePt" w14:dir="t">
                    <w14:rot w14:lat="0" w14:lon="0" w14:rev="0"/>
                  </w14:lightRig>
                </w14:scene3d>
              </w:rPr>
              <w:t>6</w:t>
            </w:r>
            <w:r w:rsidR="00B91F13">
              <w:rPr>
                <w:rFonts w:asciiTheme="minorHAnsi" w:eastAsiaTheme="minorEastAsia" w:hAnsiTheme="minorHAnsi"/>
                <w:sz w:val="22"/>
                <w:szCs w:val="22"/>
                <w:lang w:eastAsia="en-AU"/>
              </w:rPr>
              <w:tab/>
            </w:r>
            <w:r w:rsidR="00B91F13" w:rsidRPr="003671F5">
              <w:rPr>
                <w:rStyle w:val="Hyperlink"/>
              </w:rPr>
              <w:t xml:space="preserve">Ethical </w:t>
            </w:r>
            <w:r w:rsidR="004C5F5C">
              <w:rPr>
                <w:rStyle w:val="Hyperlink"/>
              </w:rPr>
              <w:t>c</w:t>
            </w:r>
            <w:r w:rsidR="00B91F13" w:rsidRPr="003671F5">
              <w:rPr>
                <w:rStyle w:val="Hyperlink"/>
              </w:rPr>
              <w:t>onsiderations</w:t>
            </w:r>
            <w:r w:rsidR="00B91F13">
              <w:rPr>
                <w:webHidden/>
              </w:rPr>
              <w:tab/>
            </w:r>
            <w:r w:rsidR="00B91F13">
              <w:rPr>
                <w:webHidden/>
              </w:rPr>
              <w:fldChar w:fldCharType="begin"/>
            </w:r>
            <w:r w:rsidR="00B91F13">
              <w:rPr>
                <w:webHidden/>
              </w:rPr>
              <w:instrText xml:space="preserve"> PAGEREF _Toc433906577 \h </w:instrText>
            </w:r>
            <w:r w:rsidR="00B91F13">
              <w:rPr>
                <w:webHidden/>
              </w:rPr>
            </w:r>
            <w:r w:rsidR="00B91F13">
              <w:rPr>
                <w:webHidden/>
              </w:rPr>
              <w:fldChar w:fldCharType="separate"/>
            </w:r>
            <w:r w:rsidR="001C66D7">
              <w:rPr>
                <w:webHidden/>
              </w:rPr>
              <w:t>10</w:t>
            </w:r>
            <w:r w:rsidR="00B91F13">
              <w:rPr>
                <w:webHidden/>
              </w:rPr>
              <w:fldChar w:fldCharType="end"/>
            </w:r>
          </w:hyperlink>
        </w:p>
        <w:p w14:paraId="1B5C4C66" w14:textId="77777777" w:rsidR="00B91F13" w:rsidRDefault="000B51F5">
          <w:pPr>
            <w:pStyle w:val="TOC1"/>
            <w:rPr>
              <w:rFonts w:asciiTheme="minorHAnsi" w:eastAsiaTheme="minorEastAsia" w:hAnsiTheme="minorHAnsi"/>
              <w:b w:val="0"/>
              <w:sz w:val="22"/>
              <w:szCs w:val="22"/>
              <w:lang w:eastAsia="en-AU"/>
            </w:rPr>
          </w:pPr>
          <w:hyperlink w:anchor="_Toc433906578" w:history="1">
            <w:r w:rsidR="00B91F13" w:rsidRPr="003671F5">
              <w:rPr>
                <w:rStyle w:val="Hyperlink"/>
              </w:rPr>
              <w:t>Part B: Protection of Australian cultural material</w:t>
            </w:r>
            <w:r w:rsidR="00B91F13">
              <w:rPr>
                <w:webHidden/>
              </w:rPr>
              <w:tab/>
            </w:r>
            <w:r w:rsidR="00B91F13">
              <w:rPr>
                <w:webHidden/>
              </w:rPr>
              <w:fldChar w:fldCharType="begin"/>
            </w:r>
            <w:r w:rsidR="00B91F13">
              <w:rPr>
                <w:webHidden/>
              </w:rPr>
              <w:instrText xml:space="preserve"> PAGEREF _Toc433906578 \h </w:instrText>
            </w:r>
            <w:r w:rsidR="00B91F13">
              <w:rPr>
                <w:webHidden/>
              </w:rPr>
            </w:r>
            <w:r w:rsidR="00B91F13">
              <w:rPr>
                <w:webHidden/>
              </w:rPr>
              <w:fldChar w:fldCharType="separate"/>
            </w:r>
            <w:r w:rsidR="001C66D7">
              <w:rPr>
                <w:webHidden/>
              </w:rPr>
              <w:t>13</w:t>
            </w:r>
            <w:r w:rsidR="00B91F13">
              <w:rPr>
                <w:webHidden/>
              </w:rPr>
              <w:fldChar w:fldCharType="end"/>
            </w:r>
          </w:hyperlink>
        </w:p>
        <w:p w14:paraId="3EEBA8A4" w14:textId="77777777" w:rsidR="00B91F13" w:rsidRDefault="000B51F5">
          <w:pPr>
            <w:pStyle w:val="TOC2"/>
            <w:rPr>
              <w:rFonts w:asciiTheme="minorHAnsi" w:eastAsiaTheme="minorEastAsia" w:hAnsiTheme="minorHAnsi"/>
              <w:sz w:val="22"/>
              <w:szCs w:val="22"/>
              <w:lang w:eastAsia="en-AU"/>
            </w:rPr>
          </w:pPr>
          <w:hyperlink w:anchor="_Toc433906579" w:history="1">
            <w:r w:rsidR="00B91F13" w:rsidRPr="003671F5">
              <w:rPr>
                <w:rStyle w:val="Hyperlink"/>
                <w14:scene3d>
                  <w14:camera w14:prst="orthographicFront"/>
                  <w14:lightRig w14:rig="threePt" w14:dir="t">
                    <w14:rot w14:lat="0" w14:lon="0" w14:rev="0"/>
                  </w14:lightRig>
                </w14:scene3d>
              </w:rPr>
              <w:t>7</w:t>
            </w:r>
            <w:r w:rsidR="00B91F13">
              <w:rPr>
                <w:rFonts w:asciiTheme="minorHAnsi" w:eastAsiaTheme="minorEastAsia" w:hAnsiTheme="minorHAnsi"/>
                <w:sz w:val="22"/>
                <w:szCs w:val="22"/>
                <w:lang w:eastAsia="en-AU"/>
              </w:rPr>
              <w:tab/>
            </w:r>
            <w:r w:rsidR="00B91F13" w:rsidRPr="003671F5">
              <w:rPr>
                <w:rStyle w:val="Hyperlink"/>
              </w:rPr>
              <w:t>Title of the Act</w:t>
            </w:r>
            <w:r w:rsidR="00B91F13">
              <w:rPr>
                <w:webHidden/>
              </w:rPr>
              <w:tab/>
            </w:r>
            <w:r w:rsidR="00B91F13">
              <w:rPr>
                <w:webHidden/>
              </w:rPr>
              <w:fldChar w:fldCharType="begin"/>
            </w:r>
            <w:r w:rsidR="00B91F13">
              <w:rPr>
                <w:webHidden/>
              </w:rPr>
              <w:instrText xml:space="preserve"> PAGEREF _Toc433906579 \h </w:instrText>
            </w:r>
            <w:r w:rsidR="00B91F13">
              <w:rPr>
                <w:webHidden/>
              </w:rPr>
            </w:r>
            <w:r w:rsidR="00B91F13">
              <w:rPr>
                <w:webHidden/>
              </w:rPr>
              <w:fldChar w:fldCharType="separate"/>
            </w:r>
            <w:r w:rsidR="001C66D7">
              <w:rPr>
                <w:webHidden/>
              </w:rPr>
              <w:t>13</w:t>
            </w:r>
            <w:r w:rsidR="00B91F13">
              <w:rPr>
                <w:webHidden/>
              </w:rPr>
              <w:fldChar w:fldCharType="end"/>
            </w:r>
          </w:hyperlink>
        </w:p>
        <w:p w14:paraId="71B16F45" w14:textId="77777777" w:rsidR="00B91F13" w:rsidRDefault="000B51F5">
          <w:pPr>
            <w:pStyle w:val="TOC2"/>
            <w:rPr>
              <w:rFonts w:asciiTheme="minorHAnsi" w:eastAsiaTheme="minorEastAsia" w:hAnsiTheme="minorHAnsi"/>
              <w:sz w:val="22"/>
              <w:szCs w:val="22"/>
              <w:lang w:eastAsia="en-AU"/>
            </w:rPr>
          </w:pPr>
          <w:hyperlink w:anchor="_Toc433906580" w:history="1">
            <w:r w:rsidR="00B91F13" w:rsidRPr="003671F5">
              <w:rPr>
                <w:rStyle w:val="Hyperlink"/>
                <w14:scene3d>
                  <w14:camera w14:prst="orthographicFront"/>
                  <w14:lightRig w14:rig="threePt" w14:dir="t">
                    <w14:rot w14:lat="0" w14:lon="0" w14:rev="0"/>
                  </w14:lightRig>
                </w14:scene3d>
              </w:rPr>
              <w:t>8</w:t>
            </w:r>
            <w:r w:rsidR="00B91F13">
              <w:rPr>
                <w:rFonts w:asciiTheme="minorHAnsi" w:eastAsiaTheme="minorEastAsia" w:hAnsiTheme="minorHAnsi"/>
                <w:sz w:val="22"/>
                <w:szCs w:val="22"/>
                <w:lang w:eastAsia="en-AU"/>
              </w:rPr>
              <w:tab/>
            </w:r>
            <w:r w:rsidR="00B91F13" w:rsidRPr="003671F5">
              <w:rPr>
                <w:rStyle w:val="Hyperlink"/>
              </w:rPr>
              <w:t>Definition of cultural material</w:t>
            </w:r>
            <w:r w:rsidR="00B91F13">
              <w:rPr>
                <w:webHidden/>
              </w:rPr>
              <w:tab/>
            </w:r>
            <w:r w:rsidR="00B91F13">
              <w:rPr>
                <w:webHidden/>
              </w:rPr>
              <w:fldChar w:fldCharType="begin"/>
            </w:r>
            <w:r w:rsidR="00B91F13">
              <w:rPr>
                <w:webHidden/>
              </w:rPr>
              <w:instrText xml:space="preserve"> PAGEREF _Toc433906580 \h </w:instrText>
            </w:r>
            <w:r w:rsidR="00B91F13">
              <w:rPr>
                <w:webHidden/>
              </w:rPr>
            </w:r>
            <w:r w:rsidR="00B91F13">
              <w:rPr>
                <w:webHidden/>
              </w:rPr>
              <w:fldChar w:fldCharType="separate"/>
            </w:r>
            <w:r w:rsidR="001C66D7">
              <w:rPr>
                <w:webHidden/>
              </w:rPr>
              <w:t>14</w:t>
            </w:r>
            <w:r w:rsidR="00B91F13">
              <w:rPr>
                <w:webHidden/>
              </w:rPr>
              <w:fldChar w:fldCharType="end"/>
            </w:r>
          </w:hyperlink>
        </w:p>
        <w:p w14:paraId="3F06A626" w14:textId="77777777" w:rsidR="00B91F13" w:rsidRDefault="000B51F5">
          <w:pPr>
            <w:pStyle w:val="TOC2"/>
            <w:rPr>
              <w:rFonts w:asciiTheme="minorHAnsi" w:eastAsiaTheme="minorEastAsia" w:hAnsiTheme="minorHAnsi"/>
              <w:sz w:val="22"/>
              <w:szCs w:val="22"/>
              <w:lang w:eastAsia="en-AU"/>
            </w:rPr>
          </w:pPr>
          <w:hyperlink w:anchor="_Toc433906581" w:history="1">
            <w:r w:rsidR="00B91F13" w:rsidRPr="003671F5">
              <w:rPr>
                <w:rStyle w:val="Hyperlink"/>
                <w14:scene3d>
                  <w14:camera w14:prst="orthographicFront"/>
                  <w14:lightRig w14:rig="threePt" w14:dir="t">
                    <w14:rot w14:lat="0" w14:lon="0" w14:rev="0"/>
                  </w14:lightRig>
                </w14:scene3d>
              </w:rPr>
              <w:t>9</w:t>
            </w:r>
            <w:r w:rsidR="00B91F13">
              <w:rPr>
                <w:rFonts w:asciiTheme="minorHAnsi" w:eastAsiaTheme="minorEastAsia" w:hAnsiTheme="minorHAnsi"/>
                <w:sz w:val="22"/>
                <w:szCs w:val="22"/>
                <w:lang w:eastAsia="en-AU"/>
              </w:rPr>
              <w:tab/>
            </w:r>
            <w:r w:rsidR="00B91F13" w:rsidRPr="003671F5">
              <w:rPr>
                <w:rStyle w:val="Hyperlink"/>
              </w:rPr>
              <w:t>A new classification structure</w:t>
            </w:r>
            <w:r w:rsidR="00B91F13">
              <w:rPr>
                <w:webHidden/>
              </w:rPr>
              <w:tab/>
            </w:r>
            <w:r w:rsidR="00B91F13">
              <w:rPr>
                <w:webHidden/>
              </w:rPr>
              <w:fldChar w:fldCharType="begin"/>
            </w:r>
            <w:r w:rsidR="00B91F13">
              <w:rPr>
                <w:webHidden/>
              </w:rPr>
              <w:instrText xml:space="preserve"> PAGEREF _Toc433906581 \h </w:instrText>
            </w:r>
            <w:r w:rsidR="00B91F13">
              <w:rPr>
                <w:webHidden/>
              </w:rPr>
            </w:r>
            <w:r w:rsidR="00B91F13">
              <w:rPr>
                <w:webHidden/>
              </w:rPr>
              <w:fldChar w:fldCharType="separate"/>
            </w:r>
            <w:r w:rsidR="001C66D7">
              <w:rPr>
                <w:webHidden/>
              </w:rPr>
              <w:t>19</w:t>
            </w:r>
            <w:r w:rsidR="00B91F13">
              <w:rPr>
                <w:webHidden/>
              </w:rPr>
              <w:fldChar w:fldCharType="end"/>
            </w:r>
          </w:hyperlink>
        </w:p>
        <w:p w14:paraId="7D20D1D9" w14:textId="77777777" w:rsidR="00B91F13" w:rsidRDefault="000B51F5">
          <w:pPr>
            <w:pStyle w:val="TOC2"/>
            <w:rPr>
              <w:rFonts w:asciiTheme="minorHAnsi" w:eastAsiaTheme="minorEastAsia" w:hAnsiTheme="minorHAnsi"/>
              <w:sz w:val="22"/>
              <w:szCs w:val="22"/>
              <w:lang w:eastAsia="en-AU"/>
            </w:rPr>
          </w:pPr>
          <w:hyperlink w:anchor="_Toc433906582" w:history="1">
            <w:r w:rsidR="00B91F13" w:rsidRPr="003671F5">
              <w:rPr>
                <w:rStyle w:val="Hyperlink"/>
                <w14:scene3d>
                  <w14:camera w14:prst="orthographicFront"/>
                  <w14:lightRig w14:rig="threePt" w14:dir="t">
                    <w14:rot w14:lat="0" w14:lon="0" w14:rev="0"/>
                  </w14:lightRig>
                </w14:scene3d>
              </w:rPr>
              <w:t>10</w:t>
            </w:r>
            <w:r w:rsidR="00B91F13">
              <w:rPr>
                <w:rFonts w:asciiTheme="minorHAnsi" w:eastAsiaTheme="minorEastAsia" w:hAnsiTheme="minorHAnsi"/>
                <w:sz w:val="22"/>
                <w:szCs w:val="22"/>
                <w:lang w:eastAsia="en-AU"/>
              </w:rPr>
              <w:tab/>
            </w:r>
            <w:r w:rsidR="00B91F13" w:rsidRPr="003671F5">
              <w:rPr>
                <w:rStyle w:val="Hyperlink"/>
              </w:rPr>
              <w:t>National Cultural Heritage Control List</w:t>
            </w:r>
            <w:r w:rsidR="00B91F13">
              <w:rPr>
                <w:webHidden/>
              </w:rPr>
              <w:tab/>
            </w:r>
            <w:r w:rsidR="00B91F13">
              <w:rPr>
                <w:webHidden/>
              </w:rPr>
              <w:fldChar w:fldCharType="begin"/>
            </w:r>
            <w:r w:rsidR="00B91F13">
              <w:rPr>
                <w:webHidden/>
              </w:rPr>
              <w:instrText xml:space="preserve"> PAGEREF _Toc433906582 \h </w:instrText>
            </w:r>
            <w:r w:rsidR="00B91F13">
              <w:rPr>
                <w:webHidden/>
              </w:rPr>
            </w:r>
            <w:r w:rsidR="00B91F13">
              <w:rPr>
                <w:webHidden/>
              </w:rPr>
              <w:fldChar w:fldCharType="separate"/>
            </w:r>
            <w:r w:rsidR="001C66D7">
              <w:rPr>
                <w:webHidden/>
              </w:rPr>
              <w:t>26</w:t>
            </w:r>
            <w:r w:rsidR="00B91F13">
              <w:rPr>
                <w:webHidden/>
              </w:rPr>
              <w:fldChar w:fldCharType="end"/>
            </w:r>
          </w:hyperlink>
        </w:p>
        <w:p w14:paraId="6F1F6E10" w14:textId="77777777" w:rsidR="00B91F13" w:rsidRDefault="000B51F5">
          <w:pPr>
            <w:pStyle w:val="TOC2"/>
            <w:rPr>
              <w:rFonts w:asciiTheme="minorHAnsi" w:eastAsiaTheme="minorEastAsia" w:hAnsiTheme="minorHAnsi"/>
              <w:sz w:val="22"/>
              <w:szCs w:val="22"/>
              <w:lang w:eastAsia="en-AU"/>
            </w:rPr>
          </w:pPr>
          <w:hyperlink w:anchor="_Toc433906583" w:history="1">
            <w:r w:rsidR="00B91F13" w:rsidRPr="003671F5">
              <w:rPr>
                <w:rStyle w:val="Hyperlink"/>
                <w14:scene3d>
                  <w14:camera w14:prst="orthographicFront"/>
                  <w14:lightRig w14:rig="threePt" w14:dir="t">
                    <w14:rot w14:lat="0" w14:lon="0" w14:rev="0"/>
                  </w14:lightRig>
                </w14:scene3d>
              </w:rPr>
              <w:t>11</w:t>
            </w:r>
            <w:r w:rsidR="00B91F13">
              <w:rPr>
                <w:rFonts w:asciiTheme="minorHAnsi" w:eastAsiaTheme="minorEastAsia" w:hAnsiTheme="minorHAnsi"/>
                <w:sz w:val="22"/>
                <w:szCs w:val="22"/>
                <w:lang w:eastAsia="en-AU"/>
              </w:rPr>
              <w:tab/>
            </w:r>
            <w:r w:rsidR="00B91F13" w:rsidRPr="003671F5">
              <w:rPr>
                <w:rStyle w:val="Hyperlink"/>
              </w:rPr>
              <w:t>New Part 1: Aboriginal or Torres Strait Islander Material and Ancestral Remains</w:t>
            </w:r>
            <w:r w:rsidR="00B91F13">
              <w:rPr>
                <w:webHidden/>
              </w:rPr>
              <w:tab/>
            </w:r>
            <w:r w:rsidR="00B91F13">
              <w:rPr>
                <w:webHidden/>
              </w:rPr>
              <w:fldChar w:fldCharType="begin"/>
            </w:r>
            <w:r w:rsidR="00B91F13">
              <w:rPr>
                <w:webHidden/>
              </w:rPr>
              <w:instrText xml:space="preserve"> PAGEREF _Toc433906583 \h </w:instrText>
            </w:r>
            <w:r w:rsidR="00B91F13">
              <w:rPr>
                <w:webHidden/>
              </w:rPr>
            </w:r>
            <w:r w:rsidR="00B91F13">
              <w:rPr>
                <w:webHidden/>
              </w:rPr>
              <w:fldChar w:fldCharType="separate"/>
            </w:r>
            <w:r w:rsidR="001C66D7">
              <w:rPr>
                <w:webHidden/>
              </w:rPr>
              <w:t>29</w:t>
            </w:r>
            <w:r w:rsidR="00B91F13">
              <w:rPr>
                <w:webHidden/>
              </w:rPr>
              <w:fldChar w:fldCharType="end"/>
            </w:r>
          </w:hyperlink>
        </w:p>
        <w:p w14:paraId="23CE3BCC" w14:textId="77777777" w:rsidR="00B91F13" w:rsidRDefault="000B51F5">
          <w:pPr>
            <w:pStyle w:val="TOC2"/>
            <w:rPr>
              <w:rFonts w:asciiTheme="minorHAnsi" w:eastAsiaTheme="minorEastAsia" w:hAnsiTheme="minorHAnsi"/>
              <w:sz w:val="22"/>
              <w:szCs w:val="22"/>
              <w:lang w:eastAsia="en-AU"/>
            </w:rPr>
          </w:pPr>
          <w:hyperlink w:anchor="_Toc433906584" w:history="1">
            <w:r w:rsidR="00B91F13" w:rsidRPr="003671F5">
              <w:rPr>
                <w:rStyle w:val="Hyperlink"/>
                <w:lang w:eastAsia="en-AU"/>
                <w14:scene3d>
                  <w14:camera w14:prst="orthographicFront"/>
                  <w14:lightRig w14:rig="threePt" w14:dir="t">
                    <w14:rot w14:lat="0" w14:lon="0" w14:rev="0"/>
                  </w14:lightRig>
                </w14:scene3d>
              </w:rPr>
              <w:t>12</w:t>
            </w:r>
            <w:r w:rsidR="00B91F13">
              <w:rPr>
                <w:rFonts w:asciiTheme="minorHAnsi" w:eastAsiaTheme="minorEastAsia" w:hAnsiTheme="minorHAnsi"/>
                <w:sz w:val="22"/>
                <w:szCs w:val="22"/>
                <w:lang w:eastAsia="en-AU"/>
              </w:rPr>
              <w:tab/>
            </w:r>
            <w:r w:rsidR="00B91F13" w:rsidRPr="003671F5">
              <w:rPr>
                <w:rStyle w:val="Hyperlink"/>
                <w:lang w:eastAsia="en-AU"/>
              </w:rPr>
              <w:t>New Part 2: Natural Science Material</w:t>
            </w:r>
            <w:r w:rsidR="00B91F13">
              <w:rPr>
                <w:webHidden/>
              </w:rPr>
              <w:tab/>
            </w:r>
            <w:r w:rsidR="00B91F13">
              <w:rPr>
                <w:webHidden/>
              </w:rPr>
              <w:fldChar w:fldCharType="begin"/>
            </w:r>
            <w:r w:rsidR="00B91F13">
              <w:rPr>
                <w:webHidden/>
              </w:rPr>
              <w:instrText xml:space="preserve"> PAGEREF _Toc433906584 \h </w:instrText>
            </w:r>
            <w:r w:rsidR="00B91F13">
              <w:rPr>
                <w:webHidden/>
              </w:rPr>
            </w:r>
            <w:r w:rsidR="00B91F13">
              <w:rPr>
                <w:webHidden/>
              </w:rPr>
              <w:fldChar w:fldCharType="separate"/>
            </w:r>
            <w:r w:rsidR="001C66D7">
              <w:rPr>
                <w:webHidden/>
              </w:rPr>
              <w:t>33</w:t>
            </w:r>
            <w:r w:rsidR="00B91F13">
              <w:rPr>
                <w:webHidden/>
              </w:rPr>
              <w:fldChar w:fldCharType="end"/>
            </w:r>
          </w:hyperlink>
        </w:p>
        <w:p w14:paraId="39D8CED0" w14:textId="77777777" w:rsidR="00B91F13" w:rsidRDefault="000B51F5">
          <w:pPr>
            <w:pStyle w:val="TOC2"/>
            <w:rPr>
              <w:rFonts w:asciiTheme="minorHAnsi" w:eastAsiaTheme="minorEastAsia" w:hAnsiTheme="minorHAnsi"/>
              <w:sz w:val="22"/>
              <w:szCs w:val="22"/>
              <w:lang w:eastAsia="en-AU"/>
            </w:rPr>
          </w:pPr>
          <w:hyperlink w:anchor="_Toc433906585" w:history="1">
            <w:r w:rsidR="00B91F13" w:rsidRPr="003671F5">
              <w:rPr>
                <w:rStyle w:val="Hyperlink"/>
                <w:lang w:eastAsia="en-AU"/>
                <w14:scene3d>
                  <w14:camera w14:prst="orthographicFront"/>
                  <w14:lightRig w14:rig="threePt" w14:dir="t">
                    <w14:rot w14:lat="0" w14:lon="0" w14:rev="0"/>
                  </w14:lightRig>
                </w14:scene3d>
              </w:rPr>
              <w:t>13</w:t>
            </w:r>
            <w:r w:rsidR="00B91F13">
              <w:rPr>
                <w:rFonts w:asciiTheme="minorHAnsi" w:eastAsiaTheme="minorEastAsia" w:hAnsiTheme="minorHAnsi"/>
                <w:sz w:val="22"/>
                <w:szCs w:val="22"/>
                <w:lang w:eastAsia="en-AU"/>
              </w:rPr>
              <w:tab/>
            </w:r>
            <w:r w:rsidR="00B91F13" w:rsidRPr="003671F5">
              <w:rPr>
                <w:rStyle w:val="Hyperlink"/>
                <w:lang w:eastAsia="en-AU"/>
              </w:rPr>
              <w:t>New Part 3: Visual Arts, Craft and Design Material</w:t>
            </w:r>
            <w:r w:rsidR="00B91F13">
              <w:rPr>
                <w:webHidden/>
              </w:rPr>
              <w:tab/>
            </w:r>
            <w:r w:rsidR="00B91F13">
              <w:rPr>
                <w:webHidden/>
              </w:rPr>
              <w:fldChar w:fldCharType="begin"/>
            </w:r>
            <w:r w:rsidR="00B91F13">
              <w:rPr>
                <w:webHidden/>
              </w:rPr>
              <w:instrText xml:space="preserve"> PAGEREF _Toc433906585 \h </w:instrText>
            </w:r>
            <w:r w:rsidR="00B91F13">
              <w:rPr>
                <w:webHidden/>
              </w:rPr>
            </w:r>
            <w:r w:rsidR="00B91F13">
              <w:rPr>
                <w:webHidden/>
              </w:rPr>
              <w:fldChar w:fldCharType="separate"/>
            </w:r>
            <w:r w:rsidR="001C66D7">
              <w:rPr>
                <w:webHidden/>
              </w:rPr>
              <w:t>34</w:t>
            </w:r>
            <w:r w:rsidR="00B91F13">
              <w:rPr>
                <w:webHidden/>
              </w:rPr>
              <w:fldChar w:fldCharType="end"/>
            </w:r>
          </w:hyperlink>
        </w:p>
        <w:p w14:paraId="4D82C2E6" w14:textId="77777777" w:rsidR="00B91F13" w:rsidRDefault="000B51F5">
          <w:pPr>
            <w:pStyle w:val="TOC2"/>
            <w:rPr>
              <w:rFonts w:asciiTheme="minorHAnsi" w:eastAsiaTheme="minorEastAsia" w:hAnsiTheme="minorHAnsi"/>
              <w:sz w:val="22"/>
              <w:szCs w:val="22"/>
              <w:lang w:eastAsia="en-AU"/>
            </w:rPr>
          </w:pPr>
          <w:hyperlink w:anchor="_Toc433906586" w:history="1">
            <w:r w:rsidR="00B91F13" w:rsidRPr="003671F5">
              <w:rPr>
                <w:rStyle w:val="Hyperlink"/>
                <w:lang w:eastAsia="en-AU"/>
                <w14:scene3d>
                  <w14:camera w14:prst="orthographicFront"/>
                  <w14:lightRig w14:rig="threePt" w14:dir="t">
                    <w14:rot w14:lat="0" w14:lon="0" w14:rev="0"/>
                  </w14:lightRig>
                </w14:scene3d>
              </w:rPr>
              <w:t>14</w:t>
            </w:r>
            <w:r w:rsidR="00B91F13">
              <w:rPr>
                <w:rFonts w:asciiTheme="minorHAnsi" w:eastAsiaTheme="minorEastAsia" w:hAnsiTheme="minorHAnsi"/>
                <w:sz w:val="22"/>
                <w:szCs w:val="22"/>
                <w:lang w:eastAsia="en-AU"/>
              </w:rPr>
              <w:tab/>
            </w:r>
            <w:r w:rsidR="00B91F13" w:rsidRPr="003671F5">
              <w:rPr>
                <w:rStyle w:val="Hyperlink"/>
                <w:lang w:eastAsia="en-AU"/>
              </w:rPr>
              <w:t>New Part 4: Historically Significant Material</w:t>
            </w:r>
            <w:r w:rsidR="00B91F13">
              <w:rPr>
                <w:webHidden/>
              </w:rPr>
              <w:tab/>
            </w:r>
            <w:r w:rsidR="00B91F13">
              <w:rPr>
                <w:webHidden/>
              </w:rPr>
              <w:fldChar w:fldCharType="begin"/>
            </w:r>
            <w:r w:rsidR="00B91F13">
              <w:rPr>
                <w:webHidden/>
              </w:rPr>
              <w:instrText xml:space="preserve"> PAGEREF _Toc433906586 \h </w:instrText>
            </w:r>
            <w:r w:rsidR="00B91F13">
              <w:rPr>
                <w:webHidden/>
              </w:rPr>
            </w:r>
            <w:r w:rsidR="00B91F13">
              <w:rPr>
                <w:webHidden/>
              </w:rPr>
              <w:fldChar w:fldCharType="separate"/>
            </w:r>
            <w:r w:rsidR="001C66D7">
              <w:rPr>
                <w:webHidden/>
              </w:rPr>
              <w:t>36</w:t>
            </w:r>
            <w:r w:rsidR="00B91F13">
              <w:rPr>
                <w:webHidden/>
              </w:rPr>
              <w:fldChar w:fldCharType="end"/>
            </w:r>
          </w:hyperlink>
        </w:p>
        <w:p w14:paraId="2C7BDA62" w14:textId="60244288" w:rsidR="00B91F13" w:rsidRDefault="000B51F5">
          <w:pPr>
            <w:pStyle w:val="TOC2"/>
            <w:rPr>
              <w:rFonts w:asciiTheme="minorHAnsi" w:eastAsiaTheme="minorEastAsia" w:hAnsiTheme="minorHAnsi"/>
              <w:sz w:val="22"/>
              <w:szCs w:val="22"/>
              <w:lang w:eastAsia="en-AU"/>
            </w:rPr>
          </w:pPr>
          <w:hyperlink w:anchor="_Toc433906587" w:history="1">
            <w:r w:rsidR="00B91F13" w:rsidRPr="003671F5">
              <w:rPr>
                <w:rStyle w:val="Hyperlink"/>
                <w14:scene3d>
                  <w14:camera w14:prst="orthographicFront"/>
                  <w14:lightRig w14:rig="threePt" w14:dir="t">
                    <w14:rot w14:lat="0" w14:lon="0" w14:rev="0"/>
                  </w14:lightRig>
                </w14:scene3d>
              </w:rPr>
              <w:t>15</w:t>
            </w:r>
            <w:r w:rsidR="00B91F13">
              <w:rPr>
                <w:rFonts w:asciiTheme="minorHAnsi" w:eastAsiaTheme="minorEastAsia" w:hAnsiTheme="minorHAnsi"/>
                <w:sz w:val="22"/>
                <w:szCs w:val="22"/>
                <w:lang w:eastAsia="en-AU"/>
              </w:rPr>
              <w:tab/>
            </w:r>
            <w:r w:rsidR="004C5F5C">
              <w:rPr>
                <w:rStyle w:val="Hyperlink"/>
              </w:rPr>
              <w:t>General Control L</w:t>
            </w:r>
            <w:r w:rsidR="00B91F13" w:rsidRPr="003671F5">
              <w:rPr>
                <w:rStyle w:val="Hyperlink"/>
              </w:rPr>
              <w:t>ist matters</w:t>
            </w:r>
            <w:r w:rsidR="00B91F13">
              <w:rPr>
                <w:webHidden/>
              </w:rPr>
              <w:tab/>
            </w:r>
            <w:r w:rsidR="00B91F13">
              <w:rPr>
                <w:webHidden/>
              </w:rPr>
              <w:fldChar w:fldCharType="begin"/>
            </w:r>
            <w:r w:rsidR="00B91F13">
              <w:rPr>
                <w:webHidden/>
              </w:rPr>
              <w:instrText xml:space="preserve"> PAGEREF _Toc433906587 \h </w:instrText>
            </w:r>
            <w:r w:rsidR="00B91F13">
              <w:rPr>
                <w:webHidden/>
              </w:rPr>
            </w:r>
            <w:r w:rsidR="00B91F13">
              <w:rPr>
                <w:webHidden/>
              </w:rPr>
              <w:fldChar w:fldCharType="separate"/>
            </w:r>
            <w:r w:rsidR="001C66D7">
              <w:rPr>
                <w:webHidden/>
              </w:rPr>
              <w:t>42</w:t>
            </w:r>
            <w:r w:rsidR="00B91F13">
              <w:rPr>
                <w:webHidden/>
              </w:rPr>
              <w:fldChar w:fldCharType="end"/>
            </w:r>
          </w:hyperlink>
        </w:p>
        <w:p w14:paraId="26759980" w14:textId="77777777" w:rsidR="00B91F13" w:rsidRDefault="000B51F5">
          <w:pPr>
            <w:pStyle w:val="TOC2"/>
            <w:rPr>
              <w:rFonts w:asciiTheme="minorHAnsi" w:eastAsiaTheme="minorEastAsia" w:hAnsiTheme="minorHAnsi"/>
              <w:sz w:val="22"/>
              <w:szCs w:val="22"/>
              <w:lang w:eastAsia="en-AU"/>
            </w:rPr>
          </w:pPr>
          <w:hyperlink w:anchor="_Toc433906588" w:history="1">
            <w:r w:rsidR="00B91F13" w:rsidRPr="003671F5">
              <w:rPr>
                <w:rStyle w:val="Hyperlink"/>
                <w14:scene3d>
                  <w14:camera w14:prst="orthographicFront"/>
                  <w14:lightRig w14:rig="threePt" w14:dir="t">
                    <w14:rot w14:lat="0" w14:lon="0" w14:rev="0"/>
                  </w14:lightRig>
                </w14:scene3d>
              </w:rPr>
              <w:t>16</w:t>
            </w:r>
            <w:r w:rsidR="00B91F13">
              <w:rPr>
                <w:rFonts w:asciiTheme="minorHAnsi" w:eastAsiaTheme="minorEastAsia" w:hAnsiTheme="minorHAnsi"/>
                <w:sz w:val="22"/>
                <w:szCs w:val="22"/>
                <w:lang w:eastAsia="en-AU"/>
              </w:rPr>
              <w:tab/>
            </w:r>
            <w:r w:rsidR="00B91F13" w:rsidRPr="003671F5">
              <w:rPr>
                <w:rStyle w:val="Hyperlink"/>
              </w:rPr>
              <w:t>Significance and representation</w:t>
            </w:r>
            <w:r w:rsidR="00B91F13">
              <w:rPr>
                <w:webHidden/>
              </w:rPr>
              <w:tab/>
            </w:r>
            <w:r w:rsidR="00B91F13">
              <w:rPr>
                <w:webHidden/>
              </w:rPr>
              <w:fldChar w:fldCharType="begin"/>
            </w:r>
            <w:r w:rsidR="00B91F13">
              <w:rPr>
                <w:webHidden/>
              </w:rPr>
              <w:instrText xml:space="preserve"> PAGEREF _Toc433906588 \h </w:instrText>
            </w:r>
            <w:r w:rsidR="00B91F13">
              <w:rPr>
                <w:webHidden/>
              </w:rPr>
            </w:r>
            <w:r w:rsidR="00B91F13">
              <w:rPr>
                <w:webHidden/>
              </w:rPr>
              <w:fldChar w:fldCharType="separate"/>
            </w:r>
            <w:r w:rsidR="001C66D7">
              <w:rPr>
                <w:webHidden/>
              </w:rPr>
              <w:t>47</w:t>
            </w:r>
            <w:r w:rsidR="00B91F13">
              <w:rPr>
                <w:webHidden/>
              </w:rPr>
              <w:fldChar w:fldCharType="end"/>
            </w:r>
          </w:hyperlink>
        </w:p>
        <w:p w14:paraId="088E8A50" w14:textId="77777777" w:rsidR="00B91F13" w:rsidRDefault="000B51F5">
          <w:pPr>
            <w:pStyle w:val="TOC2"/>
            <w:rPr>
              <w:rFonts w:asciiTheme="minorHAnsi" w:eastAsiaTheme="minorEastAsia" w:hAnsiTheme="minorHAnsi"/>
              <w:sz w:val="22"/>
              <w:szCs w:val="22"/>
              <w:lang w:eastAsia="en-AU"/>
            </w:rPr>
          </w:pPr>
          <w:hyperlink w:anchor="_Toc433906589" w:history="1">
            <w:r w:rsidR="00B91F13" w:rsidRPr="003671F5">
              <w:rPr>
                <w:rStyle w:val="Hyperlink"/>
                <w14:scene3d>
                  <w14:camera w14:prst="orthographicFront"/>
                  <w14:lightRig w14:rig="threePt" w14:dir="t">
                    <w14:rot w14:lat="0" w14:lon="0" w14:rev="0"/>
                  </w14:lightRig>
                </w14:scene3d>
              </w:rPr>
              <w:t>17</w:t>
            </w:r>
            <w:r w:rsidR="00B91F13">
              <w:rPr>
                <w:rFonts w:asciiTheme="minorHAnsi" w:eastAsiaTheme="minorEastAsia" w:hAnsiTheme="minorHAnsi"/>
                <w:sz w:val="22"/>
                <w:szCs w:val="22"/>
                <w:lang w:eastAsia="en-AU"/>
              </w:rPr>
              <w:tab/>
            </w:r>
            <w:r w:rsidR="00B91F13" w:rsidRPr="003671F5">
              <w:rPr>
                <w:rStyle w:val="Hyperlink"/>
              </w:rPr>
              <w:t>The National Cultural Heritage Committee and Expert Examiners</w:t>
            </w:r>
            <w:r w:rsidR="00B91F13">
              <w:rPr>
                <w:webHidden/>
              </w:rPr>
              <w:tab/>
            </w:r>
            <w:r w:rsidR="00B91F13">
              <w:rPr>
                <w:webHidden/>
              </w:rPr>
              <w:fldChar w:fldCharType="begin"/>
            </w:r>
            <w:r w:rsidR="00B91F13">
              <w:rPr>
                <w:webHidden/>
              </w:rPr>
              <w:instrText xml:space="preserve"> PAGEREF _Toc433906589 \h </w:instrText>
            </w:r>
            <w:r w:rsidR="00B91F13">
              <w:rPr>
                <w:webHidden/>
              </w:rPr>
            </w:r>
            <w:r w:rsidR="00B91F13">
              <w:rPr>
                <w:webHidden/>
              </w:rPr>
              <w:fldChar w:fldCharType="separate"/>
            </w:r>
            <w:r w:rsidR="001C66D7">
              <w:rPr>
                <w:webHidden/>
              </w:rPr>
              <w:t>64</w:t>
            </w:r>
            <w:r w:rsidR="00B91F13">
              <w:rPr>
                <w:webHidden/>
              </w:rPr>
              <w:fldChar w:fldCharType="end"/>
            </w:r>
          </w:hyperlink>
        </w:p>
        <w:p w14:paraId="5F5CC520" w14:textId="77777777" w:rsidR="00B91F13" w:rsidRDefault="000B51F5">
          <w:pPr>
            <w:pStyle w:val="TOC2"/>
            <w:rPr>
              <w:rFonts w:asciiTheme="minorHAnsi" w:eastAsiaTheme="minorEastAsia" w:hAnsiTheme="minorHAnsi"/>
              <w:sz w:val="22"/>
              <w:szCs w:val="22"/>
              <w:lang w:eastAsia="en-AU"/>
            </w:rPr>
          </w:pPr>
          <w:hyperlink w:anchor="_Toc433906590" w:history="1">
            <w:r w:rsidR="00B91F13" w:rsidRPr="003671F5">
              <w:rPr>
                <w:rStyle w:val="Hyperlink"/>
                <w14:scene3d>
                  <w14:camera w14:prst="orthographicFront"/>
                  <w14:lightRig w14:rig="threePt" w14:dir="t">
                    <w14:rot w14:lat="0" w14:lon="0" w14:rev="0"/>
                  </w14:lightRig>
                </w14:scene3d>
              </w:rPr>
              <w:t>18</w:t>
            </w:r>
            <w:r w:rsidR="00B91F13">
              <w:rPr>
                <w:rFonts w:asciiTheme="minorHAnsi" w:eastAsiaTheme="minorEastAsia" w:hAnsiTheme="minorHAnsi"/>
                <w:sz w:val="22"/>
                <w:szCs w:val="22"/>
                <w:lang w:eastAsia="en-AU"/>
              </w:rPr>
              <w:tab/>
            </w:r>
            <w:r w:rsidR="00B91F13" w:rsidRPr="003671F5">
              <w:rPr>
                <w:rStyle w:val="Hyperlink"/>
              </w:rPr>
              <w:t>Making the system faster and more efficient</w:t>
            </w:r>
            <w:r w:rsidR="00B91F13">
              <w:rPr>
                <w:webHidden/>
              </w:rPr>
              <w:tab/>
            </w:r>
            <w:r w:rsidR="00B91F13">
              <w:rPr>
                <w:webHidden/>
              </w:rPr>
              <w:fldChar w:fldCharType="begin"/>
            </w:r>
            <w:r w:rsidR="00B91F13">
              <w:rPr>
                <w:webHidden/>
              </w:rPr>
              <w:instrText xml:space="preserve"> PAGEREF _Toc433906590 \h </w:instrText>
            </w:r>
            <w:r w:rsidR="00B91F13">
              <w:rPr>
                <w:webHidden/>
              </w:rPr>
            </w:r>
            <w:r w:rsidR="00B91F13">
              <w:rPr>
                <w:webHidden/>
              </w:rPr>
              <w:fldChar w:fldCharType="separate"/>
            </w:r>
            <w:r w:rsidR="001C66D7">
              <w:rPr>
                <w:webHidden/>
              </w:rPr>
              <w:t>71</w:t>
            </w:r>
            <w:r w:rsidR="00B91F13">
              <w:rPr>
                <w:webHidden/>
              </w:rPr>
              <w:fldChar w:fldCharType="end"/>
            </w:r>
          </w:hyperlink>
        </w:p>
        <w:p w14:paraId="050340F5" w14:textId="77777777" w:rsidR="00B91F13" w:rsidRDefault="000B51F5">
          <w:pPr>
            <w:pStyle w:val="TOC2"/>
            <w:rPr>
              <w:rFonts w:asciiTheme="minorHAnsi" w:eastAsiaTheme="minorEastAsia" w:hAnsiTheme="minorHAnsi"/>
              <w:sz w:val="22"/>
              <w:szCs w:val="22"/>
              <w:lang w:eastAsia="en-AU"/>
            </w:rPr>
          </w:pPr>
          <w:hyperlink w:anchor="_Toc433906591" w:history="1">
            <w:r w:rsidR="00B91F13" w:rsidRPr="003671F5">
              <w:rPr>
                <w:rStyle w:val="Hyperlink"/>
                <w14:scene3d>
                  <w14:camera w14:prst="orthographicFront"/>
                  <w14:lightRig w14:rig="threePt" w14:dir="t">
                    <w14:rot w14:lat="0" w14:lon="0" w14:rev="0"/>
                  </w14:lightRig>
                </w14:scene3d>
              </w:rPr>
              <w:t>19</w:t>
            </w:r>
            <w:r w:rsidR="00B91F13">
              <w:rPr>
                <w:rFonts w:asciiTheme="minorHAnsi" w:eastAsiaTheme="minorEastAsia" w:hAnsiTheme="minorHAnsi"/>
                <w:sz w:val="22"/>
                <w:szCs w:val="22"/>
                <w:lang w:eastAsia="en-AU"/>
              </w:rPr>
              <w:tab/>
            </w:r>
            <w:r w:rsidR="00B91F13" w:rsidRPr="003671F5">
              <w:rPr>
                <w:rStyle w:val="Hyperlink"/>
              </w:rPr>
              <w:t>General Permits</w:t>
            </w:r>
            <w:r w:rsidR="00B91F13">
              <w:rPr>
                <w:webHidden/>
              </w:rPr>
              <w:tab/>
            </w:r>
            <w:r w:rsidR="00B91F13">
              <w:rPr>
                <w:webHidden/>
              </w:rPr>
              <w:fldChar w:fldCharType="begin"/>
            </w:r>
            <w:r w:rsidR="00B91F13">
              <w:rPr>
                <w:webHidden/>
              </w:rPr>
              <w:instrText xml:space="preserve"> PAGEREF _Toc433906591 \h </w:instrText>
            </w:r>
            <w:r w:rsidR="00B91F13">
              <w:rPr>
                <w:webHidden/>
              </w:rPr>
            </w:r>
            <w:r w:rsidR="00B91F13">
              <w:rPr>
                <w:webHidden/>
              </w:rPr>
              <w:fldChar w:fldCharType="separate"/>
            </w:r>
            <w:r w:rsidR="001C66D7">
              <w:rPr>
                <w:webHidden/>
              </w:rPr>
              <w:t>74</w:t>
            </w:r>
            <w:r w:rsidR="00B91F13">
              <w:rPr>
                <w:webHidden/>
              </w:rPr>
              <w:fldChar w:fldCharType="end"/>
            </w:r>
          </w:hyperlink>
        </w:p>
        <w:p w14:paraId="68DFB2CB" w14:textId="77777777" w:rsidR="00B91F13" w:rsidRDefault="000B51F5">
          <w:pPr>
            <w:pStyle w:val="TOC2"/>
            <w:rPr>
              <w:rFonts w:asciiTheme="minorHAnsi" w:eastAsiaTheme="minorEastAsia" w:hAnsiTheme="minorHAnsi"/>
              <w:sz w:val="22"/>
              <w:szCs w:val="22"/>
              <w:lang w:eastAsia="en-AU"/>
            </w:rPr>
          </w:pPr>
          <w:hyperlink w:anchor="_Toc433906592" w:history="1">
            <w:r w:rsidR="00B91F13" w:rsidRPr="003671F5">
              <w:rPr>
                <w:rStyle w:val="Hyperlink"/>
                <w14:scene3d>
                  <w14:camera w14:prst="orthographicFront"/>
                  <w14:lightRig w14:rig="threePt" w14:dir="t">
                    <w14:rot w14:lat="0" w14:lon="0" w14:rev="0"/>
                  </w14:lightRig>
                </w14:scene3d>
              </w:rPr>
              <w:t>20</w:t>
            </w:r>
            <w:r w:rsidR="00B91F13">
              <w:rPr>
                <w:rFonts w:asciiTheme="minorHAnsi" w:eastAsiaTheme="minorEastAsia" w:hAnsiTheme="minorHAnsi"/>
                <w:sz w:val="22"/>
                <w:szCs w:val="22"/>
                <w:lang w:eastAsia="en-AU"/>
              </w:rPr>
              <w:tab/>
            </w:r>
            <w:r w:rsidR="00B91F13" w:rsidRPr="003671F5">
              <w:rPr>
                <w:rStyle w:val="Hyperlink"/>
              </w:rPr>
              <w:t>Retention of Certificates of Exemption for material exported prior  to 1987</w:t>
            </w:r>
            <w:r w:rsidR="00B91F13">
              <w:rPr>
                <w:webHidden/>
              </w:rPr>
              <w:tab/>
            </w:r>
            <w:r w:rsidR="00B91F13">
              <w:rPr>
                <w:webHidden/>
              </w:rPr>
              <w:fldChar w:fldCharType="begin"/>
            </w:r>
            <w:r w:rsidR="00B91F13">
              <w:rPr>
                <w:webHidden/>
              </w:rPr>
              <w:instrText xml:space="preserve"> PAGEREF _Toc433906592 \h </w:instrText>
            </w:r>
            <w:r w:rsidR="00B91F13">
              <w:rPr>
                <w:webHidden/>
              </w:rPr>
            </w:r>
            <w:r w:rsidR="00B91F13">
              <w:rPr>
                <w:webHidden/>
              </w:rPr>
              <w:fldChar w:fldCharType="separate"/>
            </w:r>
            <w:r w:rsidR="001C66D7">
              <w:rPr>
                <w:webHidden/>
              </w:rPr>
              <w:t>78</w:t>
            </w:r>
            <w:r w:rsidR="00B91F13">
              <w:rPr>
                <w:webHidden/>
              </w:rPr>
              <w:fldChar w:fldCharType="end"/>
            </w:r>
          </w:hyperlink>
        </w:p>
        <w:p w14:paraId="68DB1400" w14:textId="77777777" w:rsidR="00B91F13" w:rsidRDefault="000B51F5">
          <w:pPr>
            <w:pStyle w:val="TOC2"/>
            <w:rPr>
              <w:rFonts w:asciiTheme="minorHAnsi" w:eastAsiaTheme="minorEastAsia" w:hAnsiTheme="minorHAnsi"/>
              <w:sz w:val="22"/>
              <w:szCs w:val="22"/>
              <w:lang w:eastAsia="en-AU"/>
            </w:rPr>
          </w:pPr>
          <w:hyperlink w:anchor="_Toc433906593" w:history="1">
            <w:r w:rsidR="00B91F13" w:rsidRPr="003671F5">
              <w:rPr>
                <w:rStyle w:val="Hyperlink"/>
                <w14:scene3d>
                  <w14:camera w14:prst="orthographicFront"/>
                  <w14:lightRig w14:rig="threePt" w14:dir="t">
                    <w14:rot w14:lat="0" w14:lon="0" w14:rev="0"/>
                  </w14:lightRig>
                </w14:scene3d>
              </w:rPr>
              <w:t>21</w:t>
            </w:r>
            <w:r w:rsidR="00B91F13">
              <w:rPr>
                <w:rFonts w:asciiTheme="minorHAnsi" w:eastAsiaTheme="minorEastAsia" w:hAnsiTheme="minorHAnsi"/>
                <w:sz w:val="22"/>
                <w:szCs w:val="22"/>
                <w:lang w:eastAsia="en-AU"/>
              </w:rPr>
              <w:tab/>
            </w:r>
            <w:r w:rsidR="00B91F13" w:rsidRPr="003671F5">
              <w:rPr>
                <w:rStyle w:val="Hyperlink"/>
              </w:rPr>
              <w:t>Making the system more compatible with other systems of export and import regulation</w:t>
            </w:r>
            <w:r w:rsidR="00B91F13">
              <w:rPr>
                <w:webHidden/>
              </w:rPr>
              <w:tab/>
            </w:r>
            <w:r w:rsidR="00B91F13">
              <w:rPr>
                <w:webHidden/>
              </w:rPr>
              <w:fldChar w:fldCharType="begin"/>
            </w:r>
            <w:r w:rsidR="00B91F13">
              <w:rPr>
                <w:webHidden/>
              </w:rPr>
              <w:instrText xml:space="preserve"> PAGEREF _Toc433906593 \h </w:instrText>
            </w:r>
            <w:r w:rsidR="00B91F13">
              <w:rPr>
                <w:webHidden/>
              </w:rPr>
            </w:r>
            <w:r w:rsidR="00B91F13">
              <w:rPr>
                <w:webHidden/>
              </w:rPr>
              <w:fldChar w:fldCharType="separate"/>
            </w:r>
            <w:r w:rsidR="001C66D7">
              <w:rPr>
                <w:webHidden/>
              </w:rPr>
              <w:t>80</w:t>
            </w:r>
            <w:r w:rsidR="00B91F13">
              <w:rPr>
                <w:webHidden/>
              </w:rPr>
              <w:fldChar w:fldCharType="end"/>
            </w:r>
          </w:hyperlink>
        </w:p>
        <w:p w14:paraId="379B2050" w14:textId="77777777" w:rsidR="00B91F13" w:rsidRDefault="000B51F5">
          <w:pPr>
            <w:pStyle w:val="TOC2"/>
            <w:rPr>
              <w:rFonts w:asciiTheme="minorHAnsi" w:eastAsiaTheme="minorEastAsia" w:hAnsiTheme="minorHAnsi"/>
              <w:sz w:val="22"/>
              <w:szCs w:val="22"/>
              <w:lang w:eastAsia="en-AU"/>
            </w:rPr>
          </w:pPr>
          <w:hyperlink w:anchor="_Toc433906594" w:history="1">
            <w:r w:rsidR="00B91F13" w:rsidRPr="003671F5">
              <w:rPr>
                <w:rStyle w:val="Hyperlink"/>
                <w14:scene3d>
                  <w14:camera w14:prst="orthographicFront"/>
                  <w14:lightRig w14:rig="threePt" w14:dir="t">
                    <w14:rot w14:lat="0" w14:lon="0" w14:rev="0"/>
                  </w14:lightRig>
                </w14:scene3d>
              </w:rPr>
              <w:t>22</w:t>
            </w:r>
            <w:r w:rsidR="00B91F13">
              <w:rPr>
                <w:rFonts w:asciiTheme="minorHAnsi" w:eastAsiaTheme="minorEastAsia" w:hAnsiTheme="minorHAnsi"/>
                <w:sz w:val="22"/>
                <w:szCs w:val="22"/>
                <w:lang w:eastAsia="en-AU"/>
              </w:rPr>
              <w:tab/>
            </w:r>
            <w:r w:rsidR="00B91F13" w:rsidRPr="003671F5">
              <w:rPr>
                <w:rStyle w:val="Hyperlink"/>
              </w:rPr>
              <w:t>Permanent export permit process</w:t>
            </w:r>
            <w:r w:rsidR="00B91F13">
              <w:rPr>
                <w:webHidden/>
              </w:rPr>
              <w:tab/>
            </w:r>
            <w:r w:rsidR="00B91F13">
              <w:rPr>
                <w:webHidden/>
              </w:rPr>
              <w:fldChar w:fldCharType="begin"/>
            </w:r>
            <w:r w:rsidR="00B91F13">
              <w:rPr>
                <w:webHidden/>
              </w:rPr>
              <w:instrText xml:space="preserve"> PAGEREF _Toc433906594 \h </w:instrText>
            </w:r>
            <w:r w:rsidR="00B91F13">
              <w:rPr>
                <w:webHidden/>
              </w:rPr>
            </w:r>
            <w:r w:rsidR="00B91F13">
              <w:rPr>
                <w:webHidden/>
              </w:rPr>
              <w:fldChar w:fldCharType="separate"/>
            </w:r>
            <w:r w:rsidR="001C66D7">
              <w:rPr>
                <w:webHidden/>
              </w:rPr>
              <w:t>80</w:t>
            </w:r>
            <w:r w:rsidR="00B91F13">
              <w:rPr>
                <w:webHidden/>
              </w:rPr>
              <w:fldChar w:fldCharType="end"/>
            </w:r>
          </w:hyperlink>
        </w:p>
        <w:p w14:paraId="55336E82" w14:textId="77777777" w:rsidR="00B91F13" w:rsidRDefault="000B51F5">
          <w:pPr>
            <w:pStyle w:val="TOC2"/>
            <w:rPr>
              <w:rFonts w:asciiTheme="minorHAnsi" w:eastAsiaTheme="minorEastAsia" w:hAnsiTheme="minorHAnsi"/>
              <w:sz w:val="22"/>
              <w:szCs w:val="22"/>
              <w:lang w:eastAsia="en-AU"/>
            </w:rPr>
          </w:pPr>
          <w:hyperlink w:anchor="_Toc433906595" w:history="1">
            <w:r w:rsidR="00B91F13" w:rsidRPr="003671F5">
              <w:rPr>
                <w:rStyle w:val="Hyperlink"/>
                <w14:scene3d>
                  <w14:camera w14:prst="orthographicFront"/>
                  <w14:lightRig w14:rig="threePt" w14:dir="t">
                    <w14:rot w14:lat="0" w14:lon="0" w14:rev="0"/>
                  </w14:lightRig>
                </w14:scene3d>
              </w:rPr>
              <w:t>23</w:t>
            </w:r>
            <w:r w:rsidR="00B91F13">
              <w:rPr>
                <w:rFonts w:asciiTheme="minorHAnsi" w:eastAsiaTheme="minorEastAsia" w:hAnsiTheme="minorHAnsi"/>
                <w:sz w:val="22"/>
                <w:szCs w:val="22"/>
                <w:lang w:eastAsia="en-AU"/>
              </w:rPr>
              <w:tab/>
            </w:r>
            <w:r w:rsidR="00B91F13" w:rsidRPr="003671F5">
              <w:rPr>
                <w:rStyle w:val="Hyperlink"/>
              </w:rPr>
              <w:t>Impact of the changes</w:t>
            </w:r>
            <w:r w:rsidR="00B91F13">
              <w:rPr>
                <w:webHidden/>
              </w:rPr>
              <w:tab/>
            </w:r>
            <w:r w:rsidR="00B91F13">
              <w:rPr>
                <w:webHidden/>
              </w:rPr>
              <w:fldChar w:fldCharType="begin"/>
            </w:r>
            <w:r w:rsidR="00B91F13">
              <w:rPr>
                <w:webHidden/>
              </w:rPr>
              <w:instrText xml:space="preserve"> PAGEREF _Toc433906595 \h </w:instrText>
            </w:r>
            <w:r w:rsidR="00B91F13">
              <w:rPr>
                <w:webHidden/>
              </w:rPr>
            </w:r>
            <w:r w:rsidR="00B91F13">
              <w:rPr>
                <w:webHidden/>
              </w:rPr>
              <w:fldChar w:fldCharType="separate"/>
            </w:r>
            <w:r w:rsidR="001C66D7">
              <w:rPr>
                <w:webHidden/>
              </w:rPr>
              <w:t>86</w:t>
            </w:r>
            <w:r w:rsidR="00B91F13">
              <w:rPr>
                <w:webHidden/>
              </w:rPr>
              <w:fldChar w:fldCharType="end"/>
            </w:r>
          </w:hyperlink>
        </w:p>
        <w:p w14:paraId="31235C13" w14:textId="77777777" w:rsidR="00B91F13" w:rsidRDefault="000B51F5">
          <w:pPr>
            <w:pStyle w:val="TOC2"/>
            <w:rPr>
              <w:rFonts w:asciiTheme="minorHAnsi" w:eastAsiaTheme="minorEastAsia" w:hAnsiTheme="minorHAnsi"/>
              <w:sz w:val="22"/>
              <w:szCs w:val="22"/>
              <w:lang w:eastAsia="en-AU"/>
            </w:rPr>
          </w:pPr>
          <w:hyperlink w:anchor="_Toc433906596" w:history="1">
            <w:r w:rsidR="00B91F13" w:rsidRPr="003671F5">
              <w:rPr>
                <w:rStyle w:val="Hyperlink"/>
                <w14:scene3d>
                  <w14:camera w14:prst="orthographicFront"/>
                  <w14:lightRig w14:rig="threePt" w14:dir="t">
                    <w14:rot w14:lat="0" w14:lon="0" w14:rev="0"/>
                  </w14:lightRig>
                </w14:scene3d>
              </w:rPr>
              <w:t>24</w:t>
            </w:r>
            <w:r w:rsidR="00B91F13">
              <w:rPr>
                <w:rFonts w:asciiTheme="minorHAnsi" w:eastAsiaTheme="minorEastAsia" w:hAnsiTheme="minorHAnsi"/>
                <w:sz w:val="22"/>
                <w:szCs w:val="22"/>
                <w:lang w:eastAsia="en-AU"/>
              </w:rPr>
              <w:tab/>
            </w:r>
            <w:r w:rsidR="00B91F13" w:rsidRPr="003671F5">
              <w:rPr>
                <w:rStyle w:val="Hyperlink"/>
              </w:rPr>
              <w:t>Transparency</w:t>
            </w:r>
            <w:r w:rsidR="00B91F13">
              <w:rPr>
                <w:webHidden/>
              </w:rPr>
              <w:tab/>
            </w:r>
            <w:r w:rsidR="00B91F13">
              <w:rPr>
                <w:webHidden/>
              </w:rPr>
              <w:fldChar w:fldCharType="begin"/>
            </w:r>
            <w:r w:rsidR="00B91F13">
              <w:rPr>
                <w:webHidden/>
              </w:rPr>
              <w:instrText xml:space="preserve"> PAGEREF _Toc433906596 \h </w:instrText>
            </w:r>
            <w:r w:rsidR="00B91F13">
              <w:rPr>
                <w:webHidden/>
              </w:rPr>
            </w:r>
            <w:r w:rsidR="00B91F13">
              <w:rPr>
                <w:webHidden/>
              </w:rPr>
              <w:fldChar w:fldCharType="separate"/>
            </w:r>
            <w:r w:rsidR="001C66D7">
              <w:rPr>
                <w:webHidden/>
              </w:rPr>
              <w:t>88</w:t>
            </w:r>
            <w:r w:rsidR="00B91F13">
              <w:rPr>
                <w:webHidden/>
              </w:rPr>
              <w:fldChar w:fldCharType="end"/>
            </w:r>
          </w:hyperlink>
        </w:p>
        <w:p w14:paraId="34901F7E" w14:textId="77777777" w:rsidR="00B91F13" w:rsidRDefault="000B51F5">
          <w:pPr>
            <w:pStyle w:val="TOC2"/>
            <w:rPr>
              <w:rFonts w:asciiTheme="minorHAnsi" w:eastAsiaTheme="minorEastAsia" w:hAnsiTheme="minorHAnsi"/>
              <w:sz w:val="22"/>
              <w:szCs w:val="22"/>
              <w:lang w:eastAsia="en-AU"/>
            </w:rPr>
          </w:pPr>
          <w:hyperlink w:anchor="_Toc433906597" w:history="1">
            <w:r w:rsidR="00B91F13" w:rsidRPr="003671F5">
              <w:rPr>
                <w:rStyle w:val="Hyperlink"/>
                <w:lang w:eastAsia="en-AU"/>
                <w14:scene3d>
                  <w14:camera w14:prst="orthographicFront"/>
                  <w14:lightRig w14:rig="threePt" w14:dir="t">
                    <w14:rot w14:lat="0" w14:lon="0" w14:rev="0"/>
                  </w14:lightRig>
                </w14:scene3d>
              </w:rPr>
              <w:t>25</w:t>
            </w:r>
            <w:r w:rsidR="00B91F13">
              <w:rPr>
                <w:rFonts w:asciiTheme="minorHAnsi" w:eastAsiaTheme="minorEastAsia" w:hAnsiTheme="minorHAnsi"/>
                <w:sz w:val="22"/>
                <w:szCs w:val="22"/>
                <w:lang w:eastAsia="en-AU"/>
              </w:rPr>
              <w:tab/>
            </w:r>
            <w:r w:rsidR="00B91F13" w:rsidRPr="003671F5">
              <w:rPr>
                <w:rStyle w:val="Hyperlink"/>
                <w:lang w:eastAsia="en-AU"/>
              </w:rPr>
              <w:t>National Cultural Heritage Account</w:t>
            </w:r>
            <w:r w:rsidR="00B91F13">
              <w:rPr>
                <w:webHidden/>
              </w:rPr>
              <w:tab/>
            </w:r>
            <w:r w:rsidR="00B91F13">
              <w:rPr>
                <w:webHidden/>
              </w:rPr>
              <w:fldChar w:fldCharType="begin"/>
            </w:r>
            <w:r w:rsidR="00B91F13">
              <w:rPr>
                <w:webHidden/>
              </w:rPr>
              <w:instrText xml:space="preserve"> PAGEREF _Toc433906597 \h </w:instrText>
            </w:r>
            <w:r w:rsidR="00B91F13">
              <w:rPr>
                <w:webHidden/>
              </w:rPr>
            </w:r>
            <w:r w:rsidR="00B91F13">
              <w:rPr>
                <w:webHidden/>
              </w:rPr>
              <w:fldChar w:fldCharType="separate"/>
            </w:r>
            <w:r w:rsidR="001C66D7">
              <w:rPr>
                <w:webHidden/>
              </w:rPr>
              <w:t>90</w:t>
            </w:r>
            <w:r w:rsidR="00B91F13">
              <w:rPr>
                <w:webHidden/>
              </w:rPr>
              <w:fldChar w:fldCharType="end"/>
            </w:r>
          </w:hyperlink>
        </w:p>
        <w:p w14:paraId="1814EF68" w14:textId="77777777" w:rsidR="00B91F13" w:rsidRDefault="000B51F5">
          <w:pPr>
            <w:pStyle w:val="TOC1"/>
            <w:rPr>
              <w:rFonts w:asciiTheme="minorHAnsi" w:eastAsiaTheme="minorEastAsia" w:hAnsiTheme="minorHAnsi"/>
              <w:b w:val="0"/>
              <w:sz w:val="22"/>
              <w:szCs w:val="22"/>
              <w:lang w:eastAsia="en-AU"/>
            </w:rPr>
          </w:pPr>
          <w:hyperlink w:anchor="_Toc433906598" w:history="1">
            <w:r w:rsidR="00B91F13" w:rsidRPr="003671F5">
              <w:rPr>
                <w:rStyle w:val="Hyperlink"/>
              </w:rPr>
              <w:t>Part C: Protection of foreign cultural material</w:t>
            </w:r>
            <w:r w:rsidR="00B91F13">
              <w:rPr>
                <w:webHidden/>
              </w:rPr>
              <w:tab/>
            </w:r>
            <w:r w:rsidR="00B91F13">
              <w:rPr>
                <w:webHidden/>
              </w:rPr>
              <w:fldChar w:fldCharType="begin"/>
            </w:r>
            <w:r w:rsidR="00B91F13">
              <w:rPr>
                <w:webHidden/>
              </w:rPr>
              <w:instrText xml:space="preserve"> PAGEREF _Toc433906598 \h </w:instrText>
            </w:r>
            <w:r w:rsidR="00B91F13">
              <w:rPr>
                <w:webHidden/>
              </w:rPr>
            </w:r>
            <w:r w:rsidR="00B91F13">
              <w:rPr>
                <w:webHidden/>
              </w:rPr>
              <w:fldChar w:fldCharType="separate"/>
            </w:r>
            <w:r w:rsidR="001C66D7">
              <w:rPr>
                <w:webHidden/>
              </w:rPr>
              <w:t>97</w:t>
            </w:r>
            <w:r w:rsidR="00B91F13">
              <w:rPr>
                <w:webHidden/>
              </w:rPr>
              <w:fldChar w:fldCharType="end"/>
            </w:r>
          </w:hyperlink>
        </w:p>
        <w:p w14:paraId="763118F5" w14:textId="77777777" w:rsidR="00B91F13" w:rsidRDefault="000B51F5">
          <w:pPr>
            <w:pStyle w:val="TOC2"/>
            <w:rPr>
              <w:rFonts w:asciiTheme="minorHAnsi" w:eastAsiaTheme="minorEastAsia" w:hAnsiTheme="minorHAnsi"/>
              <w:sz w:val="22"/>
              <w:szCs w:val="22"/>
              <w:lang w:eastAsia="en-AU"/>
            </w:rPr>
          </w:pPr>
          <w:hyperlink w:anchor="_Toc433906599" w:history="1">
            <w:r w:rsidR="00B91F13" w:rsidRPr="003671F5">
              <w:rPr>
                <w:rStyle w:val="Hyperlink"/>
                <w14:scene3d>
                  <w14:camera w14:prst="orthographicFront"/>
                  <w14:lightRig w14:rig="threePt" w14:dir="t">
                    <w14:rot w14:lat="0" w14:lon="0" w14:rev="0"/>
                  </w14:lightRig>
                </w14:scene3d>
              </w:rPr>
              <w:t>26</w:t>
            </w:r>
            <w:r w:rsidR="00B91F13">
              <w:rPr>
                <w:rFonts w:asciiTheme="minorHAnsi" w:eastAsiaTheme="minorEastAsia" w:hAnsiTheme="minorHAnsi"/>
                <w:sz w:val="22"/>
                <w:szCs w:val="22"/>
                <w:lang w:eastAsia="en-AU"/>
              </w:rPr>
              <w:tab/>
            </w:r>
            <w:r w:rsidR="00B91F13" w:rsidRPr="003671F5">
              <w:rPr>
                <w:rStyle w:val="Hyperlink"/>
              </w:rPr>
              <w:t>Australia’s international commitments</w:t>
            </w:r>
            <w:r w:rsidR="00B91F13">
              <w:rPr>
                <w:webHidden/>
              </w:rPr>
              <w:tab/>
            </w:r>
            <w:r w:rsidR="00B91F13">
              <w:rPr>
                <w:webHidden/>
              </w:rPr>
              <w:fldChar w:fldCharType="begin"/>
            </w:r>
            <w:r w:rsidR="00B91F13">
              <w:rPr>
                <w:webHidden/>
              </w:rPr>
              <w:instrText xml:space="preserve"> PAGEREF _Toc433906599 \h </w:instrText>
            </w:r>
            <w:r w:rsidR="00B91F13">
              <w:rPr>
                <w:webHidden/>
              </w:rPr>
            </w:r>
            <w:r w:rsidR="00B91F13">
              <w:rPr>
                <w:webHidden/>
              </w:rPr>
              <w:fldChar w:fldCharType="separate"/>
            </w:r>
            <w:r w:rsidR="001C66D7">
              <w:rPr>
                <w:webHidden/>
              </w:rPr>
              <w:t>97</w:t>
            </w:r>
            <w:r w:rsidR="00B91F13">
              <w:rPr>
                <w:webHidden/>
              </w:rPr>
              <w:fldChar w:fldCharType="end"/>
            </w:r>
          </w:hyperlink>
        </w:p>
        <w:p w14:paraId="54976756" w14:textId="4201E092" w:rsidR="00B91F13" w:rsidRDefault="000B51F5">
          <w:pPr>
            <w:pStyle w:val="TOC2"/>
            <w:rPr>
              <w:rFonts w:asciiTheme="minorHAnsi" w:eastAsiaTheme="minorEastAsia" w:hAnsiTheme="minorHAnsi"/>
              <w:sz w:val="22"/>
              <w:szCs w:val="22"/>
              <w:lang w:eastAsia="en-AU"/>
            </w:rPr>
          </w:pPr>
          <w:hyperlink w:anchor="_Toc433906600" w:history="1">
            <w:r w:rsidR="00B91F13" w:rsidRPr="003671F5">
              <w:rPr>
                <w:rStyle w:val="Hyperlink"/>
                <w14:scene3d>
                  <w14:camera w14:prst="orthographicFront"/>
                  <w14:lightRig w14:rig="threePt" w14:dir="t">
                    <w14:rot w14:lat="0" w14:lon="0" w14:rev="0"/>
                  </w14:lightRig>
                </w14:scene3d>
              </w:rPr>
              <w:t>27</w:t>
            </w:r>
            <w:r w:rsidR="00B91F13">
              <w:rPr>
                <w:rFonts w:asciiTheme="minorHAnsi" w:eastAsiaTheme="minorEastAsia" w:hAnsiTheme="minorHAnsi"/>
                <w:sz w:val="22"/>
                <w:szCs w:val="22"/>
                <w:lang w:eastAsia="en-AU"/>
              </w:rPr>
              <w:tab/>
            </w:r>
            <w:r w:rsidR="004C5F5C">
              <w:rPr>
                <w:rStyle w:val="Hyperlink"/>
              </w:rPr>
              <w:t>International l</w:t>
            </w:r>
            <w:r w:rsidR="00B91F13" w:rsidRPr="003671F5">
              <w:rPr>
                <w:rStyle w:val="Hyperlink"/>
              </w:rPr>
              <w:t>andscape</w:t>
            </w:r>
            <w:r w:rsidR="00B91F13">
              <w:rPr>
                <w:webHidden/>
              </w:rPr>
              <w:tab/>
            </w:r>
            <w:r w:rsidR="00B91F13">
              <w:rPr>
                <w:webHidden/>
              </w:rPr>
              <w:fldChar w:fldCharType="begin"/>
            </w:r>
            <w:r w:rsidR="00B91F13">
              <w:rPr>
                <w:webHidden/>
              </w:rPr>
              <w:instrText xml:space="preserve"> PAGEREF _Toc433906600 \h </w:instrText>
            </w:r>
            <w:r w:rsidR="00B91F13">
              <w:rPr>
                <w:webHidden/>
              </w:rPr>
            </w:r>
            <w:r w:rsidR="00B91F13">
              <w:rPr>
                <w:webHidden/>
              </w:rPr>
              <w:fldChar w:fldCharType="separate"/>
            </w:r>
            <w:r w:rsidR="001C66D7">
              <w:rPr>
                <w:webHidden/>
              </w:rPr>
              <w:t>99</w:t>
            </w:r>
            <w:r w:rsidR="00B91F13">
              <w:rPr>
                <w:webHidden/>
              </w:rPr>
              <w:fldChar w:fldCharType="end"/>
            </w:r>
          </w:hyperlink>
        </w:p>
        <w:p w14:paraId="4F644381" w14:textId="77777777" w:rsidR="00B91F13" w:rsidRDefault="000B51F5">
          <w:pPr>
            <w:pStyle w:val="TOC2"/>
            <w:rPr>
              <w:rFonts w:asciiTheme="minorHAnsi" w:eastAsiaTheme="minorEastAsia" w:hAnsiTheme="minorHAnsi"/>
              <w:sz w:val="22"/>
              <w:szCs w:val="22"/>
              <w:lang w:eastAsia="en-AU"/>
            </w:rPr>
          </w:pPr>
          <w:hyperlink w:anchor="_Toc433906601" w:history="1">
            <w:r w:rsidR="00B91F13" w:rsidRPr="003671F5">
              <w:rPr>
                <w:rStyle w:val="Hyperlink"/>
                <w14:scene3d>
                  <w14:camera w14:prst="orthographicFront"/>
                  <w14:lightRig w14:rig="threePt" w14:dir="t">
                    <w14:rot w14:lat="0" w14:lon="0" w14:rev="0"/>
                  </w14:lightRig>
                </w14:scene3d>
              </w:rPr>
              <w:t>28</w:t>
            </w:r>
            <w:r w:rsidR="00B91F13">
              <w:rPr>
                <w:rFonts w:asciiTheme="minorHAnsi" w:eastAsiaTheme="minorEastAsia" w:hAnsiTheme="minorHAnsi"/>
                <w:sz w:val="22"/>
                <w:szCs w:val="22"/>
                <w:lang w:eastAsia="en-AU"/>
              </w:rPr>
              <w:tab/>
            </w:r>
            <w:r w:rsidR="00B91F13" w:rsidRPr="003671F5">
              <w:rPr>
                <w:rStyle w:val="Hyperlink"/>
              </w:rPr>
              <w:t>Issues with the current Act</w:t>
            </w:r>
            <w:r w:rsidR="00B91F13">
              <w:rPr>
                <w:webHidden/>
              </w:rPr>
              <w:tab/>
            </w:r>
            <w:r w:rsidR="00B91F13">
              <w:rPr>
                <w:webHidden/>
              </w:rPr>
              <w:fldChar w:fldCharType="begin"/>
            </w:r>
            <w:r w:rsidR="00B91F13">
              <w:rPr>
                <w:webHidden/>
              </w:rPr>
              <w:instrText xml:space="preserve"> PAGEREF _Toc433906601 \h </w:instrText>
            </w:r>
            <w:r w:rsidR="00B91F13">
              <w:rPr>
                <w:webHidden/>
              </w:rPr>
            </w:r>
            <w:r w:rsidR="00B91F13">
              <w:rPr>
                <w:webHidden/>
              </w:rPr>
              <w:fldChar w:fldCharType="separate"/>
            </w:r>
            <w:r w:rsidR="001C66D7">
              <w:rPr>
                <w:webHidden/>
              </w:rPr>
              <w:t>121</w:t>
            </w:r>
            <w:r w:rsidR="00B91F13">
              <w:rPr>
                <w:webHidden/>
              </w:rPr>
              <w:fldChar w:fldCharType="end"/>
            </w:r>
          </w:hyperlink>
        </w:p>
        <w:p w14:paraId="547E8FF7" w14:textId="77777777" w:rsidR="00B91F13" w:rsidRDefault="000B51F5">
          <w:pPr>
            <w:pStyle w:val="TOC2"/>
            <w:rPr>
              <w:rFonts w:asciiTheme="minorHAnsi" w:eastAsiaTheme="minorEastAsia" w:hAnsiTheme="minorHAnsi"/>
              <w:sz w:val="22"/>
              <w:szCs w:val="22"/>
              <w:lang w:eastAsia="en-AU"/>
            </w:rPr>
          </w:pPr>
          <w:hyperlink w:anchor="_Toc433906602" w:history="1">
            <w:r w:rsidR="00B91F13" w:rsidRPr="003671F5">
              <w:rPr>
                <w:rStyle w:val="Hyperlink"/>
                <w14:scene3d>
                  <w14:camera w14:prst="orthographicFront"/>
                  <w14:lightRig w14:rig="threePt" w14:dir="t">
                    <w14:rot w14:lat="0" w14:lon="0" w14:rev="0"/>
                  </w14:lightRig>
                </w14:scene3d>
              </w:rPr>
              <w:t>29</w:t>
            </w:r>
            <w:r w:rsidR="00B91F13">
              <w:rPr>
                <w:rFonts w:asciiTheme="minorHAnsi" w:eastAsiaTheme="minorEastAsia" w:hAnsiTheme="minorHAnsi"/>
                <w:sz w:val="22"/>
                <w:szCs w:val="22"/>
                <w:lang w:eastAsia="en-AU"/>
              </w:rPr>
              <w:tab/>
            </w:r>
            <w:r w:rsidR="00B91F13" w:rsidRPr="003671F5">
              <w:rPr>
                <w:rStyle w:val="Hyperlink"/>
              </w:rPr>
              <w:t>Framework of the new model</w:t>
            </w:r>
            <w:r w:rsidR="00B91F13">
              <w:rPr>
                <w:webHidden/>
              </w:rPr>
              <w:tab/>
            </w:r>
            <w:r w:rsidR="00B91F13">
              <w:rPr>
                <w:webHidden/>
              </w:rPr>
              <w:fldChar w:fldCharType="begin"/>
            </w:r>
            <w:r w:rsidR="00B91F13">
              <w:rPr>
                <w:webHidden/>
              </w:rPr>
              <w:instrText xml:space="preserve"> PAGEREF _Toc433906602 \h </w:instrText>
            </w:r>
            <w:r w:rsidR="00B91F13">
              <w:rPr>
                <w:webHidden/>
              </w:rPr>
            </w:r>
            <w:r w:rsidR="00B91F13">
              <w:rPr>
                <w:webHidden/>
              </w:rPr>
              <w:fldChar w:fldCharType="separate"/>
            </w:r>
            <w:r w:rsidR="001C66D7">
              <w:rPr>
                <w:webHidden/>
              </w:rPr>
              <w:t>123</w:t>
            </w:r>
            <w:r w:rsidR="00B91F13">
              <w:rPr>
                <w:webHidden/>
              </w:rPr>
              <w:fldChar w:fldCharType="end"/>
            </w:r>
          </w:hyperlink>
        </w:p>
        <w:p w14:paraId="1665EA59" w14:textId="5D112B49" w:rsidR="00B91F13" w:rsidRDefault="000B51F5">
          <w:pPr>
            <w:pStyle w:val="TOC2"/>
            <w:rPr>
              <w:rFonts w:asciiTheme="minorHAnsi" w:eastAsiaTheme="minorEastAsia" w:hAnsiTheme="minorHAnsi"/>
              <w:sz w:val="22"/>
              <w:szCs w:val="22"/>
              <w:lang w:eastAsia="en-AU"/>
            </w:rPr>
          </w:pPr>
          <w:hyperlink w:anchor="_Toc433906603" w:history="1">
            <w:r w:rsidR="00B91F13" w:rsidRPr="003671F5">
              <w:rPr>
                <w:rStyle w:val="Hyperlink"/>
                <w14:scene3d>
                  <w14:camera w14:prst="orthographicFront"/>
                  <w14:lightRig w14:rig="threePt" w14:dir="t">
                    <w14:rot w14:lat="0" w14:lon="0" w14:rev="0"/>
                  </w14:lightRig>
                </w14:scene3d>
              </w:rPr>
              <w:t>30</w:t>
            </w:r>
            <w:r w:rsidR="00B91F13">
              <w:rPr>
                <w:rFonts w:asciiTheme="minorHAnsi" w:eastAsiaTheme="minorEastAsia" w:hAnsiTheme="minorHAnsi"/>
                <w:sz w:val="22"/>
                <w:szCs w:val="22"/>
                <w:lang w:eastAsia="en-AU"/>
              </w:rPr>
              <w:tab/>
            </w:r>
            <w:r w:rsidR="00B91F13" w:rsidRPr="003671F5">
              <w:rPr>
                <w:rStyle w:val="Hyperlink"/>
              </w:rPr>
              <w:t xml:space="preserve">Core principles of the </w:t>
            </w:r>
            <w:r w:rsidR="004C5F5C">
              <w:rPr>
                <w:rStyle w:val="Hyperlink"/>
              </w:rPr>
              <w:t xml:space="preserve">new </w:t>
            </w:r>
            <w:r w:rsidR="00B91F13" w:rsidRPr="003671F5">
              <w:rPr>
                <w:rStyle w:val="Hyperlink"/>
              </w:rPr>
              <w:t>model</w:t>
            </w:r>
            <w:r w:rsidR="00B91F13">
              <w:rPr>
                <w:webHidden/>
              </w:rPr>
              <w:tab/>
            </w:r>
            <w:r w:rsidR="00B91F13">
              <w:rPr>
                <w:webHidden/>
              </w:rPr>
              <w:fldChar w:fldCharType="begin"/>
            </w:r>
            <w:r w:rsidR="00B91F13">
              <w:rPr>
                <w:webHidden/>
              </w:rPr>
              <w:instrText xml:space="preserve"> PAGEREF _Toc433906603 \h </w:instrText>
            </w:r>
            <w:r w:rsidR="00B91F13">
              <w:rPr>
                <w:webHidden/>
              </w:rPr>
            </w:r>
            <w:r w:rsidR="00B91F13">
              <w:rPr>
                <w:webHidden/>
              </w:rPr>
              <w:fldChar w:fldCharType="separate"/>
            </w:r>
            <w:r w:rsidR="001C66D7">
              <w:rPr>
                <w:webHidden/>
              </w:rPr>
              <w:t>125</w:t>
            </w:r>
            <w:r w:rsidR="00B91F13">
              <w:rPr>
                <w:webHidden/>
              </w:rPr>
              <w:fldChar w:fldCharType="end"/>
            </w:r>
          </w:hyperlink>
        </w:p>
        <w:p w14:paraId="5EDC1639" w14:textId="77777777" w:rsidR="00B91F13" w:rsidRDefault="000B51F5">
          <w:pPr>
            <w:pStyle w:val="TOC2"/>
            <w:rPr>
              <w:rFonts w:asciiTheme="minorHAnsi" w:eastAsiaTheme="minorEastAsia" w:hAnsiTheme="minorHAnsi"/>
              <w:sz w:val="22"/>
              <w:szCs w:val="22"/>
              <w:lang w:eastAsia="en-AU"/>
            </w:rPr>
          </w:pPr>
          <w:hyperlink w:anchor="_Toc433906604" w:history="1">
            <w:r w:rsidR="00B91F13" w:rsidRPr="003671F5">
              <w:rPr>
                <w:rStyle w:val="Hyperlink"/>
                <w14:scene3d>
                  <w14:camera w14:prst="orthographicFront"/>
                  <w14:lightRig w14:rig="threePt" w14:dir="t">
                    <w14:rot w14:lat="0" w14:lon="0" w14:rev="0"/>
                  </w14:lightRig>
                </w14:scene3d>
              </w:rPr>
              <w:t>31</w:t>
            </w:r>
            <w:r w:rsidR="00B91F13">
              <w:rPr>
                <w:rFonts w:asciiTheme="minorHAnsi" w:eastAsiaTheme="minorEastAsia" w:hAnsiTheme="minorHAnsi"/>
                <w:sz w:val="22"/>
                <w:szCs w:val="22"/>
                <w:lang w:eastAsia="en-AU"/>
              </w:rPr>
              <w:tab/>
            </w:r>
            <w:r w:rsidR="00B91F13" w:rsidRPr="003671F5">
              <w:rPr>
                <w:rStyle w:val="Hyperlink"/>
              </w:rPr>
              <w:t>The process of the new model</w:t>
            </w:r>
            <w:r w:rsidR="00B91F13">
              <w:rPr>
                <w:webHidden/>
              </w:rPr>
              <w:tab/>
            </w:r>
            <w:r w:rsidR="00B91F13">
              <w:rPr>
                <w:webHidden/>
              </w:rPr>
              <w:fldChar w:fldCharType="begin"/>
            </w:r>
            <w:r w:rsidR="00B91F13">
              <w:rPr>
                <w:webHidden/>
              </w:rPr>
              <w:instrText xml:space="preserve"> PAGEREF _Toc433906604 \h </w:instrText>
            </w:r>
            <w:r w:rsidR="00B91F13">
              <w:rPr>
                <w:webHidden/>
              </w:rPr>
            </w:r>
            <w:r w:rsidR="00B91F13">
              <w:rPr>
                <w:webHidden/>
              </w:rPr>
              <w:fldChar w:fldCharType="separate"/>
            </w:r>
            <w:r w:rsidR="001C66D7">
              <w:rPr>
                <w:webHidden/>
              </w:rPr>
              <w:t>126</w:t>
            </w:r>
            <w:r w:rsidR="00B91F13">
              <w:rPr>
                <w:webHidden/>
              </w:rPr>
              <w:fldChar w:fldCharType="end"/>
            </w:r>
          </w:hyperlink>
        </w:p>
        <w:p w14:paraId="3C4D63E5" w14:textId="77777777" w:rsidR="00B91F13" w:rsidRDefault="000B51F5">
          <w:pPr>
            <w:pStyle w:val="TOC2"/>
            <w:rPr>
              <w:rFonts w:asciiTheme="minorHAnsi" w:eastAsiaTheme="minorEastAsia" w:hAnsiTheme="minorHAnsi"/>
              <w:sz w:val="22"/>
              <w:szCs w:val="22"/>
              <w:lang w:eastAsia="en-AU"/>
            </w:rPr>
          </w:pPr>
          <w:hyperlink w:anchor="_Toc433906605" w:history="1">
            <w:r w:rsidR="00B91F13" w:rsidRPr="003671F5">
              <w:rPr>
                <w:rStyle w:val="Hyperlink"/>
                <w14:scene3d>
                  <w14:camera w14:prst="orthographicFront"/>
                  <w14:lightRig w14:rig="threePt" w14:dir="t">
                    <w14:rot w14:lat="0" w14:lon="0" w14:rev="0"/>
                  </w14:lightRig>
                </w14:scene3d>
              </w:rPr>
              <w:t>32</w:t>
            </w:r>
            <w:r w:rsidR="00B91F13">
              <w:rPr>
                <w:rFonts w:asciiTheme="minorHAnsi" w:eastAsiaTheme="minorEastAsia" w:hAnsiTheme="minorHAnsi"/>
                <w:sz w:val="22"/>
                <w:szCs w:val="22"/>
                <w:lang w:eastAsia="en-AU"/>
              </w:rPr>
              <w:tab/>
            </w:r>
            <w:r w:rsidR="00B91F13" w:rsidRPr="003671F5">
              <w:rPr>
                <w:rStyle w:val="Hyperlink"/>
              </w:rPr>
              <w:t>Specific provisions—illegally exported cultural material</w:t>
            </w:r>
            <w:r w:rsidR="00B91F13">
              <w:rPr>
                <w:webHidden/>
              </w:rPr>
              <w:tab/>
            </w:r>
            <w:r w:rsidR="00B91F13">
              <w:rPr>
                <w:webHidden/>
              </w:rPr>
              <w:fldChar w:fldCharType="begin"/>
            </w:r>
            <w:r w:rsidR="00B91F13">
              <w:rPr>
                <w:webHidden/>
              </w:rPr>
              <w:instrText xml:space="preserve"> PAGEREF _Toc433906605 \h </w:instrText>
            </w:r>
            <w:r w:rsidR="00B91F13">
              <w:rPr>
                <w:webHidden/>
              </w:rPr>
            </w:r>
            <w:r w:rsidR="00B91F13">
              <w:rPr>
                <w:webHidden/>
              </w:rPr>
              <w:fldChar w:fldCharType="separate"/>
            </w:r>
            <w:r w:rsidR="001C66D7">
              <w:rPr>
                <w:webHidden/>
              </w:rPr>
              <w:t>135</w:t>
            </w:r>
            <w:r w:rsidR="00B91F13">
              <w:rPr>
                <w:webHidden/>
              </w:rPr>
              <w:fldChar w:fldCharType="end"/>
            </w:r>
          </w:hyperlink>
        </w:p>
        <w:p w14:paraId="7FFE2433" w14:textId="77777777" w:rsidR="00B91F13" w:rsidRDefault="000B51F5">
          <w:pPr>
            <w:pStyle w:val="TOC2"/>
            <w:rPr>
              <w:rFonts w:asciiTheme="minorHAnsi" w:eastAsiaTheme="minorEastAsia" w:hAnsiTheme="minorHAnsi"/>
              <w:sz w:val="22"/>
              <w:szCs w:val="22"/>
              <w:lang w:eastAsia="en-AU"/>
            </w:rPr>
          </w:pPr>
          <w:hyperlink w:anchor="_Toc433906606" w:history="1">
            <w:r w:rsidR="00B91F13" w:rsidRPr="003671F5">
              <w:rPr>
                <w:rStyle w:val="Hyperlink"/>
                <w14:scene3d>
                  <w14:camera w14:prst="orthographicFront"/>
                  <w14:lightRig w14:rig="threePt" w14:dir="t">
                    <w14:rot w14:lat="0" w14:lon="0" w14:rev="0"/>
                  </w14:lightRig>
                </w14:scene3d>
              </w:rPr>
              <w:t>33</w:t>
            </w:r>
            <w:r w:rsidR="00B91F13">
              <w:rPr>
                <w:rFonts w:asciiTheme="minorHAnsi" w:eastAsiaTheme="minorEastAsia" w:hAnsiTheme="minorHAnsi"/>
                <w:sz w:val="22"/>
                <w:szCs w:val="22"/>
                <w:lang w:eastAsia="en-AU"/>
              </w:rPr>
              <w:tab/>
            </w:r>
            <w:r w:rsidR="00B91F13" w:rsidRPr="003671F5">
              <w:rPr>
                <w:rStyle w:val="Hyperlink"/>
              </w:rPr>
              <w:t>Specific provisions—stolen cultural material</w:t>
            </w:r>
            <w:r w:rsidR="00B91F13">
              <w:rPr>
                <w:webHidden/>
              </w:rPr>
              <w:tab/>
            </w:r>
            <w:r w:rsidR="00B91F13">
              <w:rPr>
                <w:webHidden/>
              </w:rPr>
              <w:fldChar w:fldCharType="begin"/>
            </w:r>
            <w:r w:rsidR="00B91F13">
              <w:rPr>
                <w:webHidden/>
              </w:rPr>
              <w:instrText xml:space="preserve"> PAGEREF _Toc433906606 \h </w:instrText>
            </w:r>
            <w:r w:rsidR="00B91F13">
              <w:rPr>
                <w:webHidden/>
              </w:rPr>
            </w:r>
            <w:r w:rsidR="00B91F13">
              <w:rPr>
                <w:webHidden/>
              </w:rPr>
              <w:fldChar w:fldCharType="separate"/>
            </w:r>
            <w:r w:rsidR="001C66D7">
              <w:rPr>
                <w:webHidden/>
              </w:rPr>
              <w:t>137</w:t>
            </w:r>
            <w:r w:rsidR="00B91F13">
              <w:rPr>
                <w:webHidden/>
              </w:rPr>
              <w:fldChar w:fldCharType="end"/>
            </w:r>
          </w:hyperlink>
        </w:p>
        <w:p w14:paraId="53BFBAD4" w14:textId="77777777" w:rsidR="00B91F13" w:rsidRDefault="000B51F5">
          <w:pPr>
            <w:pStyle w:val="TOC2"/>
            <w:rPr>
              <w:rFonts w:asciiTheme="minorHAnsi" w:eastAsiaTheme="minorEastAsia" w:hAnsiTheme="minorHAnsi"/>
              <w:sz w:val="22"/>
              <w:szCs w:val="22"/>
              <w:lang w:eastAsia="en-AU"/>
            </w:rPr>
          </w:pPr>
          <w:hyperlink w:anchor="_Toc433906607" w:history="1">
            <w:r w:rsidR="00B91F13" w:rsidRPr="003671F5">
              <w:rPr>
                <w:rStyle w:val="Hyperlink"/>
                <w14:scene3d>
                  <w14:camera w14:prst="orthographicFront"/>
                  <w14:lightRig w14:rig="threePt" w14:dir="t">
                    <w14:rot w14:lat="0" w14:lon="0" w14:rev="0"/>
                  </w14:lightRig>
                </w14:scene3d>
              </w:rPr>
              <w:t>34</w:t>
            </w:r>
            <w:r w:rsidR="00B91F13">
              <w:rPr>
                <w:rFonts w:asciiTheme="minorHAnsi" w:eastAsiaTheme="minorEastAsia" w:hAnsiTheme="minorHAnsi"/>
                <w:sz w:val="22"/>
                <w:szCs w:val="22"/>
                <w:lang w:eastAsia="en-AU"/>
              </w:rPr>
              <w:tab/>
            </w:r>
            <w:r w:rsidR="00B91F13" w:rsidRPr="003671F5">
              <w:rPr>
                <w:rStyle w:val="Hyperlink"/>
              </w:rPr>
              <w:t>Specific provisions—looted foreign cultural material</w:t>
            </w:r>
            <w:r w:rsidR="00B91F13">
              <w:rPr>
                <w:webHidden/>
              </w:rPr>
              <w:tab/>
            </w:r>
            <w:r w:rsidR="00B91F13">
              <w:rPr>
                <w:webHidden/>
              </w:rPr>
              <w:fldChar w:fldCharType="begin"/>
            </w:r>
            <w:r w:rsidR="00B91F13">
              <w:rPr>
                <w:webHidden/>
              </w:rPr>
              <w:instrText xml:space="preserve"> PAGEREF _Toc433906607 \h </w:instrText>
            </w:r>
            <w:r w:rsidR="00B91F13">
              <w:rPr>
                <w:webHidden/>
              </w:rPr>
            </w:r>
            <w:r w:rsidR="00B91F13">
              <w:rPr>
                <w:webHidden/>
              </w:rPr>
              <w:fldChar w:fldCharType="separate"/>
            </w:r>
            <w:r w:rsidR="001C66D7">
              <w:rPr>
                <w:webHidden/>
              </w:rPr>
              <w:t>140</w:t>
            </w:r>
            <w:r w:rsidR="00B91F13">
              <w:rPr>
                <w:webHidden/>
              </w:rPr>
              <w:fldChar w:fldCharType="end"/>
            </w:r>
          </w:hyperlink>
        </w:p>
        <w:p w14:paraId="7D6F2C0E" w14:textId="77777777" w:rsidR="00B91F13" w:rsidRDefault="000B51F5">
          <w:pPr>
            <w:pStyle w:val="TOC2"/>
            <w:rPr>
              <w:rFonts w:asciiTheme="minorHAnsi" w:eastAsiaTheme="minorEastAsia" w:hAnsiTheme="minorHAnsi"/>
              <w:sz w:val="22"/>
              <w:szCs w:val="22"/>
              <w:lang w:eastAsia="en-AU"/>
            </w:rPr>
          </w:pPr>
          <w:hyperlink w:anchor="_Toc433906608" w:history="1">
            <w:r w:rsidR="00B91F13" w:rsidRPr="003671F5">
              <w:rPr>
                <w:rStyle w:val="Hyperlink"/>
                <w14:scene3d>
                  <w14:camera w14:prst="orthographicFront"/>
                  <w14:lightRig w14:rig="threePt" w14:dir="t">
                    <w14:rot w14:lat="0" w14:lon="0" w14:rev="0"/>
                  </w14:lightRig>
                </w14:scene3d>
              </w:rPr>
              <w:t>35</w:t>
            </w:r>
            <w:r w:rsidR="00B91F13">
              <w:rPr>
                <w:rFonts w:asciiTheme="minorHAnsi" w:eastAsiaTheme="minorEastAsia" w:hAnsiTheme="minorHAnsi"/>
                <w:sz w:val="22"/>
                <w:szCs w:val="22"/>
                <w:lang w:eastAsia="en-AU"/>
              </w:rPr>
              <w:tab/>
            </w:r>
            <w:r w:rsidR="00B91F13" w:rsidRPr="003671F5">
              <w:rPr>
                <w:rStyle w:val="Hyperlink"/>
              </w:rPr>
              <w:t>Alignment of the model with international conventions</w:t>
            </w:r>
            <w:r w:rsidR="00B91F13">
              <w:rPr>
                <w:webHidden/>
              </w:rPr>
              <w:tab/>
            </w:r>
            <w:r w:rsidR="00B91F13">
              <w:rPr>
                <w:webHidden/>
              </w:rPr>
              <w:fldChar w:fldCharType="begin"/>
            </w:r>
            <w:r w:rsidR="00B91F13">
              <w:rPr>
                <w:webHidden/>
              </w:rPr>
              <w:instrText xml:space="preserve"> PAGEREF _Toc433906608 \h </w:instrText>
            </w:r>
            <w:r w:rsidR="00B91F13">
              <w:rPr>
                <w:webHidden/>
              </w:rPr>
            </w:r>
            <w:r w:rsidR="00B91F13">
              <w:rPr>
                <w:webHidden/>
              </w:rPr>
              <w:fldChar w:fldCharType="separate"/>
            </w:r>
            <w:r w:rsidR="001C66D7">
              <w:rPr>
                <w:webHidden/>
              </w:rPr>
              <w:t>141</w:t>
            </w:r>
            <w:r w:rsidR="00B91F13">
              <w:rPr>
                <w:webHidden/>
              </w:rPr>
              <w:fldChar w:fldCharType="end"/>
            </w:r>
          </w:hyperlink>
        </w:p>
        <w:p w14:paraId="2CFA1B82" w14:textId="77777777" w:rsidR="00B91F13" w:rsidRDefault="000B51F5">
          <w:pPr>
            <w:pStyle w:val="TOC2"/>
            <w:rPr>
              <w:rFonts w:asciiTheme="minorHAnsi" w:eastAsiaTheme="minorEastAsia" w:hAnsiTheme="minorHAnsi"/>
              <w:sz w:val="22"/>
              <w:szCs w:val="22"/>
              <w:lang w:eastAsia="en-AU"/>
            </w:rPr>
          </w:pPr>
          <w:hyperlink w:anchor="_Toc433906609" w:history="1">
            <w:r w:rsidR="00B91F13" w:rsidRPr="003671F5">
              <w:rPr>
                <w:rStyle w:val="Hyperlink"/>
                <w14:scene3d>
                  <w14:camera w14:prst="orthographicFront"/>
                  <w14:lightRig w14:rig="threePt" w14:dir="t">
                    <w14:rot w14:lat="0" w14:lon="0" w14:rev="0"/>
                  </w14:lightRig>
                </w14:scene3d>
              </w:rPr>
              <w:t>36</w:t>
            </w:r>
            <w:r w:rsidR="00B91F13">
              <w:rPr>
                <w:rFonts w:asciiTheme="minorHAnsi" w:eastAsiaTheme="minorEastAsia" w:hAnsiTheme="minorHAnsi"/>
                <w:sz w:val="22"/>
                <w:szCs w:val="22"/>
                <w:lang w:eastAsia="en-AU"/>
              </w:rPr>
              <w:tab/>
            </w:r>
            <w:r w:rsidR="00B91F13" w:rsidRPr="003671F5">
              <w:rPr>
                <w:rStyle w:val="Hyperlink"/>
              </w:rPr>
              <w:t>Protections for looted material—outside the model</w:t>
            </w:r>
            <w:r w:rsidR="00B91F13">
              <w:rPr>
                <w:webHidden/>
              </w:rPr>
              <w:tab/>
            </w:r>
            <w:r w:rsidR="00B91F13">
              <w:rPr>
                <w:webHidden/>
              </w:rPr>
              <w:fldChar w:fldCharType="begin"/>
            </w:r>
            <w:r w:rsidR="00B91F13">
              <w:rPr>
                <w:webHidden/>
              </w:rPr>
              <w:instrText xml:space="preserve"> PAGEREF _Toc433906609 \h </w:instrText>
            </w:r>
            <w:r w:rsidR="00B91F13">
              <w:rPr>
                <w:webHidden/>
              </w:rPr>
            </w:r>
            <w:r w:rsidR="00B91F13">
              <w:rPr>
                <w:webHidden/>
              </w:rPr>
              <w:fldChar w:fldCharType="separate"/>
            </w:r>
            <w:r w:rsidR="001C66D7">
              <w:rPr>
                <w:webHidden/>
              </w:rPr>
              <w:t>143</w:t>
            </w:r>
            <w:r w:rsidR="00B91F13">
              <w:rPr>
                <w:webHidden/>
              </w:rPr>
              <w:fldChar w:fldCharType="end"/>
            </w:r>
          </w:hyperlink>
        </w:p>
        <w:p w14:paraId="11FE1ED3" w14:textId="77777777" w:rsidR="00B91F13" w:rsidRDefault="000B51F5">
          <w:pPr>
            <w:pStyle w:val="TOC2"/>
            <w:rPr>
              <w:rFonts w:asciiTheme="minorHAnsi" w:eastAsiaTheme="minorEastAsia" w:hAnsiTheme="minorHAnsi"/>
              <w:sz w:val="22"/>
              <w:szCs w:val="22"/>
              <w:lang w:eastAsia="en-AU"/>
            </w:rPr>
          </w:pPr>
          <w:hyperlink w:anchor="_Toc433906610" w:history="1">
            <w:r w:rsidR="00B91F13" w:rsidRPr="003671F5">
              <w:rPr>
                <w:rStyle w:val="Hyperlink"/>
                <w14:scene3d>
                  <w14:camera w14:prst="orthographicFront"/>
                  <w14:lightRig w14:rig="threePt" w14:dir="t">
                    <w14:rot w14:lat="0" w14:lon="0" w14:rev="0"/>
                  </w14:lightRig>
                </w14:scene3d>
              </w:rPr>
              <w:t>37</w:t>
            </w:r>
            <w:r w:rsidR="00B91F13">
              <w:rPr>
                <w:rFonts w:asciiTheme="minorHAnsi" w:eastAsiaTheme="minorEastAsia" w:hAnsiTheme="minorHAnsi"/>
                <w:sz w:val="22"/>
                <w:szCs w:val="22"/>
                <w:lang w:eastAsia="en-AU"/>
              </w:rPr>
              <w:tab/>
            </w:r>
            <w:r w:rsidR="00B91F13" w:rsidRPr="003671F5">
              <w:rPr>
                <w:rStyle w:val="Hyperlink"/>
              </w:rPr>
              <w:t>The Blue Shield emblem</w:t>
            </w:r>
            <w:r w:rsidR="00B91F13">
              <w:rPr>
                <w:webHidden/>
              </w:rPr>
              <w:tab/>
            </w:r>
            <w:r w:rsidR="00B91F13">
              <w:rPr>
                <w:webHidden/>
              </w:rPr>
              <w:fldChar w:fldCharType="begin"/>
            </w:r>
            <w:r w:rsidR="00B91F13">
              <w:rPr>
                <w:webHidden/>
              </w:rPr>
              <w:instrText xml:space="preserve"> PAGEREF _Toc433906610 \h </w:instrText>
            </w:r>
            <w:r w:rsidR="00B91F13">
              <w:rPr>
                <w:webHidden/>
              </w:rPr>
            </w:r>
            <w:r w:rsidR="00B91F13">
              <w:rPr>
                <w:webHidden/>
              </w:rPr>
              <w:fldChar w:fldCharType="separate"/>
            </w:r>
            <w:r w:rsidR="001C66D7">
              <w:rPr>
                <w:webHidden/>
              </w:rPr>
              <w:t>148</w:t>
            </w:r>
            <w:r w:rsidR="00B91F13">
              <w:rPr>
                <w:webHidden/>
              </w:rPr>
              <w:fldChar w:fldCharType="end"/>
            </w:r>
          </w:hyperlink>
        </w:p>
        <w:p w14:paraId="5CF13AE6" w14:textId="77777777" w:rsidR="00B91F13" w:rsidRDefault="000B51F5">
          <w:pPr>
            <w:pStyle w:val="TOC1"/>
            <w:rPr>
              <w:rFonts w:asciiTheme="minorHAnsi" w:eastAsiaTheme="minorEastAsia" w:hAnsiTheme="minorHAnsi"/>
              <w:b w:val="0"/>
              <w:sz w:val="22"/>
              <w:szCs w:val="22"/>
              <w:lang w:eastAsia="en-AU"/>
            </w:rPr>
          </w:pPr>
          <w:hyperlink w:anchor="_Toc433906611" w:history="1">
            <w:r w:rsidR="00B91F13" w:rsidRPr="003671F5">
              <w:rPr>
                <w:rStyle w:val="Hyperlink"/>
              </w:rPr>
              <w:t>Part D: Offence Provisions</w:t>
            </w:r>
            <w:r w:rsidR="00B91F13">
              <w:rPr>
                <w:webHidden/>
              </w:rPr>
              <w:tab/>
            </w:r>
            <w:r w:rsidR="00B91F13">
              <w:rPr>
                <w:webHidden/>
              </w:rPr>
              <w:fldChar w:fldCharType="begin"/>
            </w:r>
            <w:r w:rsidR="00B91F13">
              <w:rPr>
                <w:webHidden/>
              </w:rPr>
              <w:instrText xml:space="preserve"> PAGEREF _Toc433906611 \h </w:instrText>
            </w:r>
            <w:r w:rsidR="00B91F13">
              <w:rPr>
                <w:webHidden/>
              </w:rPr>
            </w:r>
            <w:r w:rsidR="00B91F13">
              <w:rPr>
                <w:webHidden/>
              </w:rPr>
              <w:fldChar w:fldCharType="separate"/>
            </w:r>
            <w:r w:rsidR="001C66D7">
              <w:rPr>
                <w:webHidden/>
              </w:rPr>
              <w:t>153</w:t>
            </w:r>
            <w:r w:rsidR="00B91F13">
              <w:rPr>
                <w:webHidden/>
              </w:rPr>
              <w:fldChar w:fldCharType="end"/>
            </w:r>
          </w:hyperlink>
        </w:p>
        <w:p w14:paraId="2D6D76E0" w14:textId="76B67F16" w:rsidR="00B91F13" w:rsidRDefault="000B51F5">
          <w:pPr>
            <w:pStyle w:val="TOC2"/>
            <w:rPr>
              <w:rFonts w:asciiTheme="minorHAnsi" w:eastAsiaTheme="minorEastAsia" w:hAnsiTheme="minorHAnsi"/>
              <w:sz w:val="22"/>
              <w:szCs w:val="22"/>
              <w:lang w:eastAsia="en-AU"/>
            </w:rPr>
          </w:pPr>
          <w:hyperlink w:anchor="_Toc433906612" w:history="1">
            <w:r w:rsidR="00B91F13" w:rsidRPr="003671F5">
              <w:rPr>
                <w:rStyle w:val="Hyperlink"/>
                <w14:scene3d>
                  <w14:camera w14:prst="orthographicFront"/>
                  <w14:lightRig w14:rig="threePt" w14:dir="t">
                    <w14:rot w14:lat="0" w14:lon="0" w14:rev="0"/>
                  </w14:lightRig>
                </w14:scene3d>
              </w:rPr>
              <w:t>38</w:t>
            </w:r>
            <w:r w:rsidR="00B91F13">
              <w:rPr>
                <w:rFonts w:asciiTheme="minorHAnsi" w:eastAsiaTheme="minorEastAsia" w:hAnsiTheme="minorHAnsi"/>
                <w:sz w:val="22"/>
                <w:szCs w:val="22"/>
                <w:lang w:eastAsia="en-AU"/>
              </w:rPr>
              <w:tab/>
            </w:r>
            <w:r w:rsidR="00B91F13" w:rsidRPr="003671F5">
              <w:rPr>
                <w:rStyle w:val="Hyperlink"/>
              </w:rPr>
              <w:t>Offences relating to unlawful exports</w:t>
            </w:r>
            <w:r w:rsidR="004C5F5C">
              <w:rPr>
                <w:rStyle w:val="Hyperlink"/>
              </w:rPr>
              <w:t xml:space="preserve"> of Australian material</w:t>
            </w:r>
            <w:r w:rsidR="00B91F13">
              <w:rPr>
                <w:webHidden/>
              </w:rPr>
              <w:tab/>
            </w:r>
            <w:r w:rsidR="00B91F13">
              <w:rPr>
                <w:webHidden/>
              </w:rPr>
              <w:fldChar w:fldCharType="begin"/>
            </w:r>
            <w:r w:rsidR="00B91F13">
              <w:rPr>
                <w:webHidden/>
              </w:rPr>
              <w:instrText xml:space="preserve"> PAGEREF _Toc433906612 \h </w:instrText>
            </w:r>
            <w:r w:rsidR="00B91F13">
              <w:rPr>
                <w:webHidden/>
              </w:rPr>
            </w:r>
            <w:r w:rsidR="00B91F13">
              <w:rPr>
                <w:webHidden/>
              </w:rPr>
              <w:fldChar w:fldCharType="separate"/>
            </w:r>
            <w:r w:rsidR="001C66D7">
              <w:rPr>
                <w:webHidden/>
              </w:rPr>
              <w:t>153</w:t>
            </w:r>
            <w:r w:rsidR="00B91F13">
              <w:rPr>
                <w:webHidden/>
              </w:rPr>
              <w:fldChar w:fldCharType="end"/>
            </w:r>
          </w:hyperlink>
        </w:p>
        <w:p w14:paraId="5B7649BD" w14:textId="52365A97" w:rsidR="00B91F13" w:rsidRDefault="000B51F5">
          <w:pPr>
            <w:pStyle w:val="TOC2"/>
            <w:rPr>
              <w:rFonts w:asciiTheme="minorHAnsi" w:eastAsiaTheme="minorEastAsia" w:hAnsiTheme="minorHAnsi"/>
              <w:sz w:val="22"/>
              <w:szCs w:val="22"/>
              <w:lang w:eastAsia="en-AU"/>
            </w:rPr>
          </w:pPr>
          <w:hyperlink w:anchor="_Toc433906613" w:history="1">
            <w:r w:rsidR="00B91F13" w:rsidRPr="003671F5">
              <w:rPr>
                <w:rStyle w:val="Hyperlink"/>
                <w14:scene3d>
                  <w14:camera w14:prst="orthographicFront"/>
                  <w14:lightRig w14:rig="threePt" w14:dir="t">
                    <w14:rot w14:lat="0" w14:lon="0" w14:rev="0"/>
                  </w14:lightRig>
                </w14:scene3d>
              </w:rPr>
              <w:t>39</w:t>
            </w:r>
            <w:r w:rsidR="00B91F13">
              <w:rPr>
                <w:rFonts w:asciiTheme="minorHAnsi" w:eastAsiaTheme="minorEastAsia" w:hAnsiTheme="minorHAnsi"/>
                <w:sz w:val="22"/>
                <w:szCs w:val="22"/>
                <w:lang w:eastAsia="en-AU"/>
              </w:rPr>
              <w:tab/>
            </w:r>
            <w:r w:rsidR="00B91F13" w:rsidRPr="003671F5">
              <w:rPr>
                <w:rStyle w:val="Hyperlink"/>
              </w:rPr>
              <w:t xml:space="preserve">Offences relating to illegally exported </w:t>
            </w:r>
            <w:r w:rsidR="004C5F5C">
              <w:rPr>
                <w:rStyle w:val="Hyperlink"/>
              </w:rPr>
              <w:t xml:space="preserve">foreign </w:t>
            </w:r>
            <w:r w:rsidR="00B91F13" w:rsidRPr="003671F5">
              <w:rPr>
                <w:rStyle w:val="Hyperlink"/>
              </w:rPr>
              <w:t>cultural material</w:t>
            </w:r>
            <w:r w:rsidR="00B91F13">
              <w:rPr>
                <w:webHidden/>
              </w:rPr>
              <w:tab/>
            </w:r>
            <w:r w:rsidR="00B91F13">
              <w:rPr>
                <w:webHidden/>
              </w:rPr>
              <w:fldChar w:fldCharType="begin"/>
            </w:r>
            <w:r w:rsidR="00B91F13">
              <w:rPr>
                <w:webHidden/>
              </w:rPr>
              <w:instrText xml:space="preserve"> PAGEREF _Toc433906613 \h </w:instrText>
            </w:r>
            <w:r w:rsidR="00B91F13">
              <w:rPr>
                <w:webHidden/>
              </w:rPr>
            </w:r>
            <w:r w:rsidR="00B91F13">
              <w:rPr>
                <w:webHidden/>
              </w:rPr>
              <w:fldChar w:fldCharType="separate"/>
            </w:r>
            <w:r w:rsidR="001C66D7">
              <w:rPr>
                <w:webHidden/>
              </w:rPr>
              <w:t>157</w:t>
            </w:r>
            <w:r w:rsidR="00B91F13">
              <w:rPr>
                <w:webHidden/>
              </w:rPr>
              <w:fldChar w:fldCharType="end"/>
            </w:r>
          </w:hyperlink>
        </w:p>
        <w:p w14:paraId="63F7B3BF" w14:textId="0A3E2667" w:rsidR="00B91F13" w:rsidRDefault="000B51F5">
          <w:pPr>
            <w:pStyle w:val="TOC2"/>
            <w:rPr>
              <w:rFonts w:asciiTheme="minorHAnsi" w:eastAsiaTheme="minorEastAsia" w:hAnsiTheme="minorHAnsi"/>
              <w:sz w:val="22"/>
              <w:szCs w:val="22"/>
              <w:lang w:eastAsia="en-AU"/>
            </w:rPr>
          </w:pPr>
          <w:hyperlink w:anchor="_Toc433906614" w:history="1">
            <w:r w:rsidR="00B91F13" w:rsidRPr="003671F5">
              <w:rPr>
                <w:rStyle w:val="Hyperlink"/>
                <w14:scene3d>
                  <w14:camera w14:prst="orthographicFront"/>
                  <w14:lightRig w14:rig="threePt" w14:dir="t">
                    <w14:rot w14:lat="0" w14:lon="0" w14:rev="0"/>
                  </w14:lightRig>
                </w14:scene3d>
              </w:rPr>
              <w:t>40</w:t>
            </w:r>
            <w:r w:rsidR="00B91F13">
              <w:rPr>
                <w:rFonts w:asciiTheme="minorHAnsi" w:eastAsiaTheme="minorEastAsia" w:hAnsiTheme="minorHAnsi"/>
                <w:sz w:val="22"/>
                <w:szCs w:val="22"/>
                <w:lang w:eastAsia="en-AU"/>
              </w:rPr>
              <w:tab/>
            </w:r>
            <w:r w:rsidR="00B91F13" w:rsidRPr="003671F5">
              <w:rPr>
                <w:rStyle w:val="Hyperlink"/>
              </w:rPr>
              <w:t xml:space="preserve">Offences relating to stolen and looted </w:t>
            </w:r>
            <w:r w:rsidR="004C5F5C">
              <w:rPr>
                <w:rStyle w:val="Hyperlink"/>
              </w:rPr>
              <w:t xml:space="preserve">foreign </w:t>
            </w:r>
            <w:r w:rsidR="00B91F13" w:rsidRPr="003671F5">
              <w:rPr>
                <w:rStyle w:val="Hyperlink"/>
              </w:rPr>
              <w:t>cultural material</w:t>
            </w:r>
            <w:r w:rsidR="00B91F13">
              <w:rPr>
                <w:webHidden/>
              </w:rPr>
              <w:tab/>
            </w:r>
            <w:r w:rsidR="00B91F13">
              <w:rPr>
                <w:webHidden/>
              </w:rPr>
              <w:fldChar w:fldCharType="begin"/>
            </w:r>
            <w:r w:rsidR="00B91F13">
              <w:rPr>
                <w:webHidden/>
              </w:rPr>
              <w:instrText xml:space="preserve"> PAGEREF _Toc433906614 \h </w:instrText>
            </w:r>
            <w:r w:rsidR="00B91F13">
              <w:rPr>
                <w:webHidden/>
              </w:rPr>
            </w:r>
            <w:r w:rsidR="00B91F13">
              <w:rPr>
                <w:webHidden/>
              </w:rPr>
              <w:fldChar w:fldCharType="separate"/>
            </w:r>
            <w:r w:rsidR="001C66D7">
              <w:rPr>
                <w:webHidden/>
              </w:rPr>
              <w:t>158</w:t>
            </w:r>
            <w:r w:rsidR="00B91F13">
              <w:rPr>
                <w:webHidden/>
              </w:rPr>
              <w:fldChar w:fldCharType="end"/>
            </w:r>
          </w:hyperlink>
        </w:p>
        <w:p w14:paraId="30B7894B" w14:textId="77777777" w:rsidR="00B91F13" w:rsidRDefault="000B51F5">
          <w:pPr>
            <w:pStyle w:val="TOC2"/>
            <w:rPr>
              <w:rFonts w:asciiTheme="minorHAnsi" w:eastAsiaTheme="minorEastAsia" w:hAnsiTheme="minorHAnsi"/>
              <w:sz w:val="22"/>
              <w:szCs w:val="22"/>
              <w:lang w:eastAsia="en-AU"/>
            </w:rPr>
          </w:pPr>
          <w:hyperlink w:anchor="_Toc433906615" w:history="1">
            <w:r w:rsidR="00B91F13" w:rsidRPr="003671F5">
              <w:rPr>
                <w:rStyle w:val="Hyperlink"/>
                <w14:scene3d>
                  <w14:camera w14:prst="orthographicFront"/>
                  <w14:lightRig w14:rig="threePt" w14:dir="t">
                    <w14:rot w14:lat="0" w14:lon="0" w14:rev="0"/>
                  </w14:lightRig>
                </w14:scene3d>
              </w:rPr>
              <w:t>41</w:t>
            </w:r>
            <w:r w:rsidR="00B91F13">
              <w:rPr>
                <w:rFonts w:asciiTheme="minorHAnsi" w:eastAsiaTheme="minorEastAsia" w:hAnsiTheme="minorHAnsi"/>
                <w:sz w:val="22"/>
                <w:szCs w:val="22"/>
                <w:lang w:eastAsia="en-AU"/>
              </w:rPr>
              <w:tab/>
            </w:r>
            <w:r w:rsidR="00B91F13" w:rsidRPr="003671F5">
              <w:rPr>
                <w:rStyle w:val="Hyperlink"/>
              </w:rPr>
              <w:t>Forfeiture provisions</w:t>
            </w:r>
            <w:r w:rsidR="00B91F13">
              <w:rPr>
                <w:webHidden/>
              </w:rPr>
              <w:tab/>
            </w:r>
            <w:r w:rsidR="00B91F13">
              <w:rPr>
                <w:webHidden/>
              </w:rPr>
              <w:fldChar w:fldCharType="begin"/>
            </w:r>
            <w:r w:rsidR="00B91F13">
              <w:rPr>
                <w:webHidden/>
              </w:rPr>
              <w:instrText xml:space="preserve"> PAGEREF _Toc433906615 \h </w:instrText>
            </w:r>
            <w:r w:rsidR="00B91F13">
              <w:rPr>
                <w:webHidden/>
              </w:rPr>
            </w:r>
            <w:r w:rsidR="00B91F13">
              <w:rPr>
                <w:webHidden/>
              </w:rPr>
              <w:fldChar w:fldCharType="separate"/>
            </w:r>
            <w:r w:rsidR="001C66D7">
              <w:rPr>
                <w:webHidden/>
              </w:rPr>
              <w:t>158</w:t>
            </w:r>
            <w:r w:rsidR="00B91F13">
              <w:rPr>
                <w:webHidden/>
              </w:rPr>
              <w:fldChar w:fldCharType="end"/>
            </w:r>
          </w:hyperlink>
        </w:p>
        <w:p w14:paraId="0C1AD319" w14:textId="77777777" w:rsidR="00B91F13" w:rsidRDefault="000B51F5">
          <w:pPr>
            <w:pStyle w:val="TOC2"/>
            <w:rPr>
              <w:rFonts w:asciiTheme="minorHAnsi" w:eastAsiaTheme="minorEastAsia" w:hAnsiTheme="minorHAnsi"/>
              <w:sz w:val="22"/>
              <w:szCs w:val="22"/>
              <w:lang w:eastAsia="en-AU"/>
            </w:rPr>
          </w:pPr>
          <w:hyperlink w:anchor="_Toc433906616" w:history="1">
            <w:r w:rsidR="00B91F13" w:rsidRPr="003671F5">
              <w:rPr>
                <w:rStyle w:val="Hyperlink"/>
                <w14:scene3d>
                  <w14:camera w14:prst="orthographicFront"/>
                  <w14:lightRig w14:rig="threePt" w14:dir="t">
                    <w14:rot w14:lat="0" w14:lon="0" w14:rev="0"/>
                  </w14:lightRig>
                </w14:scene3d>
              </w:rPr>
              <w:t>42</w:t>
            </w:r>
            <w:r w:rsidR="00B91F13">
              <w:rPr>
                <w:rFonts w:asciiTheme="minorHAnsi" w:eastAsiaTheme="minorEastAsia" w:hAnsiTheme="minorHAnsi"/>
                <w:sz w:val="22"/>
                <w:szCs w:val="22"/>
                <w:lang w:eastAsia="en-AU"/>
              </w:rPr>
              <w:tab/>
            </w:r>
            <w:r w:rsidR="00B91F13" w:rsidRPr="003671F5">
              <w:rPr>
                <w:rStyle w:val="Hyperlink"/>
              </w:rPr>
              <w:t>Sanctions provisions</w:t>
            </w:r>
            <w:r w:rsidR="00B91F13">
              <w:rPr>
                <w:webHidden/>
              </w:rPr>
              <w:tab/>
            </w:r>
            <w:r w:rsidR="00B91F13">
              <w:rPr>
                <w:webHidden/>
              </w:rPr>
              <w:fldChar w:fldCharType="begin"/>
            </w:r>
            <w:r w:rsidR="00B91F13">
              <w:rPr>
                <w:webHidden/>
              </w:rPr>
              <w:instrText xml:space="preserve"> PAGEREF _Toc433906616 \h </w:instrText>
            </w:r>
            <w:r w:rsidR="00B91F13">
              <w:rPr>
                <w:webHidden/>
              </w:rPr>
            </w:r>
            <w:r w:rsidR="00B91F13">
              <w:rPr>
                <w:webHidden/>
              </w:rPr>
              <w:fldChar w:fldCharType="separate"/>
            </w:r>
            <w:r w:rsidR="001C66D7">
              <w:rPr>
                <w:webHidden/>
              </w:rPr>
              <w:t>159</w:t>
            </w:r>
            <w:r w:rsidR="00B91F13">
              <w:rPr>
                <w:webHidden/>
              </w:rPr>
              <w:fldChar w:fldCharType="end"/>
            </w:r>
          </w:hyperlink>
        </w:p>
        <w:p w14:paraId="7C21192E" w14:textId="77777777" w:rsidR="00B91F13" w:rsidRDefault="000B51F5">
          <w:pPr>
            <w:pStyle w:val="TOC2"/>
            <w:rPr>
              <w:rFonts w:asciiTheme="minorHAnsi" w:eastAsiaTheme="minorEastAsia" w:hAnsiTheme="minorHAnsi"/>
              <w:sz w:val="22"/>
              <w:szCs w:val="22"/>
              <w:lang w:eastAsia="en-AU"/>
            </w:rPr>
          </w:pPr>
          <w:hyperlink w:anchor="_Toc433906617" w:history="1">
            <w:r w:rsidR="00B91F13" w:rsidRPr="003671F5">
              <w:rPr>
                <w:rStyle w:val="Hyperlink"/>
                <w14:scene3d>
                  <w14:camera w14:prst="orthographicFront"/>
                  <w14:lightRig w14:rig="threePt" w14:dir="t">
                    <w14:rot w14:lat="0" w14:lon="0" w14:rev="0"/>
                  </w14:lightRig>
                </w14:scene3d>
              </w:rPr>
              <w:t>43</w:t>
            </w:r>
            <w:r w:rsidR="00B91F13">
              <w:rPr>
                <w:rFonts w:asciiTheme="minorHAnsi" w:eastAsiaTheme="minorEastAsia" w:hAnsiTheme="minorHAnsi"/>
                <w:sz w:val="22"/>
                <w:szCs w:val="22"/>
                <w:lang w:eastAsia="en-AU"/>
              </w:rPr>
              <w:tab/>
            </w:r>
            <w:r w:rsidR="00B91F13" w:rsidRPr="003671F5">
              <w:rPr>
                <w:rStyle w:val="Hyperlink"/>
              </w:rPr>
              <w:t>Enforcement provisions</w:t>
            </w:r>
            <w:r w:rsidR="00B91F13">
              <w:rPr>
                <w:webHidden/>
              </w:rPr>
              <w:tab/>
            </w:r>
            <w:r w:rsidR="00B91F13">
              <w:rPr>
                <w:webHidden/>
              </w:rPr>
              <w:fldChar w:fldCharType="begin"/>
            </w:r>
            <w:r w:rsidR="00B91F13">
              <w:rPr>
                <w:webHidden/>
              </w:rPr>
              <w:instrText xml:space="preserve"> PAGEREF _Toc433906617 \h </w:instrText>
            </w:r>
            <w:r w:rsidR="00B91F13">
              <w:rPr>
                <w:webHidden/>
              </w:rPr>
            </w:r>
            <w:r w:rsidR="00B91F13">
              <w:rPr>
                <w:webHidden/>
              </w:rPr>
              <w:fldChar w:fldCharType="separate"/>
            </w:r>
            <w:r w:rsidR="001C66D7">
              <w:rPr>
                <w:webHidden/>
              </w:rPr>
              <w:t>160</w:t>
            </w:r>
            <w:r w:rsidR="00B91F13">
              <w:rPr>
                <w:webHidden/>
              </w:rPr>
              <w:fldChar w:fldCharType="end"/>
            </w:r>
          </w:hyperlink>
        </w:p>
        <w:p w14:paraId="1CCFF545" w14:textId="77777777" w:rsidR="00B91F13" w:rsidRDefault="000B51F5">
          <w:pPr>
            <w:pStyle w:val="TOC2"/>
            <w:rPr>
              <w:rFonts w:asciiTheme="minorHAnsi" w:eastAsiaTheme="minorEastAsia" w:hAnsiTheme="minorHAnsi"/>
              <w:sz w:val="22"/>
              <w:szCs w:val="22"/>
              <w:lang w:eastAsia="en-AU"/>
            </w:rPr>
          </w:pPr>
          <w:hyperlink w:anchor="_Toc433906618" w:history="1">
            <w:r w:rsidR="00B91F13" w:rsidRPr="003671F5">
              <w:rPr>
                <w:rStyle w:val="Hyperlink"/>
                <w14:scene3d>
                  <w14:camera w14:prst="orthographicFront"/>
                  <w14:lightRig w14:rig="threePt" w14:dir="t">
                    <w14:rot w14:lat="0" w14:lon="0" w14:rev="0"/>
                  </w14:lightRig>
                </w14:scene3d>
              </w:rPr>
              <w:t>44</w:t>
            </w:r>
            <w:r w:rsidR="00B91F13">
              <w:rPr>
                <w:rFonts w:asciiTheme="minorHAnsi" w:eastAsiaTheme="minorEastAsia" w:hAnsiTheme="minorHAnsi"/>
                <w:sz w:val="22"/>
                <w:szCs w:val="22"/>
                <w:lang w:eastAsia="en-AU"/>
              </w:rPr>
              <w:tab/>
            </w:r>
            <w:r w:rsidR="00B91F13" w:rsidRPr="003671F5">
              <w:rPr>
                <w:rStyle w:val="Hyperlink"/>
              </w:rPr>
              <w:t>Engagement with the Australian Border Force</w:t>
            </w:r>
            <w:r w:rsidR="00B91F13">
              <w:rPr>
                <w:webHidden/>
              </w:rPr>
              <w:tab/>
            </w:r>
            <w:r w:rsidR="00B91F13">
              <w:rPr>
                <w:webHidden/>
              </w:rPr>
              <w:fldChar w:fldCharType="begin"/>
            </w:r>
            <w:r w:rsidR="00B91F13">
              <w:rPr>
                <w:webHidden/>
              </w:rPr>
              <w:instrText xml:space="preserve"> PAGEREF _Toc433906618 \h </w:instrText>
            </w:r>
            <w:r w:rsidR="00B91F13">
              <w:rPr>
                <w:webHidden/>
              </w:rPr>
            </w:r>
            <w:r w:rsidR="00B91F13">
              <w:rPr>
                <w:webHidden/>
              </w:rPr>
              <w:fldChar w:fldCharType="separate"/>
            </w:r>
            <w:r w:rsidR="001C66D7">
              <w:rPr>
                <w:webHidden/>
              </w:rPr>
              <w:t>161</w:t>
            </w:r>
            <w:r w:rsidR="00B91F13">
              <w:rPr>
                <w:webHidden/>
              </w:rPr>
              <w:fldChar w:fldCharType="end"/>
            </w:r>
          </w:hyperlink>
        </w:p>
        <w:p w14:paraId="71011FC5" w14:textId="77777777" w:rsidR="00B91F13" w:rsidRDefault="000B51F5">
          <w:pPr>
            <w:pStyle w:val="TOC1"/>
            <w:rPr>
              <w:rFonts w:asciiTheme="minorHAnsi" w:eastAsiaTheme="minorEastAsia" w:hAnsiTheme="minorHAnsi"/>
              <w:b w:val="0"/>
              <w:sz w:val="22"/>
              <w:szCs w:val="22"/>
              <w:lang w:eastAsia="en-AU"/>
            </w:rPr>
          </w:pPr>
          <w:hyperlink w:anchor="_Toc433906619" w:history="1">
            <w:r w:rsidR="00B91F13" w:rsidRPr="003671F5">
              <w:rPr>
                <w:rStyle w:val="Hyperlink"/>
              </w:rPr>
              <w:t>Part E—Recommendation—New Model</w:t>
            </w:r>
            <w:r w:rsidR="00B91F13">
              <w:rPr>
                <w:webHidden/>
              </w:rPr>
              <w:tab/>
            </w:r>
            <w:r w:rsidR="00B91F13">
              <w:rPr>
                <w:webHidden/>
              </w:rPr>
              <w:fldChar w:fldCharType="begin"/>
            </w:r>
            <w:r w:rsidR="00B91F13">
              <w:rPr>
                <w:webHidden/>
              </w:rPr>
              <w:instrText xml:space="preserve"> PAGEREF _Toc433906619 \h </w:instrText>
            </w:r>
            <w:r w:rsidR="00B91F13">
              <w:rPr>
                <w:webHidden/>
              </w:rPr>
            </w:r>
            <w:r w:rsidR="00B91F13">
              <w:rPr>
                <w:webHidden/>
              </w:rPr>
              <w:fldChar w:fldCharType="separate"/>
            </w:r>
            <w:r w:rsidR="001C66D7">
              <w:rPr>
                <w:webHidden/>
              </w:rPr>
              <w:t>165</w:t>
            </w:r>
            <w:r w:rsidR="00B91F13">
              <w:rPr>
                <w:webHidden/>
              </w:rPr>
              <w:fldChar w:fldCharType="end"/>
            </w:r>
          </w:hyperlink>
        </w:p>
        <w:p w14:paraId="532CC240" w14:textId="77777777" w:rsidR="00B91F13" w:rsidRDefault="000B51F5">
          <w:pPr>
            <w:pStyle w:val="TOC1"/>
            <w:rPr>
              <w:rFonts w:asciiTheme="minorHAnsi" w:eastAsiaTheme="minorEastAsia" w:hAnsiTheme="minorHAnsi"/>
              <w:b w:val="0"/>
              <w:sz w:val="22"/>
              <w:szCs w:val="22"/>
              <w:lang w:eastAsia="en-AU"/>
            </w:rPr>
          </w:pPr>
          <w:hyperlink w:anchor="_Toc433906620" w:history="1">
            <w:r w:rsidR="00B91F13" w:rsidRPr="003671F5">
              <w:rPr>
                <w:rStyle w:val="Hyperlink"/>
              </w:rPr>
              <w:t>Protection of Australian Cultural Material—export provisions</w:t>
            </w:r>
            <w:r w:rsidR="00B91F13">
              <w:rPr>
                <w:webHidden/>
              </w:rPr>
              <w:tab/>
            </w:r>
            <w:r w:rsidR="00B91F13">
              <w:rPr>
                <w:webHidden/>
              </w:rPr>
              <w:fldChar w:fldCharType="begin"/>
            </w:r>
            <w:r w:rsidR="00B91F13">
              <w:rPr>
                <w:webHidden/>
              </w:rPr>
              <w:instrText xml:space="preserve"> PAGEREF _Toc433906620 \h </w:instrText>
            </w:r>
            <w:r w:rsidR="00B91F13">
              <w:rPr>
                <w:webHidden/>
              </w:rPr>
            </w:r>
            <w:r w:rsidR="00B91F13">
              <w:rPr>
                <w:webHidden/>
              </w:rPr>
              <w:fldChar w:fldCharType="separate"/>
            </w:r>
            <w:r w:rsidR="001C66D7">
              <w:rPr>
                <w:webHidden/>
              </w:rPr>
              <w:t>165</w:t>
            </w:r>
            <w:r w:rsidR="00B91F13">
              <w:rPr>
                <w:webHidden/>
              </w:rPr>
              <w:fldChar w:fldCharType="end"/>
            </w:r>
          </w:hyperlink>
        </w:p>
        <w:p w14:paraId="7724EA7D" w14:textId="77777777" w:rsidR="00B91F13" w:rsidRDefault="000B51F5">
          <w:pPr>
            <w:pStyle w:val="TOC2"/>
            <w:rPr>
              <w:rFonts w:asciiTheme="minorHAnsi" w:eastAsiaTheme="minorEastAsia" w:hAnsiTheme="minorHAnsi"/>
              <w:sz w:val="22"/>
              <w:szCs w:val="22"/>
              <w:lang w:eastAsia="en-AU"/>
            </w:rPr>
          </w:pPr>
          <w:hyperlink w:anchor="_Toc433906621" w:history="1">
            <w:r w:rsidR="00B91F13" w:rsidRPr="003671F5">
              <w:rPr>
                <w:rStyle w:val="Hyperlink"/>
                <w14:scene3d>
                  <w14:camera w14:prst="orthographicFront"/>
                  <w14:lightRig w14:rig="threePt" w14:dir="t">
                    <w14:rot w14:lat="0" w14:lon="0" w14:rev="0"/>
                  </w14:lightRig>
                </w14:scene3d>
              </w:rPr>
              <w:t>45</w:t>
            </w:r>
            <w:r w:rsidR="00B91F13">
              <w:rPr>
                <w:rFonts w:asciiTheme="minorHAnsi" w:eastAsiaTheme="minorEastAsia" w:hAnsiTheme="minorHAnsi"/>
                <w:sz w:val="22"/>
                <w:szCs w:val="22"/>
                <w:lang w:eastAsia="en-AU"/>
              </w:rPr>
              <w:tab/>
            </w:r>
            <w:r w:rsidR="00B91F13" w:rsidRPr="003671F5">
              <w:rPr>
                <w:rStyle w:val="Hyperlink"/>
              </w:rPr>
              <w:t>Principles of the new export model</w:t>
            </w:r>
            <w:r w:rsidR="00B91F13">
              <w:rPr>
                <w:webHidden/>
              </w:rPr>
              <w:tab/>
            </w:r>
            <w:r w:rsidR="00B91F13">
              <w:rPr>
                <w:webHidden/>
              </w:rPr>
              <w:fldChar w:fldCharType="begin"/>
            </w:r>
            <w:r w:rsidR="00B91F13">
              <w:rPr>
                <w:webHidden/>
              </w:rPr>
              <w:instrText xml:space="preserve"> PAGEREF _Toc433906621 \h </w:instrText>
            </w:r>
            <w:r w:rsidR="00B91F13">
              <w:rPr>
                <w:webHidden/>
              </w:rPr>
            </w:r>
            <w:r w:rsidR="00B91F13">
              <w:rPr>
                <w:webHidden/>
              </w:rPr>
              <w:fldChar w:fldCharType="separate"/>
            </w:r>
            <w:r w:rsidR="001C66D7">
              <w:rPr>
                <w:webHidden/>
              </w:rPr>
              <w:t>165</w:t>
            </w:r>
            <w:r w:rsidR="00B91F13">
              <w:rPr>
                <w:webHidden/>
              </w:rPr>
              <w:fldChar w:fldCharType="end"/>
            </w:r>
          </w:hyperlink>
        </w:p>
        <w:p w14:paraId="5E44A40F" w14:textId="77777777" w:rsidR="00B91F13" w:rsidRDefault="000B51F5">
          <w:pPr>
            <w:pStyle w:val="TOC2"/>
            <w:rPr>
              <w:rFonts w:asciiTheme="minorHAnsi" w:eastAsiaTheme="minorEastAsia" w:hAnsiTheme="minorHAnsi"/>
              <w:sz w:val="22"/>
              <w:szCs w:val="22"/>
              <w:lang w:eastAsia="en-AU"/>
            </w:rPr>
          </w:pPr>
          <w:hyperlink w:anchor="_Toc433906622" w:history="1">
            <w:r w:rsidR="00B91F13" w:rsidRPr="003671F5">
              <w:rPr>
                <w:rStyle w:val="Hyperlink"/>
                <w14:scene3d>
                  <w14:camera w14:prst="orthographicFront"/>
                  <w14:lightRig w14:rig="threePt" w14:dir="t">
                    <w14:rot w14:lat="0" w14:lon="0" w14:rev="0"/>
                  </w14:lightRig>
                </w14:scene3d>
              </w:rPr>
              <w:t>46</w:t>
            </w:r>
            <w:r w:rsidR="00B91F13">
              <w:rPr>
                <w:rFonts w:asciiTheme="minorHAnsi" w:eastAsiaTheme="minorEastAsia" w:hAnsiTheme="minorHAnsi"/>
                <w:sz w:val="22"/>
                <w:szCs w:val="22"/>
                <w:lang w:eastAsia="en-AU"/>
              </w:rPr>
              <w:tab/>
            </w:r>
            <w:r w:rsidR="00B91F13" w:rsidRPr="003671F5">
              <w:rPr>
                <w:rStyle w:val="Hyperlink"/>
              </w:rPr>
              <w:t>Definitions</w:t>
            </w:r>
            <w:r w:rsidR="00B91F13">
              <w:rPr>
                <w:webHidden/>
              </w:rPr>
              <w:tab/>
            </w:r>
            <w:r w:rsidR="00B91F13">
              <w:rPr>
                <w:webHidden/>
              </w:rPr>
              <w:fldChar w:fldCharType="begin"/>
            </w:r>
            <w:r w:rsidR="00B91F13">
              <w:rPr>
                <w:webHidden/>
              </w:rPr>
              <w:instrText xml:space="preserve"> PAGEREF _Toc433906622 \h </w:instrText>
            </w:r>
            <w:r w:rsidR="00B91F13">
              <w:rPr>
                <w:webHidden/>
              </w:rPr>
            </w:r>
            <w:r w:rsidR="00B91F13">
              <w:rPr>
                <w:webHidden/>
              </w:rPr>
              <w:fldChar w:fldCharType="separate"/>
            </w:r>
            <w:r w:rsidR="001C66D7">
              <w:rPr>
                <w:webHidden/>
              </w:rPr>
              <w:t>166</w:t>
            </w:r>
            <w:r w:rsidR="00B91F13">
              <w:rPr>
                <w:webHidden/>
              </w:rPr>
              <w:fldChar w:fldCharType="end"/>
            </w:r>
          </w:hyperlink>
        </w:p>
        <w:p w14:paraId="0A56CDD0" w14:textId="77777777" w:rsidR="00B91F13" w:rsidRDefault="000B51F5">
          <w:pPr>
            <w:pStyle w:val="TOC2"/>
            <w:rPr>
              <w:rFonts w:asciiTheme="minorHAnsi" w:eastAsiaTheme="minorEastAsia" w:hAnsiTheme="minorHAnsi"/>
              <w:sz w:val="22"/>
              <w:szCs w:val="22"/>
              <w:lang w:eastAsia="en-AU"/>
            </w:rPr>
          </w:pPr>
          <w:hyperlink w:anchor="_Toc433906623" w:history="1">
            <w:r w:rsidR="00B91F13" w:rsidRPr="003671F5">
              <w:rPr>
                <w:rStyle w:val="Hyperlink"/>
                <w14:scene3d>
                  <w14:camera w14:prst="orthographicFront"/>
                  <w14:lightRig w14:rig="threePt" w14:dir="t">
                    <w14:rot w14:lat="0" w14:lon="0" w14:rev="0"/>
                  </w14:lightRig>
                </w14:scene3d>
              </w:rPr>
              <w:t>47</w:t>
            </w:r>
            <w:r w:rsidR="00B91F13">
              <w:rPr>
                <w:rFonts w:asciiTheme="minorHAnsi" w:eastAsiaTheme="minorEastAsia" w:hAnsiTheme="minorHAnsi"/>
                <w:sz w:val="22"/>
                <w:szCs w:val="22"/>
                <w:lang w:eastAsia="en-AU"/>
              </w:rPr>
              <w:tab/>
            </w:r>
            <w:r w:rsidR="00B91F13" w:rsidRPr="003671F5">
              <w:rPr>
                <w:rStyle w:val="Hyperlink"/>
              </w:rPr>
              <w:t>A new classification structure</w:t>
            </w:r>
            <w:r w:rsidR="00B91F13">
              <w:rPr>
                <w:webHidden/>
              </w:rPr>
              <w:tab/>
            </w:r>
            <w:r w:rsidR="00B91F13">
              <w:rPr>
                <w:webHidden/>
              </w:rPr>
              <w:fldChar w:fldCharType="begin"/>
            </w:r>
            <w:r w:rsidR="00B91F13">
              <w:rPr>
                <w:webHidden/>
              </w:rPr>
              <w:instrText xml:space="preserve"> PAGEREF _Toc433906623 \h </w:instrText>
            </w:r>
            <w:r w:rsidR="00B91F13">
              <w:rPr>
                <w:webHidden/>
              </w:rPr>
            </w:r>
            <w:r w:rsidR="00B91F13">
              <w:rPr>
                <w:webHidden/>
              </w:rPr>
              <w:fldChar w:fldCharType="separate"/>
            </w:r>
            <w:r w:rsidR="001C66D7">
              <w:rPr>
                <w:webHidden/>
              </w:rPr>
              <w:t>168</w:t>
            </w:r>
            <w:r w:rsidR="00B91F13">
              <w:rPr>
                <w:webHidden/>
              </w:rPr>
              <w:fldChar w:fldCharType="end"/>
            </w:r>
          </w:hyperlink>
        </w:p>
        <w:p w14:paraId="3F22496D" w14:textId="77777777" w:rsidR="00B91F13" w:rsidRDefault="000B51F5">
          <w:pPr>
            <w:pStyle w:val="TOC2"/>
            <w:rPr>
              <w:rFonts w:asciiTheme="minorHAnsi" w:eastAsiaTheme="minorEastAsia" w:hAnsiTheme="minorHAnsi"/>
              <w:sz w:val="22"/>
              <w:szCs w:val="22"/>
              <w:lang w:eastAsia="en-AU"/>
            </w:rPr>
          </w:pPr>
          <w:hyperlink w:anchor="_Toc433906624" w:history="1">
            <w:r w:rsidR="00B91F13" w:rsidRPr="003671F5">
              <w:rPr>
                <w:rStyle w:val="Hyperlink"/>
                <w14:scene3d>
                  <w14:camera w14:prst="orthographicFront"/>
                  <w14:lightRig w14:rig="threePt" w14:dir="t">
                    <w14:rot w14:lat="0" w14:lon="0" w14:rev="0"/>
                  </w14:lightRig>
                </w14:scene3d>
              </w:rPr>
              <w:t>48</w:t>
            </w:r>
            <w:r w:rsidR="00B91F13">
              <w:rPr>
                <w:rFonts w:asciiTheme="minorHAnsi" w:eastAsiaTheme="minorEastAsia" w:hAnsiTheme="minorHAnsi"/>
                <w:sz w:val="22"/>
                <w:szCs w:val="22"/>
                <w:lang w:eastAsia="en-AU"/>
              </w:rPr>
              <w:tab/>
            </w:r>
            <w:r w:rsidR="00B91F13" w:rsidRPr="003671F5">
              <w:rPr>
                <w:rStyle w:val="Hyperlink"/>
              </w:rPr>
              <w:t>Cultural Heritage Control List</w:t>
            </w:r>
            <w:r w:rsidR="00B91F13">
              <w:rPr>
                <w:webHidden/>
              </w:rPr>
              <w:tab/>
            </w:r>
            <w:r w:rsidR="00B91F13">
              <w:rPr>
                <w:webHidden/>
              </w:rPr>
              <w:fldChar w:fldCharType="begin"/>
            </w:r>
            <w:r w:rsidR="00B91F13">
              <w:rPr>
                <w:webHidden/>
              </w:rPr>
              <w:instrText xml:space="preserve"> PAGEREF _Toc433906624 \h </w:instrText>
            </w:r>
            <w:r w:rsidR="00B91F13">
              <w:rPr>
                <w:webHidden/>
              </w:rPr>
            </w:r>
            <w:r w:rsidR="00B91F13">
              <w:rPr>
                <w:webHidden/>
              </w:rPr>
              <w:fldChar w:fldCharType="separate"/>
            </w:r>
            <w:r w:rsidR="001C66D7">
              <w:rPr>
                <w:webHidden/>
              </w:rPr>
              <w:t>171</w:t>
            </w:r>
            <w:r w:rsidR="00B91F13">
              <w:rPr>
                <w:webHidden/>
              </w:rPr>
              <w:fldChar w:fldCharType="end"/>
            </w:r>
          </w:hyperlink>
        </w:p>
        <w:p w14:paraId="2167C286" w14:textId="77777777" w:rsidR="00B91F13" w:rsidRDefault="000B51F5">
          <w:pPr>
            <w:pStyle w:val="TOC2"/>
            <w:rPr>
              <w:rFonts w:asciiTheme="minorHAnsi" w:eastAsiaTheme="minorEastAsia" w:hAnsiTheme="minorHAnsi"/>
              <w:sz w:val="22"/>
              <w:szCs w:val="22"/>
              <w:lang w:eastAsia="en-AU"/>
            </w:rPr>
          </w:pPr>
          <w:hyperlink w:anchor="_Toc433906625" w:history="1">
            <w:r w:rsidR="00B91F13" w:rsidRPr="003671F5">
              <w:rPr>
                <w:rStyle w:val="Hyperlink"/>
                <w14:scene3d>
                  <w14:camera w14:prst="orthographicFront"/>
                  <w14:lightRig w14:rig="threePt" w14:dir="t">
                    <w14:rot w14:lat="0" w14:lon="0" w14:rev="0"/>
                  </w14:lightRig>
                </w14:scene3d>
              </w:rPr>
              <w:t>49</w:t>
            </w:r>
            <w:r w:rsidR="00B91F13">
              <w:rPr>
                <w:rFonts w:asciiTheme="minorHAnsi" w:eastAsiaTheme="minorEastAsia" w:hAnsiTheme="minorHAnsi"/>
                <w:sz w:val="22"/>
                <w:szCs w:val="22"/>
                <w:lang w:eastAsia="en-AU"/>
              </w:rPr>
              <w:tab/>
            </w:r>
            <w:r w:rsidR="00B91F13" w:rsidRPr="003671F5">
              <w:rPr>
                <w:rStyle w:val="Hyperlink"/>
              </w:rPr>
              <w:t>General Control List Matters</w:t>
            </w:r>
            <w:r w:rsidR="00B91F13">
              <w:rPr>
                <w:webHidden/>
              </w:rPr>
              <w:tab/>
            </w:r>
            <w:r w:rsidR="00B91F13">
              <w:rPr>
                <w:webHidden/>
              </w:rPr>
              <w:fldChar w:fldCharType="begin"/>
            </w:r>
            <w:r w:rsidR="00B91F13">
              <w:rPr>
                <w:webHidden/>
              </w:rPr>
              <w:instrText xml:space="preserve"> PAGEREF _Toc433906625 \h </w:instrText>
            </w:r>
            <w:r w:rsidR="00B91F13">
              <w:rPr>
                <w:webHidden/>
              </w:rPr>
            </w:r>
            <w:r w:rsidR="00B91F13">
              <w:rPr>
                <w:webHidden/>
              </w:rPr>
              <w:fldChar w:fldCharType="separate"/>
            </w:r>
            <w:r w:rsidR="001C66D7">
              <w:rPr>
                <w:webHidden/>
              </w:rPr>
              <w:t>189</w:t>
            </w:r>
            <w:r w:rsidR="00B91F13">
              <w:rPr>
                <w:webHidden/>
              </w:rPr>
              <w:fldChar w:fldCharType="end"/>
            </w:r>
          </w:hyperlink>
        </w:p>
        <w:p w14:paraId="249E660C" w14:textId="77777777" w:rsidR="00B91F13" w:rsidRDefault="000B51F5">
          <w:pPr>
            <w:pStyle w:val="TOC2"/>
            <w:rPr>
              <w:rFonts w:asciiTheme="minorHAnsi" w:eastAsiaTheme="minorEastAsia" w:hAnsiTheme="minorHAnsi"/>
              <w:sz w:val="22"/>
              <w:szCs w:val="22"/>
              <w:lang w:eastAsia="en-AU"/>
            </w:rPr>
          </w:pPr>
          <w:hyperlink w:anchor="_Toc433906626" w:history="1">
            <w:r w:rsidR="00B91F13" w:rsidRPr="003671F5">
              <w:rPr>
                <w:rStyle w:val="Hyperlink"/>
                <w14:scene3d>
                  <w14:camera w14:prst="orthographicFront"/>
                  <w14:lightRig w14:rig="threePt" w14:dir="t">
                    <w14:rot w14:lat="0" w14:lon="0" w14:rev="0"/>
                  </w14:lightRig>
                </w14:scene3d>
              </w:rPr>
              <w:t>50</w:t>
            </w:r>
            <w:r w:rsidR="00B91F13">
              <w:rPr>
                <w:rFonts w:asciiTheme="minorHAnsi" w:eastAsiaTheme="minorEastAsia" w:hAnsiTheme="minorHAnsi"/>
                <w:sz w:val="22"/>
                <w:szCs w:val="22"/>
                <w:lang w:eastAsia="en-AU"/>
              </w:rPr>
              <w:tab/>
            </w:r>
            <w:r w:rsidR="00B91F13" w:rsidRPr="003671F5">
              <w:rPr>
                <w:rStyle w:val="Hyperlink"/>
              </w:rPr>
              <w:t>Significance and representation</w:t>
            </w:r>
            <w:r w:rsidR="00B91F13">
              <w:rPr>
                <w:webHidden/>
              </w:rPr>
              <w:tab/>
            </w:r>
            <w:r w:rsidR="00B91F13">
              <w:rPr>
                <w:webHidden/>
              </w:rPr>
              <w:fldChar w:fldCharType="begin"/>
            </w:r>
            <w:r w:rsidR="00B91F13">
              <w:rPr>
                <w:webHidden/>
              </w:rPr>
              <w:instrText xml:space="preserve"> PAGEREF _Toc433906626 \h </w:instrText>
            </w:r>
            <w:r w:rsidR="00B91F13">
              <w:rPr>
                <w:webHidden/>
              </w:rPr>
            </w:r>
            <w:r w:rsidR="00B91F13">
              <w:rPr>
                <w:webHidden/>
              </w:rPr>
              <w:fldChar w:fldCharType="separate"/>
            </w:r>
            <w:r w:rsidR="001C66D7">
              <w:rPr>
                <w:webHidden/>
              </w:rPr>
              <w:t>190</w:t>
            </w:r>
            <w:r w:rsidR="00B91F13">
              <w:rPr>
                <w:webHidden/>
              </w:rPr>
              <w:fldChar w:fldCharType="end"/>
            </w:r>
          </w:hyperlink>
        </w:p>
        <w:p w14:paraId="6BBDAC41" w14:textId="77777777" w:rsidR="00B91F13" w:rsidRDefault="000B51F5">
          <w:pPr>
            <w:pStyle w:val="TOC2"/>
            <w:rPr>
              <w:rFonts w:asciiTheme="minorHAnsi" w:eastAsiaTheme="minorEastAsia" w:hAnsiTheme="minorHAnsi"/>
              <w:sz w:val="22"/>
              <w:szCs w:val="22"/>
              <w:lang w:eastAsia="en-AU"/>
            </w:rPr>
          </w:pPr>
          <w:hyperlink w:anchor="_Toc433906627" w:history="1">
            <w:r w:rsidR="00B91F13" w:rsidRPr="003671F5">
              <w:rPr>
                <w:rStyle w:val="Hyperlink"/>
                <w14:scene3d>
                  <w14:camera w14:prst="orthographicFront"/>
                  <w14:lightRig w14:rig="threePt" w14:dir="t">
                    <w14:rot w14:lat="0" w14:lon="0" w14:rev="0"/>
                  </w14:lightRig>
                </w14:scene3d>
              </w:rPr>
              <w:t>51</w:t>
            </w:r>
            <w:r w:rsidR="00B91F13">
              <w:rPr>
                <w:rFonts w:asciiTheme="minorHAnsi" w:eastAsiaTheme="minorEastAsia" w:hAnsiTheme="minorHAnsi"/>
                <w:sz w:val="22"/>
                <w:szCs w:val="22"/>
                <w:lang w:eastAsia="en-AU"/>
              </w:rPr>
              <w:tab/>
            </w:r>
            <w:r w:rsidR="00B91F13" w:rsidRPr="003671F5">
              <w:rPr>
                <w:rStyle w:val="Hyperlink"/>
              </w:rPr>
              <w:t>Register of Cultural Property Experts</w:t>
            </w:r>
            <w:r w:rsidR="00B91F13">
              <w:rPr>
                <w:webHidden/>
              </w:rPr>
              <w:tab/>
            </w:r>
            <w:r w:rsidR="00B91F13">
              <w:rPr>
                <w:webHidden/>
              </w:rPr>
              <w:fldChar w:fldCharType="begin"/>
            </w:r>
            <w:r w:rsidR="00B91F13">
              <w:rPr>
                <w:webHidden/>
              </w:rPr>
              <w:instrText xml:space="preserve"> PAGEREF _Toc433906627 \h </w:instrText>
            </w:r>
            <w:r w:rsidR="00B91F13">
              <w:rPr>
                <w:webHidden/>
              </w:rPr>
            </w:r>
            <w:r w:rsidR="00B91F13">
              <w:rPr>
                <w:webHidden/>
              </w:rPr>
              <w:fldChar w:fldCharType="separate"/>
            </w:r>
            <w:r w:rsidR="001C66D7">
              <w:rPr>
                <w:webHidden/>
              </w:rPr>
              <w:t>193</w:t>
            </w:r>
            <w:r w:rsidR="00B91F13">
              <w:rPr>
                <w:webHidden/>
              </w:rPr>
              <w:fldChar w:fldCharType="end"/>
            </w:r>
          </w:hyperlink>
        </w:p>
        <w:p w14:paraId="668627E8" w14:textId="77777777" w:rsidR="00B91F13" w:rsidRDefault="000B51F5">
          <w:pPr>
            <w:pStyle w:val="TOC2"/>
            <w:rPr>
              <w:rFonts w:asciiTheme="minorHAnsi" w:eastAsiaTheme="minorEastAsia" w:hAnsiTheme="minorHAnsi"/>
              <w:sz w:val="22"/>
              <w:szCs w:val="22"/>
              <w:lang w:eastAsia="en-AU"/>
            </w:rPr>
          </w:pPr>
          <w:hyperlink w:anchor="_Toc433906628" w:history="1">
            <w:r w:rsidR="00B91F13" w:rsidRPr="003671F5">
              <w:rPr>
                <w:rStyle w:val="Hyperlink"/>
                <w14:scene3d>
                  <w14:camera w14:prst="orthographicFront"/>
                  <w14:lightRig w14:rig="threePt" w14:dir="t">
                    <w14:rot w14:lat="0" w14:lon="0" w14:rev="0"/>
                  </w14:lightRig>
                </w14:scene3d>
              </w:rPr>
              <w:t>52</w:t>
            </w:r>
            <w:r w:rsidR="00B91F13">
              <w:rPr>
                <w:rFonts w:asciiTheme="minorHAnsi" w:eastAsiaTheme="minorEastAsia" w:hAnsiTheme="minorHAnsi"/>
                <w:sz w:val="22"/>
                <w:szCs w:val="22"/>
                <w:lang w:eastAsia="en-AU"/>
              </w:rPr>
              <w:tab/>
            </w:r>
            <w:r w:rsidR="00B91F13" w:rsidRPr="003671F5">
              <w:rPr>
                <w:rStyle w:val="Hyperlink"/>
              </w:rPr>
              <w:t>New permit application requirements</w:t>
            </w:r>
            <w:r w:rsidR="00B91F13">
              <w:rPr>
                <w:webHidden/>
              </w:rPr>
              <w:tab/>
            </w:r>
            <w:r w:rsidR="00B91F13">
              <w:rPr>
                <w:webHidden/>
              </w:rPr>
              <w:fldChar w:fldCharType="begin"/>
            </w:r>
            <w:r w:rsidR="00B91F13">
              <w:rPr>
                <w:webHidden/>
              </w:rPr>
              <w:instrText xml:space="preserve"> PAGEREF _Toc433906628 \h </w:instrText>
            </w:r>
            <w:r w:rsidR="00B91F13">
              <w:rPr>
                <w:webHidden/>
              </w:rPr>
            </w:r>
            <w:r w:rsidR="00B91F13">
              <w:rPr>
                <w:webHidden/>
              </w:rPr>
              <w:fldChar w:fldCharType="separate"/>
            </w:r>
            <w:r w:rsidR="001C66D7">
              <w:rPr>
                <w:webHidden/>
              </w:rPr>
              <w:t>195</w:t>
            </w:r>
            <w:r w:rsidR="00B91F13">
              <w:rPr>
                <w:webHidden/>
              </w:rPr>
              <w:fldChar w:fldCharType="end"/>
            </w:r>
          </w:hyperlink>
        </w:p>
        <w:p w14:paraId="43B5D782" w14:textId="77777777" w:rsidR="00B91F13" w:rsidRDefault="000B51F5">
          <w:pPr>
            <w:pStyle w:val="TOC2"/>
            <w:rPr>
              <w:rFonts w:asciiTheme="minorHAnsi" w:eastAsiaTheme="minorEastAsia" w:hAnsiTheme="minorHAnsi"/>
              <w:sz w:val="22"/>
              <w:szCs w:val="22"/>
              <w:lang w:eastAsia="en-AU"/>
            </w:rPr>
          </w:pPr>
          <w:hyperlink w:anchor="_Toc433906629" w:history="1">
            <w:r w:rsidR="00B91F13" w:rsidRPr="003671F5">
              <w:rPr>
                <w:rStyle w:val="Hyperlink"/>
                <w14:scene3d>
                  <w14:camera w14:prst="orthographicFront"/>
                  <w14:lightRig w14:rig="threePt" w14:dir="t">
                    <w14:rot w14:lat="0" w14:lon="0" w14:rev="0"/>
                  </w14:lightRig>
                </w14:scene3d>
              </w:rPr>
              <w:t>53</w:t>
            </w:r>
            <w:r w:rsidR="00B91F13">
              <w:rPr>
                <w:rFonts w:asciiTheme="minorHAnsi" w:eastAsiaTheme="minorEastAsia" w:hAnsiTheme="minorHAnsi"/>
                <w:sz w:val="22"/>
                <w:szCs w:val="22"/>
                <w:lang w:eastAsia="en-AU"/>
              </w:rPr>
              <w:tab/>
            </w:r>
            <w:r w:rsidR="00B91F13" w:rsidRPr="003671F5">
              <w:rPr>
                <w:rStyle w:val="Hyperlink"/>
              </w:rPr>
              <w:t>New process for export decision making</w:t>
            </w:r>
            <w:r w:rsidR="00B91F13">
              <w:rPr>
                <w:webHidden/>
              </w:rPr>
              <w:tab/>
            </w:r>
            <w:r w:rsidR="00B91F13">
              <w:rPr>
                <w:webHidden/>
              </w:rPr>
              <w:fldChar w:fldCharType="begin"/>
            </w:r>
            <w:r w:rsidR="00B91F13">
              <w:rPr>
                <w:webHidden/>
              </w:rPr>
              <w:instrText xml:space="preserve"> PAGEREF _Toc433906629 \h </w:instrText>
            </w:r>
            <w:r w:rsidR="00B91F13">
              <w:rPr>
                <w:webHidden/>
              </w:rPr>
            </w:r>
            <w:r w:rsidR="00B91F13">
              <w:rPr>
                <w:webHidden/>
              </w:rPr>
              <w:fldChar w:fldCharType="separate"/>
            </w:r>
            <w:r w:rsidR="001C66D7">
              <w:rPr>
                <w:webHidden/>
              </w:rPr>
              <w:t>195</w:t>
            </w:r>
            <w:r w:rsidR="00B91F13">
              <w:rPr>
                <w:webHidden/>
              </w:rPr>
              <w:fldChar w:fldCharType="end"/>
            </w:r>
          </w:hyperlink>
        </w:p>
        <w:p w14:paraId="3219631B" w14:textId="77777777" w:rsidR="00B91F13" w:rsidRDefault="000B51F5">
          <w:pPr>
            <w:pStyle w:val="TOC2"/>
            <w:rPr>
              <w:rFonts w:asciiTheme="minorHAnsi" w:eastAsiaTheme="minorEastAsia" w:hAnsiTheme="minorHAnsi"/>
              <w:sz w:val="22"/>
              <w:szCs w:val="22"/>
              <w:lang w:eastAsia="en-AU"/>
            </w:rPr>
          </w:pPr>
          <w:hyperlink w:anchor="_Toc433906630" w:history="1">
            <w:r w:rsidR="00B91F13" w:rsidRPr="003671F5">
              <w:rPr>
                <w:rStyle w:val="Hyperlink"/>
                <w14:scene3d>
                  <w14:camera w14:prst="orthographicFront"/>
                  <w14:lightRig w14:rig="threePt" w14:dir="t">
                    <w14:rot w14:lat="0" w14:lon="0" w14:rev="0"/>
                  </w14:lightRig>
                </w14:scene3d>
              </w:rPr>
              <w:t>54</w:t>
            </w:r>
            <w:r w:rsidR="00B91F13">
              <w:rPr>
                <w:rFonts w:asciiTheme="minorHAnsi" w:eastAsiaTheme="minorEastAsia" w:hAnsiTheme="minorHAnsi"/>
                <w:sz w:val="22"/>
                <w:szCs w:val="22"/>
                <w:lang w:eastAsia="en-AU"/>
              </w:rPr>
              <w:tab/>
            </w:r>
            <w:r w:rsidR="00B91F13" w:rsidRPr="003671F5">
              <w:rPr>
                <w:rStyle w:val="Hyperlink"/>
              </w:rPr>
              <w:t>Extension of General Permit system for temporary exports</w:t>
            </w:r>
            <w:r w:rsidR="00B91F13">
              <w:rPr>
                <w:webHidden/>
              </w:rPr>
              <w:tab/>
            </w:r>
            <w:r w:rsidR="00B91F13">
              <w:rPr>
                <w:webHidden/>
              </w:rPr>
              <w:fldChar w:fldCharType="begin"/>
            </w:r>
            <w:r w:rsidR="00B91F13">
              <w:rPr>
                <w:webHidden/>
              </w:rPr>
              <w:instrText xml:space="preserve"> PAGEREF _Toc433906630 \h </w:instrText>
            </w:r>
            <w:r w:rsidR="00B91F13">
              <w:rPr>
                <w:webHidden/>
              </w:rPr>
            </w:r>
            <w:r w:rsidR="00B91F13">
              <w:rPr>
                <w:webHidden/>
              </w:rPr>
              <w:fldChar w:fldCharType="separate"/>
            </w:r>
            <w:r w:rsidR="001C66D7">
              <w:rPr>
                <w:webHidden/>
              </w:rPr>
              <w:t>198</w:t>
            </w:r>
            <w:r w:rsidR="00B91F13">
              <w:rPr>
                <w:webHidden/>
              </w:rPr>
              <w:fldChar w:fldCharType="end"/>
            </w:r>
          </w:hyperlink>
        </w:p>
        <w:p w14:paraId="12FBC439" w14:textId="77777777" w:rsidR="00B91F13" w:rsidRDefault="000B51F5">
          <w:pPr>
            <w:pStyle w:val="TOC2"/>
            <w:rPr>
              <w:rFonts w:asciiTheme="minorHAnsi" w:eastAsiaTheme="minorEastAsia" w:hAnsiTheme="minorHAnsi"/>
              <w:sz w:val="22"/>
              <w:szCs w:val="22"/>
              <w:lang w:eastAsia="en-AU"/>
            </w:rPr>
          </w:pPr>
          <w:hyperlink w:anchor="_Toc433906631" w:history="1">
            <w:r w:rsidR="00B91F13" w:rsidRPr="003671F5">
              <w:rPr>
                <w:rStyle w:val="Hyperlink"/>
                <w14:scene3d>
                  <w14:camera w14:prst="orthographicFront"/>
                  <w14:lightRig w14:rig="threePt" w14:dir="t">
                    <w14:rot w14:lat="0" w14:lon="0" w14:rev="0"/>
                  </w14:lightRig>
                </w14:scene3d>
              </w:rPr>
              <w:t>55</w:t>
            </w:r>
            <w:r w:rsidR="00B91F13">
              <w:rPr>
                <w:rFonts w:asciiTheme="minorHAnsi" w:eastAsiaTheme="minorEastAsia" w:hAnsiTheme="minorHAnsi"/>
                <w:sz w:val="22"/>
                <w:szCs w:val="22"/>
                <w:lang w:eastAsia="en-AU"/>
              </w:rPr>
              <w:tab/>
            </w:r>
            <w:r w:rsidR="00B91F13" w:rsidRPr="003671F5">
              <w:rPr>
                <w:rStyle w:val="Hyperlink"/>
              </w:rPr>
              <w:t>Change of decision-maker from Minister to Department</w:t>
            </w:r>
            <w:r w:rsidR="00B91F13">
              <w:rPr>
                <w:webHidden/>
              </w:rPr>
              <w:tab/>
            </w:r>
            <w:r w:rsidR="00B91F13">
              <w:rPr>
                <w:webHidden/>
              </w:rPr>
              <w:fldChar w:fldCharType="begin"/>
            </w:r>
            <w:r w:rsidR="00B91F13">
              <w:rPr>
                <w:webHidden/>
              </w:rPr>
              <w:instrText xml:space="preserve"> PAGEREF _Toc433906631 \h </w:instrText>
            </w:r>
            <w:r w:rsidR="00B91F13">
              <w:rPr>
                <w:webHidden/>
              </w:rPr>
            </w:r>
            <w:r w:rsidR="00B91F13">
              <w:rPr>
                <w:webHidden/>
              </w:rPr>
              <w:fldChar w:fldCharType="separate"/>
            </w:r>
            <w:r w:rsidR="001C66D7">
              <w:rPr>
                <w:webHidden/>
              </w:rPr>
              <w:t>198</w:t>
            </w:r>
            <w:r w:rsidR="00B91F13">
              <w:rPr>
                <w:webHidden/>
              </w:rPr>
              <w:fldChar w:fldCharType="end"/>
            </w:r>
          </w:hyperlink>
        </w:p>
        <w:p w14:paraId="5FA38823" w14:textId="77777777" w:rsidR="00B91F13" w:rsidRDefault="000B51F5">
          <w:pPr>
            <w:pStyle w:val="TOC2"/>
            <w:rPr>
              <w:rFonts w:asciiTheme="minorHAnsi" w:eastAsiaTheme="minorEastAsia" w:hAnsiTheme="minorHAnsi"/>
              <w:sz w:val="22"/>
              <w:szCs w:val="22"/>
              <w:lang w:eastAsia="en-AU"/>
            </w:rPr>
          </w:pPr>
          <w:hyperlink w:anchor="_Toc433906632" w:history="1">
            <w:r w:rsidR="00B91F13" w:rsidRPr="003671F5">
              <w:rPr>
                <w:rStyle w:val="Hyperlink"/>
                <w14:scene3d>
                  <w14:camera w14:prst="orthographicFront"/>
                  <w14:lightRig w14:rig="threePt" w14:dir="t">
                    <w14:rot w14:lat="0" w14:lon="0" w14:rev="0"/>
                  </w14:lightRig>
                </w14:scene3d>
              </w:rPr>
              <w:t>56</w:t>
            </w:r>
            <w:r w:rsidR="00B91F13">
              <w:rPr>
                <w:rFonts w:asciiTheme="minorHAnsi" w:eastAsiaTheme="minorEastAsia" w:hAnsiTheme="minorHAnsi"/>
                <w:sz w:val="22"/>
                <w:szCs w:val="22"/>
                <w:lang w:eastAsia="en-AU"/>
              </w:rPr>
              <w:tab/>
            </w:r>
            <w:r w:rsidR="00B91F13" w:rsidRPr="003671F5">
              <w:rPr>
                <w:rStyle w:val="Hyperlink"/>
              </w:rPr>
              <w:t>Widened National Cultural Heritage Account</w:t>
            </w:r>
            <w:r w:rsidR="00B91F13">
              <w:rPr>
                <w:webHidden/>
              </w:rPr>
              <w:tab/>
            </w:r>
            <w:r w:rsidR="00B91F13">
              <w:rPr>
                <w:webHidden/>
              </w:rPr>
              <w:fldChar w:fldCharType="begin"/>
            </w:r>
            <w:r w:rsidR="00B91F13">
              <w:rPr>
                <w:webHidden/>
              </w:rPr>
              <w:instrText xml:space="preserve"> PAGEREF _Toc433906632 \h </w:instrText>
            </w:r>
            <w:r w:rsidR="00B91F13">
              <w:rPr>
                <w:webHidden/>
              </w:rPr>
            </w:r>
            <w:r w:rsidR="00B91F13">
              <w:rPr>
                <w:webHidden/>
              </w:rPr>
              <w:fldChar w:fldCharType="separate"/>
            </w:r>
            <w:r w:rsidR="001C66D7">
              <w:rPr>
                <w:webHidden/>
              </w:rPr>
              <w:t>199</w:t>
            </w:r>
            <w:r w:rsidR="00B91F13">
              <w:rPr>
                <w:webHidden/>
              </w:rPr>
              <w:fldChar w:fldCharType="end"/>
            </w:r>
          </w:hyperlink>
        </w:p>
        <w:p w14:paraId="1FAA80DB" w14:textId="77777777" w:rsidR="00B91F13" w:rsidRDefault="000B51F5">
          <w:pPr>
            <w:pStyle w:val="TOC1"/>
            <w:rPr>
              <w:rFonts w:asciiTheme="minorHAnsi" w:eastAsiaTheme="minorEastAsia" w:hAnsiTheme="minorHAnsi"/>
              <w:b w:val="0"/>
              <w:sz w:val="22"/>
              <w:szCs w:val="22"/>
              <w:lang w:eastAsia="en-AU"/>
            </w:rPr>
          </w:pPr>
          <w:hyperlink w:anchor="_Toc433906633" w:history="1">
            <w:r w:rsidR="00B91F13" w:rsidRPr="003671F5">
              <w:rPr>
                <w:rStyle w:val="Hyperlink"/>
              </w:rPr>
              <w:t>Protection of Foreign Cultural Material—import provisions</w:t>
            </w:r>
            <w:r w:rsidR="00B91F13">
              <w:rPr>
                <w:webHidden/>
              </w:rPr>
              <w:tab/>
            </w:r>
            <w:r w:rsidR="00B91F13">
              <w:rPr>
                <w:webHidden/>
              </w:rPr>
              <w:fldChar w:fldCharType="begin"/>
            </w:r>
            <w:r w:rsidR="00B91F13">
              <w:rPr>
                <w:webHidden/>
              </w:rPr>
              <w:instrText xml:space="preserve"> PAGEREF _Toc433906633 \h </w:instrText>
            </w:r>
            <w:r w:rsidR="00B91F13">
              <w:rPr>
                <w:webHidden/>
              </w:rPr>
            </w:r>
            <w:r w:rsidR="00B91F13">
              <w:rPr>
                <w:webHidden/>
              </w:rPr>
              <w:fldChar w:fldCharType="separate"/>
            </w:r>
            <w:r w:rsidR="001C66D7">
              <w:rPr>
                <w:webHidden/>
              </w:rPr>
              <w:t>200</w:t>
            </w:r>
            <w:r w:rsidR="00B91F13">
              <w:rPr>
                <w:webHidden/>
              </w:rPr>
              <w:fldChar w:fldCharType="end"/>
            </w:r>
          </w:hyperlink>
        </w:p>
        <w:p w14:paraId="6B1E18BD" w14:textId="77777777" w:rsidR="00B91F13" w:rsidRDefault="000B51F5">
          <w:pPr>
            <w:pStyle w:val="TOC2"/>
            <w:rPr>
              <w:rFonts w:asciiTheme="minorHAnsi" w:eastAsiaTheme="minorEastAsia" w:hAnsiTheme="minorHAnsi"/>
              <w:sz w:val="22"/>
              <w:szCs w:val="22"/>
              <w:lang w:eastAsia="en-AU"/>
            </w:rPr>
          </w:pPr>
          <w:hyperlink w:anchor="_Toc433906634" w:history="1">
            <w:r w:rsidR="00B91F13" w:rsidRPr="003671F5">
              <w:rPr>
                <w:rStyle w:val="Hyperlink"/>
                <w14:scene3d>
                  <w14:camera w14:prst="orthographicFront"/>
                  <w14:lightRig w14:rig="threePt" w14:dir="t">
                    <w14:rot w14:lat="0" w14:lon="0" w14:rev="0"/>
                  </w14:lightRig>
                </w14:scene3d>
              </w:rPr>
              <w:t>57</w:t>
            </w:r>
            <w:r w:rsidR="00B91F13">
              <w:rPr>
                <w:rFonts w:asciiTheme="minorHAnsi" w:eastAsiaTheme="minorEastAsia" w:hAnsiTheme="minorHAnsi"/>
                <w:sz w:val="22"/>
                <w:szCs w:val="22"/>
                <w:lang w:eastAsia="en-AU"/>
              </w:rPr>
              <w:tab/>
            </w:r>
            <w:r w:rsidR="00B91F13" w:rsidRPr="003671F5">
              <w:rPr>
                <w:rStyle w:val="Hyperlink"/>
              </w:rPr>
              <w:t>Ambit</w:t>
            </w:r>
            <w:r w:rsidR="00B91F13">
              <w:rPr>
                <w:webHidden/>
              </w:rPr>
              <w:tab/>
            </w:r>
            <w:r w:rsidR="00B91F13">
              <w:rPr>
                <w:webHidden/>
              </w:rPr>
              <w:fldChar w:fldCharType="begin"/>
            </w:r>
            <w:r w:rsidR="00B91F13">
              <w:rPr>
                <w:webHidden/>
              </w:rPr>
              <w:instrText xml:space="preserve"> PAGEREF _Toc433906634 \h </w:instrText>
            </w:r>
            <w:r w:rsidR="00B91F13">
              <w:rPr>
                <w:webHidden/>
              </w:rPr>
            </w:r>
            <w:r w:rsidR="00B91F13">
              <w:rPr>
                <w:webHidden/>
              </w:rPr>
              <w:fldChar w:fldCharType="separate"/>
            </w:r>
            <w:r w:rsidR="001C66D7">
              <w:rPr>
                <w:webHidden/>
              </w:rPr>
              <w:t>200</w:t>
            </w:r>
            <w:r w:rsidR="00B91F13">
              <w:rPr>
                <w:webHidden/>
              </w:rPr>
              <w:fldChar w:fldCharType="end"/>
            </w:r>
          </w:hyperlink>
        </w:p>
        <w:p w14:paraId="7CA7F9ED" w14:textId="77777777" w:rsidR="00B91F13" w:rsidRDefault="000B51F5">
          <w:pPr>
            <w:pStyle w:val="TOC2"/>
            <w:rPr>
              <w:rFonts w:asciiTheme="minorHAnsi" w:eastAsiaTheme="minorEastAsia" w:hAnsiTheme="minorHAnsi"/>
              <w:sz w:val="22"/>
              <w:szCs w:val="22"/>
              <w:lang w:eastAsia="en-AU"/>
            </w:rPr>
          </w:pPr>
          <w:hyperlink w:anchor="_Toc433906635" w:history="1">
            <w:r w:rsidR="00B91F13" w:rsidRPr="003671F5">
              <w:rPr>
                <w:rStyle w:val="Hyperlink"/>
                <w14:scene3d>
                  <w14:camera w14:prst="orthographicFront"/>
                  <w14:lightRig w14:rig="threePt" w14:dir="t">
                    <w14:rot w14:lat="0" w14:lon="0" w14:rev="0"/>
                  </w14:lightRig>
                </w14:scene3d>
              </w:rPr>
              <w:t>58</w:t>
            </w:r>
            <w:r w:rsidR="00B91F13">
              <w:rPr>
                <w:rFonts w:asciiTheme="minorHAnsi" w:eastAsiaTheme="minorEastAsia" w:hAnsiTheme="minorHAnsi"/>
                <w:sz w:val="22"/>
                <w:szCs w:val="22"/>
                <w:lang w:eastAsia="en-AU"/>
              </w:rPr>
              <w:tab/>
            </w:r>
            <w:r w:rsidR="00B91F13" w:rsidRPr="003671F5">
              <w:rPr>
                <w:rStyle w:val="Hyperlink"/>
              </w:rPr>
              <w:t>Definitions</w:t>
            </w:r>
            <w:r w:rsidR="00B91F13">
              <w:rPr>
                <w:webHidden/>
              </w:rPr>
              <w:tab/>
            </w:r>
            <w:r w:rsidR="00B91F13">
              <w:rPr>
                <w:webHidden/>
              </w:rPr>
              <w:fldChar w:fldCharType="begin"/>
            </w:r>
            <w:r w:rsidR="00B91F13">
              <w:rPr>
                <w:webHidden/>
              </w:rPr>
              <w:instrText xml:space="preserve"> PAGEREF _Toc433906635 \h </w:instrText>
            </w:r>
            <w:r w:rsidR="00B91F13">
              <w:rPr>
                <w:webHidden/>
              </w:rPr>
            </w:r>
            <w:r w:rsidR="00B91F13">
              <w:rPr>
                <w:webHidden/>
              </w:rPr>
              <w:fldChar w:fldCharType="separate"/>
            </w:r>
            <w:r w:rsidR="001C66D7">
              <w:rPr>
                <w:webHidden/>
              </w:rPr>
              <w:t>201</w:t>
            </w:r>
            <w:r w:rsidR="00B91F13">
              <w:rPr>
                <w:webHidden/>
              </w:rPr>
              <w:fldChar w:fldCharType="end"/>
            </w:r>
          </w:hyperlink>
        </w:p>
        <w:p w14:paraId="532BEF42" w14:textId="77777777" w:rsidR="00B91F13" w:rsidRDefault="000B51F5">
          <w:pPr>
            <w:pStyle w:val="TOC2"/>
            <w:rPr>
              <w:rFonts w:asciiTheme="minorHAnsi" w:eastAsiaTheme="minorEastAsia" w:hAnsiTheme="minorHAnsi"/>
              <w:sz w:val="22"/>
              <w:szCs w:val="22"/>
              <w:lang w:eastAsia="en-AU"/>
            </w:rPr>
          </w:pPr>
          <w:hyperlink w:anchor="_Toc433906636" w:history="1">
            <w:r w:rsidR="00B91F13" w:rsidRPr="003671F5">
              <w:rPr>
                <w:rStyle w:val="Hyperlink"/>
                <w14:scene3d>
                  <w14:camera w14:prst="orthographicFront"/>
                  <w14:lightRig w14:rig="threePt" w14:dir="t">
                    <w14:rot w14:lat="0" w14:lon="0" w14:rev="0"/>
                  </w14:lightRig>
                </w14:scene3d>
              </w:rPr>
              <w:t>59</w:t>
            </w:r>
            <w:r w:rsidR="00B91F13">
              <w:rPr>
                <w:rFonts w:asciiTheme="minorHAnsi" w:eastAsiaTheme="minorEastAsia" w:hAnsiTheme="minorHAnsi"/>
                <w:sz w:val="22"/>
                <w:szCs w:val="22"/>
                <w:lang w:eastAsia="en-AU"/>
              </w:rPr>
              <w:tab/>
            </w:r>
            <w:r w:rsidR="00B91F13" w:rsidRPr="003671F5">
              <w:rPr>
                <w:rStyle w:val="Hyperlink"/>
              </w:rPr>
              <w:t>Provisions common to illegally imported, stolen or looted cultural material</w:t>
            </w:r>
            <w:r w:rsidR="00B91F13">
              <w:rPr>
                <w:webHidden/>
              </w:rPr>
              <w:tab/>
            </w:r>
            <w:r w:rsidR="00B91F13">
              <w:rPr>
                <w:webHidden/>
              </w:rPr>
              <w:fldChar w:fldCharType="begin"/>
            </w:r>
            <w:r w:rsidR="00B91F13">
              <w:rPr>
                <w:webHidden/>
              </w:rPr>
              <w:instrText xml:space="preserve"> PAGEREF _Toc433906636 \h </w:instrText>
            </w:r>
            <w:r w:rsidR="00B91F13">
              <w:rPr>
                <w:webHidden/>
              </w:rPr>
            </w:r>
            <w:r w:rsidR="00B91F13">
              <w:rPr>
                <w:webHidden/>
              </w:rPr>
              <w:fldChar w:fldCharType="separate"/>
            </w:r>
            <w:r w:rsidR="001C66D7">
              <w:rPr>
                <w:webHidden/>
              </w:rPr>
              <w:t>202</w:t>
            </w:r>
            <w:r w:rsidR="00B91F13">
              <w:rPr>
                <w:webHidden/>
              </w:rPr>
              <w:fldChar w:fldCharType="end"/>
            </w:r>
          </w:hyperlink>
        </w:p>
        <w:p w14:paraId="5786A20C" w14:textId="77777777" w:rsidR="00B91F13" w:rsidRDefault="000B51F5">
          <w:pPr>
            <w:pStyle w:val="TOC2"/>
            <w:rPr>
              <w:rFonts w:asciiTheme="minorHAnsi" w:eastAsiaTheme="minorEastAsia" w:hAnsiTheme="minorHAnsi"/>
              <w:sz w:val="22"/>
              <w:szCs w:val="22"/>
              <w:lang w:eastAsia="en-AU"/>
            </w:rPr>
          </w:pPr>
          <w:hyperlink w:anchor="_Toc433906637" w:history="1">
            <w:r w:rsidR="00B91F13" w:rsidRPr="003671F5">
              <w:rPr>
                <w:rStyle w:val="Hyperlink"/>
                <w14:scene3d>
                  <w14:camera w14:prst="orthographicFront"/>
                  <w14:lightRig w14:rig="threePt" w14:dir="t">
                    <w14:rot w14:lat="0" w14:lon="0" w14:rev="0"/>
                  </w14:lightRig>
                </w14:scene3d>
              </w:rPr>
              <w:t>60</w:t>
            </w:r>
            <w:r w:rsidR="00B91F13">
              <w:rPr>
                <w:rFonts w:asciiTheme="minorHAnsi" w:eastAsiaTheme="minorEastAsia" w:hAnsiTheme="minorHAnsi"/>
                <w:sz w:val="22"/>
                <w:szCs w:val="22"/>
                <w:lang w:eastAsia="en-AU"/>
              </w:rPr>
              <w:tab/>
            </w:r>
            <w:r w:rsidR="00B91F13" w:rsidRPr="003671F5">
              <w:rPr>
                <w:rStyle w:val="Hyperlink"/>
              </w:rPr>
              <w:t>Specific provisions—Illegally exported cultural material</w:t>
            </w:r>
            <w:r w:rsidR="00B91F13">
              <w:rPr>
                <w:webHidden/>
              </w:rPr>
              <w:tab/>
            </w:r>
            <w:r w:rsidR="00B91F13">
              <w:rPr>
                <w:webHidden/>
              </w:rPr>
              <w:fldChar w:fldCharType="begin"/>
            </w:r>
            <w:r w:rsidR="00B91F13">
              <w:rPr>
                <w:webHidden/>
              </w:rPr>
              <w:instrText xml:space="preserve"> PAGEREF _Toc433906637 \h </w:instrText>
            </w:r>
            <w:r w:rsidR="00B91F13">
              <w:rPr>
                <w:webHidden/>
              </w:rPr>
            </w:r>
            <w:r w:rsidR="00B91F13">
              <w:rPr>
                <w:webHidden/>
              </w:rPr>
              <w:fldChar w:fldCharType="separate"/>
            </w:r>
            <w:r w:rsidR="001C66D7">
              <w:rPr>
                <w:webHidden/>
              </w:rPr>
              <w:t>209</w:t>
            </w:r>
            <w:r w:rsidR="00B91F13">
              <w:rPr>
                <w:webHidden/>
              </w:rPr>
              <w:fldChar w:fldCharType="end"/>
            </w:r>
          </w:hyperlink>
        </w:p>
        <w:p w14:paraId="630395DA" w14:textId="77777777" w:rsidR="00B91F13" w:rsidRDefault="000B51F5">
          <w:pPr>
            <w:pStyle w:val="TOC2"/>
            <w:rPr>
              <w:rFonts w:asciiTheme="minorHAnsi" w:eastAsiaTheme="minorEastAsia" w:hAnsiTheme="minorHAnsi"/>
              <w:sz w:val="22"/>
              <w:szCs w:val="22"/>
              <w:lang w:eastAsia="en-AU"/>
            </w:rPr>
          </w:pPr>
          <w:hyperlink w:anchor="_Toc433906638" w:history="1">
            <w:r w:rsidR="00B91F13" w:rsidRPr="003671F5">
              <w:rPr>
                <w:rStyle w:val="Hyperlink"/>
                <w14:scene3d>
                  <w14:camera w14:prst="orthographicFront"/>
                  <w14:lightRig w14:rig="threePt" w14:dir="t">
                    <w14:rot w14:lat="0" w14:lon="0" w14:rev="0"/>
                  </w14:lightRig>
                </w14:scene3d>
              </w:rPr>
              <w:t>61</w:t>
            </w:r>
            <w:r w:rsidR="00B91F13">
              <w:rPr>
                <w:rFonts w:asciiTheme="minorHAnsi" w:eastAsiaTheme="minorEastAsia" w:hAnsiTheme="minorHAnsi"/>
                <w:sz w:val="22"/>
                <w:szCs w:val="22"/>
                <w:lang w:eastAsia="en-AU"/>
              </w:rPr>
              <w:tab/>
            </w:r>
            <w:r w:rsidR="00B91F13" w:rsidRPr="003671F5">
              <w:rPr>
                <w:rStyle w:val="Hyperlink"/>
              </w:rPr>
              <w:t>Specific provisions—stolen cultural material</w:t>
            </w:r>
            <w:r w:rsidR="00B91F13">
              <w:rPr>
                <w:webHidden/>
              </w:rPr>
              <w:tab/>
            </w:r>
            <w:r w:rsidR="00B91F13">
              <w:rPr>
                <w:webHidden/>
              </w:rPr>
              <w:fldChar w:fldCharType="begin"/>
            </w:r>
            <w:r w:rsidR="00B91F13">
              <w:rPr>
                <w:webHidden/>
              </w:rPr>
              <w:instrText xml:space="preserve"> PAGEREF _Toc433906638 \h </w:instrText>
            </w:r>
            <w:r w:rsidR="00B91F13">
              <w:rPr>
                <w:webHidden/>
              </w:rPr>
            </w:r>
            <w:r w:rsidR="00B91F13">
              <w:rPr>
                <w:webHidden/>
              </w:rPr>
              <w:fldChar w:fldCharType="separate"/>
            </w:r>
            <w:r w:rsidR="001C66D7">
              <w:rPr>
                <w:webHidden/>
              </w:rPr>
              <w:t>209</w:t>
            </w:r>
            <w:r w:rsidR="00B91F13">
              <w:rPr>
                <w:webHidden/>
              </w:rPr>
              <w:fldChar w:fldCharType="end"/>
            </w:r>
          </w:hyperlink>
        </w:p>
        <w:p w14:paraId="1B98B0D4" w14:textId="77777777" w:rsidR="00B91F13" w:rsidRDefault="000B51F5">
          <w:pPr>
            <w:pStyle w:val="TOC2"/>
            <w:rPr>
              <w:rFonts w:asciiTheme="minorHAnsi" w:eastAsiaTheme="minorEastAsia" w:hAnsiTheme="minorHAnsi"/>
              <w:sz w:val="22"/>
              <w:szCs w:val="22"/>
              <w:lang w:eastAsia="en-AU"/>
            </w:rPr>
          </w:pPr>
          <w:hyperlink w:anchor="_Toc433906639" w:history="1">
            <w:r w:rsidR="00B91F13" w:rsidRPr="003671F5">
              <w:rPr>
                <w:rStyle w:val="Hyperlink"/>
                <w14:scene3d>
                  <w14:camera w14:prst="orthographicFront"/>
                  <w14:lightRig w14:rig="threePt" w14:dir="t">
                    <w14:rot w14:lat="0" w14:lon="0" w14:rev="0"/>
                  </w14:lightRig>
                </w14:scene3d>
              </w:rPr>
              <w:t>62</w:t>
            </w:r>
            <w:r w:rsidR="00B91F13">
              <w:rPr>
                <w:rFonts w:asciiTheme="minorHAnsi" w:eastAsiaTheme="minorEastAsia" w:hAnsiTheme="minorHAnsi"/>
                <w:sz w:val="22"/>
                <w:szCs w:val="22"/>
                <w:lang w:eastAsia="en-AU"/>
              </w:rPr>
              <w:tab/>
            </w:r>
            <w:r w:rsidR="00B91F13" w:rsidRPr="003671F5">
              <w:rPr>
                <w:rStyle w:val="Hyperlink"/>
              </w:rPr>
              <w:t>Specific provisions—looted cultural material</w:t>
            </w:r>
            <w:r w:rsidR="00B91F13">
              <w:rPr>
                <w:webHidden/>
              </w:rPr>
              <w:tab/>
            </w:r>
            <w:r w:rsidR="00B91F13">
              <w:rPr>
                <w:webHidden/>
              </w:rPr>
              <w:fldChar w:fldCharType="begin"/>
            </w:r>
            <w:r w:rsidR="00B91F13">
              <w:rPr>
                <w:webHidden/>
              </w:rPr>
              <w:instrText xml:space="preserve"> PAGEREF _Toc433906639 \h </w:instrText>
            </w:r>
            <w:r w:rsidR="00B91F13">
              <w:rPr>
                <w:webHidden/>
              </w:rPr>
            </w:r>
            <w:r w:rsidR="00B91F13">
              <w:rPr>
                <w:webHidden/>
              </w:rPr>
              <w:fldChar w:fldCharType="separate"/>
            </w:r>
            <w:r w:rsidR="001C66D7">
              <w:rPr>
                <w:webHidden/>
              </w:rPr>
              <w:t>210</w:t>
            </w:r>
            <w:r w:rsidR="00B91F13">
              <w:rPr>
                <w:webHidden/>
              </w:rPr>
              <w:fldChar w:fldCharType="end"/>
            </w:r>
          </w:hyperlink>
        </w:p>
        <w:p w14:paraId="3FEB20EF" w14:textId="39FDFA69" w:rsidR="00E2435E" w:rsidRPr="00172D73" w:rsidRDefault="001A20CD" w:rsidP="00172D73">
          <w:pPr>
            <w:sectPr w:rsidR="00E2435E" w:rsidRPr="00172D73" w:rsidSect="00B138C4">
              <w:footerReference w:type="default" r:id="rId16"/>
              <w:pgSz w:w="11906" w:h="16838"/>
              <w:pgMar w:top="1440" w:right="1440" w:bottom="1440" w:left="1440" w:header="708" w:footer="708" w:gutter="0"/>
              <w:pgNumType w:start="0"/>
              <w:cols w:space="708"/>
              <w:titlePg/>
              <w:docGrid w:linePitch="360"/>
            </w:sectPr>
          </w:pPr>
          <w:r>
            <w:rPr>
              <w:b/>
            </w:rPr>
            <w:fldChar w:fldCharType="end"/>
          </w:r>
        </w:p>
      </w:sdtContent>
    </w:sdt>
    <w:p w14:paraId="0915FE6C" w14:textId="77777777" w:rsidR="00AA7153" w:rsidRDefault="001A20CD" w:rsidP="00B51AD0">
      <w:pPr>
        <w:pStyle w:val="Heading1"/>
      </w:pPr>
      <w:bookmarkStart w:id="13" w:name="_Toc433906571"/>
      <w:r w:rsidRPr="00E70C45">
        <w:lastRenderedPageBreak/>
        <w:t>Part A: Introduction</w:t>
      </w:r>
      <w:bookmarkEnd w:id="13"/>
    </w:p>
    <w:p w14:paraId="7D5D0677" w14:textId="1B75965C" w:rsidR="001A20CD" w:rsidRPr="00E70C45" w:rsidRDefault="001A20CD" w:rsidP="00052178">
      <w:pPr>
        <w:pStyle w:val="Heading2"/>
      </w:pPr>
      <w:bookmarkStart w:id="14" w:name="_Toc433906572"/>
      <w:r w:rsidRPr="00E70C45">
        <w:t xml:space="preserve">The </w:t>
      </w:r>
      <w:r w:rsidRPr="001C21DC">
        <w:t>Review</w:t>
      </w:r>
      <w:bookmarkEnd w:id="14"/>
    </w:p>
    <w:p w14:paraId="20D9CA53" w14:textId="77777777" w:rsidR="00AA7153" w:rsidRDefault="001A20CD" w:rsidP="000A0230">
      <w:r w:rsidRPr="00E70C45">
        <w:t xml:space="preserve">Since 1987, the </w:t>
      </w:r>
      <w:r w:rsidRPr="00E70C45">
        <w:rPr>
          <w:i/>
        </w:rPr>
        <w:t>Protection of Movable Cultural Heritage Act</w:t>
      </w:r>
      <w:r w:rsidRPr="00E70C45">
        <w:t xml:space="preserve"> </w:t>
      </w:r>
      <w:r w:rsidRPr="00E70C45">
        <w:rPr>
          <w:i/>
        </w:rPr>
        <w:t>1986</w:t>
      </w:r>
      <w:r w:rsidRPr="00E70C45">
        <w:t xml:space="preserve"> (the ‘Act’) has provided the regulatory framework for the import and export of significant cultural material. It has allowed Australia to fulfil its obligations under the UNESCO </w:t>
      </w:r>
      <w:r w:rsidRPr="00E70C45">
        <w:rPr>
          <w:i/>
        </w:rPr>
        <w:t>Convention on the Means of Prohibiting and Preventing the Illicit Import, Export and Transfer of Ownership of Cultural Property</w:t>
      </w:r>
      <w:r w:rsidRPr="00E70C45">
        <w:t xml:space="preserve"> 1970 (the ‘UNESCO Convention 1970’) and has sought to provide protection to both Australian and foreign cultural material.</w:t>
      </w:r>
    </w:p>
    <w:p w14:paraId="1B950B76" w14:textId="0D540534" w:rsidR="001A20CD" w:rsidRDefault="001A20CD" w:rsidP="000A0230">
      <w:r w:rsidRPr="00E70C45">
        <w:t xml:space="preserve">Although there have been a number of reviews over the life of the Act, the Act has not been significantly amended since its inception. </w:t>
      </w:r>
      <w:r>
        <w:t>Accordingly, t</w:t>
      </w:r>
      <w:r w:rsidRPr="00E70C45">
        <w:t>h</w:t>
      </w:r>
      <w:r>
        <w:t>is</w:t>
      </w:r>
      <w:r w:rsidRPr="00E70C45">
        <w:t xml:space="preserve"> review has ambitious terms of reference, giving consideration to all elements of the scheme and seeking to modernise and streamline the</w:t>
      </w:r>
      <w:r w:rsidR="007308AE">
        <w:t xml:space="preserve"> model. The Terms of Reference</w:t>
      </w:r>
      <w:r w:rsidRPr="00E70C45">
        <w:t xml:space="preserve"> raised some overarching questions:</w:t>
      </w:r>
    </w:p>
    <w:p w14:paraId="3FE55F8C" w14:textId="77777777" w:rsidR="001A20CD" w:rsidRPr="0029656D" w:rsidRDefault="001A20CD" w:rsidP="007F3104">
      <w:pPr>
        <w:pStyle w:val="ListParagraph"/>
        <w:numPr>
          <w:ilvl w:val="0"/>
          <w:numId w:val="29"/>
        </w:numPr>
        <w:ind w:left="567" w:hanging="567"/>
        <w:rPr>
          <w:szCs w:val="24"/>
        </w:rPr>
      </w:pPr>
      <w:r w:rsidRPr="0029656D">
        <w:rPr>
          <w:szCs w:val="24"/>
        </w:rPr>
        <w:t>What are the categories and types of Australian cultural objects that should be protected by regulation?</w:t>
      </w:r>
    </w:p>
    <w:p w14:paraId="5D8F41BE" w14:textId="77777777" w:rsidR="001A20CD" w:rsidRPr="0029656D" w:rsidRDefault="001A20CD" w:rsidP="007F3104">
      <w:pPr>
        <w:pStyle w:val="ListParagraph"/>
        <w:numPr>
          <w:ilvl w:val="0"/>
          <w:numId w:val="29"/>
        </w:numPr>
        <w:ind w:left="567" w:hanging="567"/>
        <w:rPr>
          <w:szCs w:val="24"/>
        </w:rPr>
      </w:pPr>
      <w:r w:rsidRPr="0029656D">
        <w:rPr>
          <w:szCs w:val="24"/>
        </w:rPr>
        <w:t>What are the appropriate thresholds and definitions of significance?</w:t>
      </w:r>
    </w:p>
    <w:p w14:paraId="5BDA0597" w14:textId="77777777" w:rsidR="001A20CD" w:rsidRPr="0029656D" w:rsidRDefault="001A20CD" w:rsidP="007F3104">
      <w:pPr>
        <w:pStyle w:val="ListParagraph"/>
        <w:numPr>
          <w:ilvl w:val="0"/>
          <w:numId w:val="29"/>
        </w:numPr>
        <w:ind w:left="567" w:hanging="567"/>
        <w:rPr>
          <w:szCs w:val="24"/>
        </w:rPr>
      </w:pPr>
      <w:r w:rsidRPr="0029656D">
        <w:rPr>
          <w:szCs w:val="24"/>
        </w:rPr>
        <w:t>What is the most effective framework for protecting Australia’s cultural heritage?</w:t>
      </w:r>
    </w:p>
    <w:p w14:paraId="7A8038D0" w14:textId="77777777" w:rsidR="00AA7153" w:rsidRDefault="001A20CD" w:rsidP="007F3104">
      <w:pPr>
        <w:pStyle w:val="ListParagraph"/>
        <w:numPr>
          <w:ilvl w:val="0"/>
          <w:numId w:val="29"/>
        </w:numPr>
        <w:ind w:left="567" w:hanging="567"/>
        <w:rPr>
          <w:szCs w:val="24"/>
        </w:rPr>
      </w:pPr>
      <w:r w:rsidRPr="0029656D">
        <w:rPr>
          <w:szCs w:val="24"/>
        </w:rPr>
        <w:t>How are decisions regarding specific objects best made?</w:t>
      </w:r>
    </w:p>
    <w:p w14:paraId="0CAEFEB0" w14:textId="5E338B9F" w:rsidR="001A20CD" w:rsidRPr="0029656D" w:rsidRDefault="001A20CD" w:rsidP="007F3104">
      <w:pPr>
        <w:pStyle w:val="ListParagraph"/>
        <w:numPr>
          <w:ilvl w:val="0"/>
          <w:numId w:val="29"/>
        </w:numPr>
        <w:ind w:left="567" w:hanging="567"/>
        <w:rPr>
          <w:szCs w:val="24"/>
        </w:rPr>
      </w:pPr>
      <w:r w:rsidRPr="0029656D">
        <w:rPr>
          <w:szCs w:val="24"/>
        </w:rPr>
        <w:t xml:space="preserve">How </w:t>
      </w:r>
      <w:proofErr w:type="gramStart"/>
      <w:r w:rsidRPr="0029656D">
        <w:rPr>
          <w:szCs w:val="24"/>
        </w:rPr>
        <w:t>is the scheme</w:t>
      </w:r>
      <w:proofErr w:type="gramEnd"/>
      <w:r w:rsidRPr="0029656D">
        <w:rPr>
          <w:szCs w:val="24"/>
        </w:rPr>
        <w:t xml:space="preserve"> best enforced?</w:t>
      </w:r>
    </w:p>
    <w:p w14:paraId="306D6DB8" w14:textId="77777777" w:rsidR="001A20CD" w:rsidRPr="0029656D" w:rsidRDefault="001A20CD" w:rsidP="007F3104">
      <w:pPr>
        <w:pStyle w:val="ListParagraph"/>
        <w:numPr>
          <w:ilvl w:val="0"/>
          <w:numId w:val="29"/>
        </w:numPr>
        <w:ind w:left="567" w:hanging="567"/>
        <w:rPr>
          <w:szCs w:val="24"/>
        </w:rPr>
      </w:pPr>
      <w:r w:rsidRPr="0029656D">
        <w:rPr>
          <w:szCs w:val="24"/>
        </w:rPr>
        <w:t>What levels of protection should be extended to foreign material?</w:t>
      </w:r>
    </w:p>
    <w:p w14:paraId="71170621" w14:textId="77777777" w:rsidR="001A20CD" w:rsidRPr="0029656D" w:rsidRDefault="001A20CD" w:rsidP="007F3104">
      <w:pPr>
        <w:pStyle w:val="ListParagraph"/>
        <w:numPr>
          <w:ilvl w:val="0"/>
          <w:numId w:val="29"/>
        </w:numPr>
        <w:ind w:left="567" w:hanging="567"/>
        <w:rPr>
          <w:szCs w:val="24"/>
        </w:rPr>
      </w:pPr>
      <w:r w:rsidRPr="0029656D">
        <w:rPr>
          <w:szCs w:val="24"/>
        </w:rPr>
        <w:t>How can Australia improve its implementation of the UNESCO Convention 1970?</w:t>
      </w:r>
    </w:p>
    <w:p w14:paraId="1B531B79" w14:textId="77777777" w:rsidR="001A20CD" w:rsidRPr="0029656D" w:rsidRDefault="001A20CD" w:rsidP="007F3104">
      <w:pPr>
        <w:pStyle w:val="ListParagraph"/>
        <w:numPr>
          <w:ilvl w:val="0"/>
          <w:numId w:val="29"/>
        </w:numPr>
        <w:ind w:left="567" w:hanging="567"/>
        <w:rPr>
          <w:szCs w:val="24"/>
        </w:rPr>
      </w:pPr>
      <w:r w:rsidRPr="0029656D">
        <w:rPr>
          <w:szCs w:val="24"/>
        </w:rPr>
        <w:t>How does the scheme interact with Australia’s existing obligations under the UNESCO Hague Convention for the Protection of Cultural Property in the Event of Armed Conflict 1954 (the ‘Hague Convention 1954’)?</w:t>
      </w:r>
    </w:p>
    <w:p w14:paraId="2520B00B" w14:textId="77777777" w:rsidR="00AA7153" w:rsidRDefault="001A20CD" w:rsidP="007F3104">
      <w:pPr>
        <w:pStyle w:val="ListParagraph"/>
        <w:numPr>
          <w:ilvl w:val="0"/>
          <w:numId w:val="29"/>
        </w:numPr>
        <w:ind w:left="567" w:hanging="567"/>
        <w:rPr>
          <w:szCs w:val="24"/>
        </w:rPr>
      </w:pPr>
      <w:r w:rsidRPr="0029656D">
        <w:rPr>
          <w:szCs w:val="24"/>
        </w:rPr>
        <w:t>Whether ratification of the First and Second Protocols of the Hague Convention 1954 would better reflect Australia’s commitment to the international community?</w:t>
      </w:r>
    </w:p>
    <w:p w14:paraId="7F17F13B" w14:textId="24106C8A" w:rsidR="001C21DC" w:rsidRPr="0029656D" w:rsidRDefault="001A20CD" w:rsidP="007F3104">
      <w:pPr>
        <w:pStyle w:val="ListParagraph"/>
        <w:numPr>
          <w:ilvl w:val="0"/>
          <w:numId w:val="29"/>
        </w:numPr>
        <w:ind w:left="567" w:hanging="567"/>
        <w:rPr>
          <w:szCs w:val="24"/>
        </w:rPr>
      </w:pPr>
      <w:r w:rsidRPr="0029656D">
        <w:rPr>
          <w:szCs w:val="24"/>
        </w:rPr>
        <w:t>How to provide the procedural machinery necessary to ensure the effective implementation of United Nations Security Council sanctions and resolutions con</w:t>
      </w:r>
      <w:r w:rsidR="008F7F09" w:rsidRPr="0029656D">
        <w:rPr>
          <w:szCs w:val="24"/>
        </w:rPr>
        <w:t>cerning looted cultural property</w:t>
      </w:r>
      <w:r w:rsidRPr="0029656D">
        <w:rPr>
          <w:szCs w:val="24"/>
        </w:rPr>
        <w:t>?</w:t>
      </w:r>
    </w:p>
    <w:p w14:paraId="2BDA3977" w14:textId="77777777" w:rsidR="00AA7153" w:rsidRDefault="001A20CD" w:rsidP="007F3104">
      <w:pPr>
        <w:pStyle w:val="ListParagraph"/>
        <w:numPr>
          <w:ilvl w:val="0"/>
          <w:numId w:val="29"/>
        </w:numPr>
        <w:ind w:left="567" w:hanging="567"/>
        <w:rPr>
          <w:szCs w:val="24"/>
        </w:rPr>
      </w:pPr>
      <w:r w:rsidRPr="0029656D">
        <w:rPr>
          <w:szCs w:val="24"/>
        </w:rPr>
        <w:lastRenderedPageBreak/>
        <w:t>How other international conventions might enhance the effectiveness of Australia’s international obligations in respect of the protection of significant cultural heritage objects?</w:t>
      </w:r>
    </w:p>
    <w:p w14:paraId="0F7093B4" w14:textId="77777777" w:rsidR="00AA7153" w:rsidRDefault="001A20CD" w:rsidP="001A20CD">
      <w:pPr>
        <w:rPr>
          <w:rFonts w:eastAsia="Cambria" w:cs="Arial"/>
          <w:szCs w:val="24"/>
        </w:rPr>
      </w:pPr>
      <w:r w:rsidRPr="00E70C45">
        <w:rPr>
          <w:rFonts w:eastAsia="Cambria" w:cs="Arial"/>
          <w:szCs w:val="24"/>
        </w:rPr>
        <w:t>The legislation must balance the public interest in protecting cultural material with the public and private interests of property ownership and the maintenance of a legitimate trade in such material. In many respects, the legislation has not been able to obtain that balance.</w:t>
      </w:r>
    </w:p>
    <w:p w14:paraId="475A22AE" w14:textId="77777777" w:rsidR="00AA7153" w:rsidRDefault="001A20CD" w:rsidP="001A20CD">
      <w:pPr>
        <w:rPr>
          <w:rFonts w:eastAsia="Cambria" w:cs="Times New Roman"/>
        </w:rPr>
      </w:pPr>
      <w:r w:rsidRPr="00E70C45">
        <w:rPr>
          <w:rFonts w:eastAsia="Cambria" w:cs="Times New Roman"/>
        </w:rPr>
        <w:t>Currently the system is expensive and time-consuming for owners and decision</w:t>
      </w:r>
      <w:r w:rsidRPr="00E70C45">
        <w:rPr>
          <w:rFonts w:eastAsia="Cambria" w:cs="Times New Roman"/>
        </w:rPr>
        <w:noBreakHyphen/>
        <w:t>makers. Its procedures are ponderous. Its provisions are opaque and, at times, internally inconsistent. It is difficult for owners and their agents to identify what is protected and what is not. It does not adequately reflect contemporary Australia’s expressed commitment to the international community.</w:t>
      </w:r>
    </w:p>
    <w:p w14:paraId="3AA1B279" w14:textId="6CDF234D" w:rsidR="001A20CD" w:rsidRPr="00E70C45" w:rsidRDefault="001A20CD" w:rsidP="001A20CD">
      <w:pPr>
        <w:rPr>
          <w:rFonts w:eastAsia="Cambria" w:cs="Times New Roman"/>
        </w:rPr>
      </w:pPr>
      <w:r w:rsidRPr="00E70C45">
        <w:rPr>
          <w:rFonts w:eastAsia="Cambria" w:cs="Times New Roman"/>
        </w:rPr>
        <w:t>Previous reviews have come up with long lists of recommended improvements and suggestions for further consultation but what all of these</w:t>
      </w:r>
      <w:r w:rsidR="0043233C">
        <w:rPr>
          <w:rFonts w:eastAsia="Cambria" w:cs="Times New Roman"/>
        </w:rPr>
        <w:t>,</w:t>
      </w:r>
      <w:r w:rsidRPr="00E70C45">
        <w:rPr>
          <w:rFonts w:eastAsia="Cambria" w:cs="Times New Roman"/>
        </w:rPr>
        <w:t xml:space="preserve"> and indeed any analys</w:t>
      </w:r>
      <w:r w:rsidR="003B4493">
        <w:rPr>
          <w:rFonts w:eastAsia="Cambria" w:cs="Times New Roman"/>
        </w:rPr>
        <w:t>i</w:t>
      </w:r>
      <w:r w:rsidRPr="00E70C45">
        <w:rPr>
          <w:rFonts w:eastAsia="Cambria" w:cs="Times New Roman"/>
        </w:rPr>
        <w:t>s of the Act will show, is that the problems of the Act are systematic. They cannot be dealt with by tinkering amendments. I have adopted the position that any attempt to undertake piecemeal amendment would be inefficient and that what is needed is a new model by which the Australian Government can deliver effective, cost-efficient and balanced protection for significant cultural material.</w:t>
      </w:r>
    </w:p>
    <w:p w14:paraId="2D7098B5" w14:textId="4CE0C916" w:rsidR="00AA7153" w:rsidRDefault="001A20CD" w:rsidP="001A20CD">
      <w:pPr>
        <w:rPr>
          <w:rFonts w:eastAsia="Cambria" w:cs="Times New Roman"/>
        </w:rPr>
      </w:pPr>
      <w:r w:rsidRPr="00E70C45">
        <w:rPr>
          <w:rFonts w:eastAsia="Cambria" w:cs="Times New Roman"/>
        </w:rPr>
        <w:t>Accordingly, I have chosen a different path from my predecessors</w:t>
      </w:r>
      <w:r w:rsidR="00801A32">
        <w:rPr>
          <w:rFonts w:eastAsia="Cambria" w:cs="Times New Roman"/>
        </w:rPr>
        <w:t>—</w:t>
      </w:r>
      <w:r w:rsidRPr="00E70C45">
        <w:rPr>
          <w:rFonts w:eastAsia="Cambria" w:cs="Times New Roman"/>
        </w:rPr>
        <w:t>to create a model designed to replace the current scheme.</w:t>
      </w:r>
    </w:p>
    <w:p w14:paraId="45FC158F" w14:textId="67F141A7" w:rsidR="001A20CD" w:rsidRDefault="001A20CD" w:rsidP="001A20CD">
      <w:pPr>
        <w:spacing w:line="276" w:lineRule="auto"/>
        <w:rPr>
          <w:rFonts w:asciiTheme="majorHAnsi" w:eastAsiaTheme="majorEastAsia" w:hAnsiTheme="majorHAnsi" w:cstheme="majorBidi"/>
          <w:b/>
          <w:bCs/>
          <w:color w:val="026582"/>
          <w:sz w:val="26"/>
          <w:szCs w:val="26"/>
        </w:rPr>
      </w:pPr>
      <w:r>
        <w:br w:type="page"/>
      </w:r>
    </w:p>
    <w:p w14:paraId="1BA63842" w14:textId="77777777" w:rsidR="00AA7153" w:rsidRDefault="001A20CD" w:rsidP="00052178">
      <w:pPr>
        <w:pStyle w:val="Heading2"/>
      </w:pPr>
      <w:bookmarkStart w:id="15" w:name="_Toc433906573"/>
      <w:r w:rsidRPr="001C21DC">
        <w:lastRenderedPageBreak/>
        <w:t>Methodology</w:t>
      </w:r>
      <w:bookmarkEnd w:id="15"/>
    </w:p>
    <w:p w14:paraId="4479F75E" w14:textId="539F26F4" w:rsidR="001A20CD" w:rsidRPr="00E70C45" w:rsidRDefault="001A20CD" w:rsidP="001A20CD">
      <w:pPr>
        <w:rPr>
          <w:rFonts w:eastAsia="Cambria" w:cs="Arial"/>
          <w:szCs w:val="24"/>
        </w:rPr>
      </w:pPr>
      <w:r w:rsidRPr="00E70C45">
        <w:rPr>
          <w:rFonts w:eastAsia="Cambria" w:cs="Arial"/>
          <w:szCs w:val="24"/>
        </w:rPr>
        <w:t>The review was conducted in three broad stages.</w:t>
      </w:r>
    </w:p>
    <w:p w14:paraId="1613B209" w14:textId="77777777" w:rsidR="001A20CD" w:rsidRPr="001C21DC" w:rsidRDefault="001A20CD" w:rsidP="001C21DC">
      <w:pPr>
        <w:pStyle w:val="Heading3"/>
      </w:pPr>
      <w:r w:rsidRPr="001C21DC">
        <w:t>Research and development</w:t>
      </w:r>
    </w:p>
    <w:p w14:paraId="0CA1B16E" w14:textId="31853AEA" w:rsidR="001A20CD" w:rsidRPr="00E70C45" w:rsidRDefault="001A20CD" w:rsidP="001A20CD">
      <w:pPr>
        <w:rPr>
          <w:rFonts w:eastAsia="Cambria" w:cs="Arial"/>
          <w:szCs w:val="24"/>
        </w:rPr>
      </w:pPr>
      <w:r w:rsidRPr="00E70C45">
        <w:rPr>
          <w:rFonts w:eastAsia="Cambria" w:cs="Arial"/>
          <w:szCs w:val="24"/>
        </w:rPr>
        <w:t>Extensive research was undertaken including consideration of the 118 submissions made to the 2009 review. In the research and analysis phase, numerous other models were considered including those used internationally as well as various options suggested by previous reviews. This helped to identify the key problems and limitations of the current scheme and to develop a new model that would modernise the framework for protection of cultural heritage. A Position Paper outlining the model and various issues for discussion was released on 1</w:t>
      </w:r>
      <w:r w:rsidR="007F3104">
        <w:rPr>
          <w:rFonts w:eastAsia="Cambria" w:cs="Arial"/>
          <w:szCs w:val="24"/>
        </w:rPr>
        <w:t> </w:t>
      </w:r>
      <w:r w:rsidRPr="00E70C45">
        <w:rPr>
          <w:rFonts w:eastAsia="Cambria" w:cs="Arial"/>
          <w:szCs w:val="24"/>
        </w:rPr>
        <w:t>July 2015.</w:t>
      </w:r>
    </w:p>
    <w:p w14:paraId="02FB76C8" w14:textId="77777777" w:rsidR="00AA7153" w:rsidRDefault="001A20CD" w:rsidP="001C21DC">
      <w:pPr>
        <w:pStyle w:val="Heading3"/>
      </w:pPr>
      <w:r w:rsidRPr="001C21DC">
        <w:t>Consultation</w:t>
      </w:r>
    </w:p>
    <w:p w14:paraId="54BF6203" w14:textId="77777777" w:rsidR="00AA7153" w:rsidRDefault="001A20CD" w:rsidP="001A20CD">
      <w:pPr>
        <w:rPr>
          <w:rFonts w:eastAsia="Cambria" w:cs="Arial"/>
          <w:szCs w:val="24"/>
        </w:rPr>
      </w:pPr>
      <w:r>
        <w:rPr>
          <w:rFonts w:eastAsia="Cambria" w:cs="Arial"/>
          <w:szCs w:val="24"/>
        </w:rPr>
        <w:t>Throughout July and August 2015 t</w:t>
      </w:r>
      <w:r w:rsidRPr="00E70C45">
        <w:rPr>
          <w:rFonts w:eastAsia="Cambria" w:cs="Arial"/>
          <w:szCs w:val="24"/>
        </w:rPr>
        <w:t>argeted consultation</w:t>
      </w:r>
      <w:r>
        <w:rPr>
          <w:rFonts w:eastAsia="Cambria" w:cs="Arial"/>
          <w:szCs w:val="24"/>
        </w:rPr>
        <w:t xml:space="preserve"> was undertaken</w:t>
      </w:r>
      <w:r w:rsidRPr="00E70C45">
        <w:rPr>
          <w:rFonts w:eastAsia="Cambria" w:cs="Arial"/>
          <w:szCs w:val="24"/>
        </w:rPr>
        <w:t xml:space="preserve"> inviting input from select</w:t>
      </w:r>
      <w:r>
        <w:rPr>
          <w:rFonts w:eastAsia="Cambria" w:cs="Arial"/>
          <w:szCs w:val="24"/>
        </w:rPr>
        <w:t xml:space="preserve"> experts. This was</w:t>
      </w:r>
      <w:r w:rsidRPr="00E70C45">
        <w:rPr>
          <w:rFonts w:eastAsia="Cambria" w:cs="Arial"/>
          <w:szCs w:val="24"/>
        </w:rPr>
        <w:t xml:space="preserve"> followed by broader consultation</w:t>
      </w:r>
      <w:r>
        <w:rPr>
          <w:rFonts w:eastAsia="Cambria" w:cs="Arial"/>
          <w:szCs w:val="24"/>
        </w:rPr>
        <w:t>,</w:t>
      </w:r>
      <w:r w:rsidRPr="00E70C45">
        <w:rPr>
          <w:rFonts w:eastAsia="Cambria" w:cs="Arial"/>
          <w:szCs w:val="24"/>
        </w:rPr>
        <w:t xml:space="preserve"> including travel to all states and territories. In addition, consultation was conducted through a national on-line survey to ensure wider input regarding a proposed model.</w:t>
      </w:r>
    </w:p>
    <w:p w14:paraId="5B0D8615" w14:textId="77777777" w:rsidR="00AA7153" w:rsidRDefault="001A20CD" w:rsidP="001A20CD">
      <w:pPr>
        <w:rPr>
          <w:rFonts w:eastAsia="Cambria" w:cs="Times New Roman"/>
        </w:rPr>
      </w:pPr>
      <w:r w:rsidRPr="00E70C45">
        <w:rPr>
          <w:rFonts w:eastAsia="Cambria" w:cs="Times New Roman"/>
        </w:rPr>
        <w:t>I would like to thank everyone who took the time to attend consultation meetings, participate in the survey or write to me. I am very grateful. Your suggestions have informed and enriched the model.</w:t>
      </w:r>
    </w:p>
    <w:p w14:paraId="49A59E6F" w14:textId="4D1FE127" w:rsidR="001A20CD" w:rsidRPr="00052178" w:rsidRDefault="001A20CD" w:rsidP="00052178">
      <w:pPr>
        <w:pStyle w:val="Heading4"/>
      </w:pPr>
      <w:r w:rsidRPr="00052178">
        <w:t xml:space="preserve"> Consultation meetings</w:t>
      </w:r>
    </w:p>
    <w:p w14:paraId="478A95C5" w14:textId="5DE0F8A7" w:rsidR="00AA7153" w:rsidRDefault="001A20CD" w:rsidP="001A20CD">
      <w:pPr>
        <w:spacing w:after="0"/>
        <w:rPr>
          <w:rFonts w:eastAsia="Cambria" w:cs="Times New Roman"/>
        </w:rPr>
      </w:pPr>
      <w:r w:rsidRPr="00E70C45">
        <w:rPr>
          <w:rFonts w:eastAsia="Cambria" w:cs="Times New Roman"/>
        </w:rPr>
        <w:t>More than 40 meetings were held in all state and territory capital cities between 13</w:t>
      </w:r>
      <w:r>
        <w:rPr>
          <w:rFonts w:eastAsia="Cambria" w:cs="Times New Roman"/>
        </w:rPr>
        <w:t> </w:t>
      </w:r>
      <w:r w:rsidRPr="00E70C45">
        <w:rPr>
          <w:rFonts w:eastAsia="Cambria" w:cs="Times New Roman"/>
        </w:rPr>
        <w:t xml:space="preserve">July and </w:t>
      </w:r>
      <w:r>
        <w:rPr>
          <w:rFonts w:eastAsia="Cambria" w:cs="Times New Roman"/>
        </w:rPr>
        <w:t>14 August </w:t>
      </w:r>
      <w:r w:rsidRPr="00E70C45">
        <w:rPr>
          <w:rFonts w:eastAsia="Cambria" w:cs="Times New Roman"/>
        </w:rPr>
        <w:t>2015. Over 500 institutions and individuals were invited to attend</w:t>
      </w:r>
      <w:r w:rsidR="00485BF7">
        <w:rPr>
          <w:rFonts w:eastAsia="Cambria" w:cs="Times New Roman"/>
        </w:rPr>
        <w:t>. These included</w:t>
      </w:r>
      <w:r w:rsidRPr="00E70C45">
        <w:rPr>
          <w:rFonts w:eastAsia="Cambria" w:cs="Times New Roman"/>
        </w:rPr>
        <w:t xml:space="preserve"> representatives of</w:t>
      </w:r>
      <w:r w:rsidR="00485BF7">
        <w:rPr>
          <w:rFonts w:eastAsia="Cambria" w:cs="Times New Roman"/>
        </w:rPr>
        <w:t>:</w:t>
      </w:r>
      <w:r w:rsidRPr="00E70C45">
        <w:rPr>
          <w:rFonts w:eastAsia="Cambria" w:cs="Times New Roman"/>
        </w:rPr>
        <w:t xml:space="preserve"> collecting institutions, Aboriginal and Torres Strait Islander commu</w:t>
      </w:r>
      <w:r>
        <w:rPr>
          <w:rFonts w:eastAsia="Cambria" w:cs="Times New Roman"/>
        </w:rPr>
        <w:t>nities, special interest groups, the commercial arts sector,</w:t>
      </w:r>
      <w:r w:rsidRPr="00E70C45">
        <w:rPr>
          <w:rFonts w:eastAsia="Cambria" w:cs="Times New Roman"/>
        </w:rPr>
        <w:t xml:space="preserve"> non-government organisations and </w:t>
      </w:r>
      <w:r w:rsidR="004C5F5C">
        <w:rPr>
          <w:rFonts w:eastAsia="Cambria" w:cs="Times New Roman"/>
        </w:rPr>
        <w:t>state, t</w:t>
      </w:r>
      <w:r w:rsidRPr="00E70C45">
        <w:rPr>
          <w:rFonts w:eastAsia="Cambria" w:cs="Times New Roman"/>
        </w:rPr>
        <w:t>erritory and Commonwealth Government bodies. I also met with key academics in the fields of natural sciences, museum studies, anthropology and international law.</w:t>
      </w:r>
    </w:p>
    <w:p w14:paraId="68B8DAFB" w14:textId="77777777" w:rsidR="00AA7153" w:rsidRDefault="001A20CD" w:rsidP="00052178">
      <w:pPr>
        <w:pStyle w:val="Heading4"/>
      </w:pPr>
      <w:r w:rsidRPr="00052178">
        <w:t xml:space="preserve"> Survey responses</w:t>
      </w:r>
    </w:p>
    <w:p w14:paraId="5355AF03" w14:textId="77777777" w:rsidR="00AA7153" w:rsidRDefault="001A20CD" w:rsidP="001A20CD">
      <w:pPr>
        <w:rPr>
          <w:rFonts w:eastAsia="Cambria" w:cs="Times New Roman"/>
        </w:rPr>
      </w:pPr>
      <w:r w:rsidRPr="00E70C45">
        <w:rPr>
          <w:rFonts w:eastAsia="Cambria" w:cs="Times New Roman"/>
        </w:rPr>
        <w:t xml:space="preserve">The review received </w:t>
      </w:r>
      <w:r>
        <w:rPr>
          <w:rFonts w:eastAsia="Cambria" w:cs="Times New Roman"/>
        </w:rPr>
        <w:t>120 survey responses</w:t>
      </w:r>
      <w:r w:rsidRPr="00E70C45">
        <w:rPr>
          <w:rFonts w:eastAsia="Cambria" w:cs="Times New Roman"/>
        </w:rPr>
        <w:t>. These survey responses, with a mix of quantitative and qualitative questions, have assisted me in identifying which proposals had wide support and which needed further refinement.</w:t>
      </w:r>
    </w:p>
    <w:p w14:paraId="2C9DBE6A" w14:textId="77777777" w:rsidR="00AA7153" w:rsidRDefault="001A20CD" w:rsidP="001A20CD">
      <w:pPr>
        <w:rPr>
          <w:rFonts w:eastAsia="Cambria" w:cs="Times New Roman"/>
        </w:rPr>
      </w:pPr>
      <w:r w:rsidRPr="00E70C45">
        <w:rPr>
          <w:rFonts w:eastAsia="Cambria" w:cs="Times New Roman"/>
        </w:rPr>
        <w:lastRenderedPageBreak/>
        <w:t>The survey findings can be found throughout this report, highlighted in the corresponding section.</w:t>
      </w:r>
    </w:p>
    <w:p w14:paraId="5C15422F" w14:textId="1927F2E3" w:rsidR="001A20CD" w:rsidRPr="00052178" w:rsidRDefault="001A20CD" w:rsidP="00052178">
      <w:pPr>
        <w:pStyle w:val="Heading4"/>
      </w:pPr>
      <w:r w:rsidRPr="00052178">
        <w:t xml:space="preserve"> Other correspondence</w:t>
      </w:r>
    </w:p>
    <w:p w14:paraId="767BCE8C" w14:textId="77777777" w:rsidR="00AA7153" w:rsidRDefault="001A20CD" w:rsidP="001A20CD">
      <w:pPr>
        <w:rPr>
          <w:rFonts w:eastAsia="Cambria" w:cs="Times New Roman"/>
        </w:rPr>
      </w:pPr>
      <w:r w:rsidRPr="00E70C45">
        <w:rPr>
          <w:rFonts w:eastAsia="Cambria" w:cs="Times New Roman"/>
        </w:rPr>
        <w:t xml:space="preserve">I also received </w:t>
      </w:r>
      <w:r>
        <w:rPr>
          <w:rFonts w:eastAsia="Cambria" w:cs="Times New Roman"/>
        </w:rPr>
        <w:t>more than</w:t>
      </w:r>
      <w:r w:rsidRPr="00E70C45">
        <w:rPr>
          <w:rFonts w:eastAsia="Cambria" w:cs="Times New Roman"/>
        </w:rPr>
        <w:t xml:space="preserve"> 40 emails and letters from various individuals and organisations offering their thoughts as to how the export and import of cultur</w:t>
      </w:r>
      <w:r>
        <w:rPr>
          <w:rFonts w:eastAsia="Cambria" w:cs="Times New Roman"/>
        </w:rPr>
        <w:t>al material should be regulated</w:t>
      </w:r>
      <w:r w:rsidRPr="00E70C45">
        <w:rPr>
          <w:rFonts w:eastAsia="Cambria" w:cs="Times New Roman"/>
        </w:rPr>
        <w:t xml:space="preserve"> and providing further detail on discussions in the consultation meetings.</w:t>
      </w:r>
    </w:p>
    <w:p w14:paraId="21592C6F" w14:textId="3A9EBB14" w:rsidR="001A20CD" w:rsidRPr="00052178" w:rsidRDefault="001A20CD" w:rsidP="00052178">
      <w:pPr>
        <w:pStyle w:val="Heading3"/>
      </w:pPr>
      <w:r w:rsidRPr="00052178">
        <w:t>Refinement of model and report</w:t>
      </w:r>
    </w:p>
    <w:p w14:paraId="1E8D2BAC" w14:textId="77777777" w:rsidR="00AA7153" w:rsidRDefault="001A20CD" w:rsidP="001A20CD">
      <w:pPr>
        <w:rPr>
          <w:rFonts w:eastAsia="Cambria" w:cs="Arial"/>
          <w:szCs w:val="24"/>
        </w:rPr>
      </w:pPr>
      <w:r w:rsidRPr="00E70C45">
        <w:rPr>
          <w:rFonts w:eastAsia="Cambria" w:cs="Arial"/>
          <w:szCs w:val="24"/>
        </w:rPr>
        <w:t>Thr</w:t>
      </w:r>
      <w:r>
        <w:rPr>
          <w:rFonts w:eastAsia="Cambria" w:cs="Arial"/>
          <w:szCs w:val="24"/>
        </w:rPr>
        <w:t>oughout the consultation period</w:t>
      </w:r>
      <w:r w:rsidRPr="00E70C45">
        <w:rPr>
          <w:rFonts w:eastAsia="Cambria" w:cs="Arial"/>
          <w:szCs w:val="24"/>
        </w:rPr>
        <w:t xml:space="preserve"> the f</w:t>
      </w:r>
      <w:r w:rsidRPr="00E70C45">
        <w:rPr>
          <w:rFonts w:eastAsia="Cambria" w:cs="Times New Roman"/>
        </w:rPr>
        <w:t xml:space="preserve">eedback I received from stakeholders was </w:t>
      </w:r>
      <w:r w:rsidRPr="00E70C45">
        <w:rPr>
          <w:rFonts w:eastAsia="Cambria" w:cs="Arial"/>
          <w:szCs w:val="24"/>
        </w:rPr>
        <w:t>very valuable. It confirmed the need for change, affirmed the proposed new basic model and provided a rich and generous commentary. This was analysed and used to refine the proposed model and inform this report to Government</w:t>
      </w:r>
      <w:r w:rsidRPr="00E70C45">
        <w:rPr>
          <w:rFonts w:eastAsia="Cambria" w:cs="Arial"/>
          <w:i/>
          <w:szCs w:val="24"/>
        </w:rPr>
        <w:t>.</w:t>
      </w:r>
    </w:p>
    <w:p w14:paraId="7BCDE379" w14:textId="77777777" w:rsidR="00AA7153" w:rsidRDefault="001A20CD" w:rsidP="001A20CD">
      <w:pPr>
        <w:rPr>
          <w:rFonts w:eastAsia="Cambria" w:cs="Arial"/>
          <w:szCs w:val="24"/>
        </w:rPr>
      </w:pPr>
      <w:r w:rsidRPr="00E70C45">
        <w:rPr>
          <w:rFonts w:eastAsia="Cambria" w:cs="Arial"/>
          <w:szCs w:val="24"/>
        </w:rPr>
        <w:t>The report is divided into the following components:</w:t>
      </w:r>
    </w:p>
    <w:p w14:paraId="36DA0C1D" w14:textId="1AB00878" w:rsidR="001A20CD" w:rsidRPr="000A0230" w:rsidRDefault="001A20CD" w:rsidP="00E5299D">
      <w:pPr>
        <w:pStyle w:val="ListParagraph"/>
        <w:numPr>
          <w:ilvl w:val="0"/>
          <w:numId w:val="172"/>
        </w:numPr>
        <w:ind w:left="567" w:hanging="567"/>
      </w:pPr>
      <w:r w:rsidRPr="000A0230">
        <w:t>Part A: Introduction</w:t>
      </w:r>
      <w:r w:rsidR="004C5F5C">
        <w:t>;</w:t>
      </w:r>
    </w:p>
    <w:p w14:paraId="660F7738" w14:textId="2E7989AE" w:rsidR="001A20CD" w:rsidRPr="000A0230" w:rsidRDefault="001A20CD" w:rsidP="00E5299D">
      <w:pPr>
        <w:pStyle w:val="ListParagraph"/>
        <w:numPr>
          <w:ilvl w:val="0"/>
          <w:numId w:val="172"/>
        </w:numPr>
        <w:ind w:left="567" w:hanging="567"/>
      </w:pPr>
      <w:r w:rsidRPr="000A0230">
        <w:t xml:space="preserve">Part B: </w:t>
      </w:r>
      <w:r w:rsidR="008F7F09" w:rsidRPr="000A0230">
        <w:t>Protection</w:t>
      </w:r>
      <w:r w:rsidRPr="000A0230">
        <w:t xml:space="preserve"> of Australian cultural material;</w:t>
      </w:r>
    </w:p>
    <w:p w14:paraId="237F102B" w14:textId="77777777" w:rsidR="00AA7153" w:rsidRDefault="001A20CD" w:rsidP="00E5299D">
      <w:pPr>
        <w:pStyle w:val="ListParagraph"/>
        <w:numPr>
          <w:ilvl w:val="0"/>
          <w:numId w:val="172"/>
        </w:numPr>
        <w:ind w:left="567" w:hanging="567"/>
      </w:pPr>
      <w:r w:rsidRPr="000A0230">
        <w:t>Part C: Protection of foreign cultural material;</w:t>
      </w:r>
    </w:p>
    <w:p w14:paraId="72CA6608" w14:textId="249C83F5" w:rsidR="001A20CD" w:rsidRPr="000A0230" w:rsidRDefault="001A20CD" w:rsidP="00E5299D">
      <w:pPr>
        <w:pStyle w:val="ListParagraph"/>
        <w:numPr>
          <w:ilvl w:val="0"/>
          <w:numId w:val="172"/>
        </w:numPr>
        <w:ind w:left="567" w:hanging="567"/>
      </w:pPr>
      <w:r w:rsidRPr="000A0230">
        <w:t xml:space="preserve">Part D: </w:t>
      </w:r>
      <w:r w:rsidR="008F7F09" w:rsidRPr="000A0230">
        <w:t>Offence</w:t>
      </w:r>
      <w:r w:rsidRPr="000A0230">
        <w:t xml:space="preserve"> provisions; </w:t>
      </w:r>
      <w:r w:rsidR="008E696C" w:rsidRPr="000A0230">
        <w:t>and</w:t>
      </w:r>
    </w:p>
    <w:p w14:paraId="68529804" w14:textId="226B0C18" w:rsidR="00AA7153" w:rsidRDefault="001A20CD" w:rsidP="00E5299D">
      <w:pPr>
        <w:pStyle w:val="ListParagraph"/>
        <w:numPr>
          <w:ilvl w:val="0"/>
          <w:numId w:val="172"/>
        </w:numPr>
        <w:ind w:left="567" w:hanging="567"/>
      </w:pPr>
      <w:r w:rsidRPr="000A0230">
        <w:t xml:space="preserve">Part E: </w:t>
      </w:r>
      <w:r w:rsidR="00DA721B" w:rsidRPr="000A0230">
        <w:t>Recommendation</w:t>
      </w:r>
      <w:r w:rsidR="00AA7153">
        <w:t>—</w:t>
      </w:r>
      <w:r w:rsidR="00DA721B" w:rsidRPr="000A0230">
        <w:t>New M</w:t>
      </w:r>
      <w:r w:rsidR="003B4493" w:rsidRPr="000A0230">
        <w:t>odel.</w:t>
      </w:r>
    </w:p>
    <w:p w14:paraId="3CA1E571" w14:textId="1C76AA0C" w:rsidR="00AA7153" w:rsidRDefault="008F7F09" w:rsidP="001A20CD">
      <w:pPr>
        <w:rPr>
          <w:rFonts w:eastAsia="Cambria" w:cs="Arial"/>
          <w:szCs w:val="24"/>
        </w:rPr>
      </w:pPr>
      <w:r>
        <w:rPr>
          <w:rFonts w:eastAsia="Cambria" w:cs="Arial"/>
          <w:szCs w:val="24"/>
        </w:rPr>
        <w:t>The model</w:t>
      </w:r>
      <w:r w:rsidR="001A20CD" w:rsidRPr="00E70C45">
        <w:rPr>
          <w:rFonts w:eastAsia="Cambria" w:cs="Arial"/>
          <w:szCs w:val="24"/>
        </w:rPr>
        <w:t xml:space="preserve"> presented in this document set</w:t>
      </w:r>
      <w:r w:rsidR="00485BF7">
        <w:rPr>
          <w:rFonts w:eastAsia="Cambria" w:cs="Arial"/>
          <w:szCs w:val="24"/>
        </w:rPr>
        <w:t>s</w:t>
      </w:r>
      <w:r w:rsidR="001A20CD" w:rsidRPr="00E70C45">
        <w:rPr>
          <w:rFonts w:eastAsia="Cambria" w:cs="Arial"/>
          <w:szCs w:val="24"/>
        </w:rPr>
        <w:t xml:space="preserve"> out what I consider to be the most appropriate regulatory framework for both current and future Australian conditions.</w:t>
      </w:r>
      <w:r w:rsidR="001A20CD">
        <w:rPr>
          <w:rFonts w:eastAsia="Cambria" w:cs="Arial"/>
          <w:szCs w:val="24"/>
        </w:rPr>
        <w:t xml:space="preserve"> </w:t>
      </w:r>
      <w:r>
        <w:rPr>
          <w:rFonts w:eastAsia="Cambria" w:cs="Arial"/>
          <w:szCs w:val="24"/>
        </w:rPr>
        <w:t>Nationally, it</w:t>
      </w:r>
      <w:r w:rsidR="001A20CD" w:rsidRPr="00E70C45">
        <w:rPr>
          <w:rFonts w:eastAsia="Cambria" w:cs="Arial"/>
          <w:szCs w:val="24"/>
        </w:rPr>
        <w:t xml:space="preserve"> represent</w:t>
      </w:r>
      <w:r w:rsidR="00485BF7">
        <w:rPr>
          <w:rFonts w:eastAsia="Cambria" w:cs="Arial"/>
          <w:szCs w:val="24"/>
        </w:rPr>
        <w:t>s</w:t>
      </w:r>
      <w:r w:rsidR="001A20CD" w:rsidRPr="00E70C45">
        <w:rPr>
          <w:rFonts w:eastAsia="Cambria" w:cs="Arial"/>
          <w:szCs w:val="24"/>
        </w:rPr>
        <w:t xml:space="preserve"> what I believe to be an equitable balance of the many competing interests</w:t>
      </w:r>
      <w:r w:rsidR="00801A32">
        <w:rPr>
          <w:rFonts w:eastAsia="Cambria" w:cs="Arial"/>
          <w:szCs w:val="24"/>
        </w:rPr>
        <w:t>—</w:t>
      </w:r>
      <w:r w:rsidR="001A20CD">
        <w:rPr>
          <w:rFonts w:eastAsia="Cambria" w:cs="Arial"/>
          <w:szCs w:val="24"/>
        </w:rPr>
        <w:t>acknowledging that a</w:t>
      </w:r>
      <w:r w:rsidR="001A20CD" w:rsidRPr="00E70C45">
        <w:rPr>
          <w:rFonts w:eastAsia="Cambria" w:cs="Arial"/>
          <w:szCs w:val="24"/>
        </w:rPr>
        <w:t xml:space="preserve">ny model that seeks to protect the cultural heritage of a nation for future generations will be, to some extent, an interference with the property rights </w:t>
      </w:r>
      <w:r w:rsidR="001A20CD">
        <w:rPr>
          <w:rFonts w:eastAsia="Cambria" w:cs="Arial"/>
          <w:szCs w:val="24"/>
        </w:rPr>
        <w:t>o</w:t>
      </w:r>
      <w:r w:rsidR="001A20CD" w:rsidRPr="00E70C45">
        <w:rPr>
          <w:rFonts w:eastAsia="Cambria" w:cs="Arial"/>
          <w:szCs w:val="24"/>
        </w:rPr>
        <w:t>f its citizens. International</w:t>
      </w:r>
      <w:r>
        <w:rPr>
          <w:rFonts w:eastAsia="Cambria" w:cs="Arial"/>
          <w:szCs w:val="24"/>
        </w:rPr>
        <w:t xml:space="preserve">ly, it </w:t>
      </w:r>
      <w:r w:rsidR="001A20CD" w:rsidRPr="00E70C45">
        <w:rPr>
          <w:rFonts w:eastAsia="Cambria" w:cs="Arial"/>
          <w:szCs w:val="24"/>
        </w:rPr>
        <w:t>confirm</w:t>
      </w:r>
      <w:r>
        <w:rPr>
          <w:rFonts w:eastAsia="Cambria" w:cs="Arial"/>
          <w:szCs w:val="24"/>
        </w:rPr>
        <w:t>s</w:t>
      </w:r>
      <w:r w:rsidR="001A20CD" w:rsidRPr="00E70C45">
        <w:rPr>
          <w:rFonts w:eastAsia="Cambria" w:cs="Arial"/>
          <w:szCs w:val="24"/>
        </w:rPr>
        <w:t xml:space="preserve"> Australia’s expressed commitment to the protection of international cultural heritage.</w:t>
      </w:r>
    </w:p>
    <w:p w14:paraId="7F87123E" w14:textId="439EC2BF" w:rsidR="001A20CD" w:rsidRPr="00052178" w:rsidRDefault="001A20CD" w:rsidP="00052178">
      <w:pPr>
        <w:pStyle w:val="Heading2"/>
      </w:pPr>
      <w:bookmarkStart w:id="16" w:name="_Toc433906574"/>
      <w:r w:rsidRPr="00052178">
        <w:t>Purpose of the regulation of cultural material</w:t>
      </w:r>
      <w:bookmarkEnd w:id="16"/>
    </w:p>
    <w:p w14:paraId="59383B88" w14:textId="77777777" w:rsidR="00AA7153" w:rsidRDefault="001A20CD" w:rsidP="001A20CD">
      <w:pPr>
        <w:rPr>
          <w:rFonts w:eastAsia="Cambria" w:cs="Times New Roman"/>
        </w:rPr>
      </w:pPr>
      <w:r w:rsidRPr="00E70C45">
        <w:rPr>
          <w:rFonts w:eastAsia="Cambria" w:cs="Times New Roman"/>
        </w:rPr>
        <w:t>The cultural material of a nation is a fundamental expression of the identity, history and values of its citizens. It is important to individuals, communities, regions, states and the nation. Internationally, our cultural material plays a significant role in promoting understanding of Australians and interpreting Australia’s place in the world.</w:t>
      </w:r>
    </w:p>
    <w:p w14:paraId="06784DA2" w14:textId="680ABFA7" w:rsidR="001A20CD" w:rsidRPr="00E70C45" w:rsidRDefault="001A20CD" w:rsidP="001A20CD">
      <w:pPr>
        <w:rPr>
          <w:rFonts w:eastAsia="Cambria" w:cs="Times New Roman"/>
        </w:rPr>
      </w:pPr>
      <w:r w:rsidRPr="00E70C45">
        <w:rPr>
          <w:rFonts w:eastAsia="Cambria" w:cs="Times New Roman"/>
        </w:rPr>
        <w:lastRenderedPageBreak/>
        <w:t xml:space="preserve">The right to enjoy and benefit from culture is part of the </w:t>
      </w:r>
      <w:r w:rsidRPr="00E70C45">
        <w:rPr>
          <w:rFonts w:eastAsia="Cambria" w:cs="Times New Roman"/>
          <w:i/>
        </w:rPr>
        <w:t>International Covenant on Civil and Political Rights</w:t>
      </w:r>
      <w:r w:rsidR="004C5F5C">
        <w:rPr>
          <w:rFonts w:eastAsia="Cambria" w:cs="Times New Roman"/>
          <w:i/>
        </w:rPr>
        <w:t>,</w:t>
      </w:r>
      <w:r w:rsidRPr="00E70C45">
        <w:rPr>
          <w:rFonts w:eastAsia="Cambria" w:cs="Times New Roman"/>
          <w:vertAlign w:val="superscript"/>
        </w:rPr>
        <w:footnoteReference w:id="1"/>
      </w:r>
      <w:r w:rsidRPr="00E70C45">
        <w:rPr>
          <w:rFonts w:eastAsia="Cambria" w:cs="Times New Roman"/>
        </w:rPr>
        <w:t xml:space="preserve"> the </w:t>
      </w:r>
      <w:r w:rsidRPr="00E70C45">
        <w:rPr>
          <w:rFonts w:eastAsia="Cambria" w:cs="Times New Roman"/>
          <w:i/>
        </w:rPr>
        <w:t>International Covenant on Economic, Social and Cultural Rights</w:t>
      </w:r>
      <w:r w:rsidRPr="00E70C45">
        <w:rPr>
          <w:rFonts w:eastAsia="Cambria" w:cs="Times New Roman"/>
          <w:vertAlign w:val="superscript"/>
        </w:rPr>
        <w:footnoteReference w:id="2"/>
      </w:r>
      <w:r w:rsidRPr="00E70C45">
        <w:rPr>
          <w:rFonts w:eastAsia="Cambria" w:cs="Times New Roman"/>
        </w:rPr>
        <w:t xml:space="preserve"> and several other international conventions and declarations. To get full benefit from cultural property, the public must have access to it</w:t>
      </w:r>
      <w:r w:rsidR="00801A32">
        <w:rPr>
          <w:rFonts w:eastAsia="Cambria" w:cs="Times New Roman"/>
        </w:rPr>
        <w:t>—</w:t>
      </w:r>
      <w:r w:rsidRPr="00E70C45">
        <w:rPr>
          <w:rFonts w:eastAsia="Cambria" w:cs="Times New Roman"/>
        </w:rPr>
        <w:t>together with information regarding origin, history and context. Access to cultural property, rich information about that property, and the protection of a diverse range of cultural practices and traditions, is central to the right to benefit from culture.</w:t>
      </w:r>
    </w:p>
    <w:p w14:paraId="61A97C21" w14:textId="77777777" w:rsidR="00AA7153" w:rsidRDefault="001A20CD" w:rsidP="001A20CD">
      <w:pPr>
        <w:rPr>
          <w:rFonts w:eastAsia="Cambria" w:cs="Times New Roman"/>
        </w:rPr>
      </w:pPr>
      <w:r w:rsidRPr="00E70C45">
        <w:rPr>
          <w:rFonts w:eastAsia="Cambria" w:cs="Times New Roman"/>
        </w:rPr>
        <w:t>A people’s connection with its heritage is inextricably linked to its ability to participate in decisions regarding its own cultural material.</w:t>
      </w:r>
      <w:r w:rsidRPr="00E70C45">
        <w:rPr>
          <w:rFonts w:eastAsia="Cambria" w:cs="Times New Roman"/>
          <w:vertAlign w:val="superscript"/>
        </w:rPr>
        <w:footnoteReference w:id="3"/>
      </w:r>
      <w:r w:rsidRPr="00E70C45">
        <w:rPr>
          <w:rFonts w:eastAsia="Cambria" w:cs="Times New Roman"/>
        </w:rPr>
        <w:t xml:space="preserve"> This is particularly relevant for Aboriginal and Torres Strait Islander </w:t>
      </w:r>
      <w:r w:rsidR="00485BF7">
        <w:rPr>
          <w:rFonts w:eastAsia="Cambria" w:cs="Times New Roman"/>
        </w:rPr>
        <w:t>peoples</w:t>
      </w:r>
      <w:r w:rsidRPr="00E70C45">
        <w:rPr>
          <w:rFonts w:eastAsia="Cambria" w:cs="Times New Roman"/>
        </w:rPr>
        <w:t xml:space="preserve"> for whom cultural material often has strong spiritual as well as c</w:t>
      </w:r>
      <w:r w:rsidR="00091756">
        <w:rPr>
          <w:rFonts w:eastAsia="Cambria" w:cs="Times New Roman"/>
        </w:rPr>
        <w:t>ultural significance. The model</w:t>
      </w:r>
      <w:r w:rsidRPr="00E70C45">
        <w:rPr>
          <w:rFonts w:eastAsia="Cambria" w:cs="Times New Roman"/>
        </w:rPr>
        <w:t xml:space="preserve"> presented in this report seek</w:t>
      </w:r>
      <w:r w:rsidR="00485BF7">
        <w:rPr>
          <w:rFonts w:eastAsia="Cambria" w:cs="Times New Roman"/>
        </w:rPr>
        <w:t>s</w:t>
      </w:r>
      <w:r w:rsidRPr="00E70C45">
        <w:rPr>
          <w:rFonts w:eastAsia="Cambria" w:cs="Times New Roman"/>
        </w:rPr>
        <w:t xml:space="preserve"> to protect that connection, not just by regulating the trade in such material but also by placing </w:t>
      </w:r>
      <w:r>
        <w:rPr>
          <w:rFonts w:eastAsia="Cambria" w:cs="Times New Roman"/>
        </w:rPr>
        <w:t>T</w:t>
      </w:r>
      <w:r w:rsidRPr="00E70C45">
        <w:rPr>
          <w:rFonts w:eastAsia="Cambria" w:cs="Times New Roman"/>
        </w:rPr>
        <w:t xml:space="preserve">raditional </w:t>
      </w:r>
      <w:r>
        <w:rPr>
          <w:rFonts w:eastAsia="Cambria" w:cs="Times New Roman"/>
        </w:rPr>
        <w:t>O</w:t>
      </w:r>
      <w:r w:rsidRPr="00E70C45">
        <w:rPr>
          <w:rFonts w:eastAsia="Cambria" w:cs="Times New Roman"/>
        </w:rPr>
        <w:t>wners at the heart of decision-making.</w:t>
      </w:r>
    </w:p>
    <w:p w14:paraId="4F0E16E0" w14:textId="7C22E49E" w:rsidR="001A20CD" w:rsidRPr="00E70C45" w:rsidRDefault="001A20CD" w:rsidP="001A20CD">
      <w:pPr>
        <w:rPr>
          <w:rFonts w:eastAsia="Cambria" w:cs="Times New Roman"/>
        </w:rPr>
      </w:pPr>
      <w:r w:rsidRPr="00E70C45">
        <w:rPr>
          <w:rFonts w:eastAsia="Cambria" w:cs="Times New Roman"/>
        </w:rPr>
        <w:t>For all these reasons to retain cultural material there are also good reasons to allow the export of Australian cultural material. These reasons are economic, cultural and diplomatic. They are both public and private.</w:t>
      </w:r>
    </w:p>
    <w:p w14:paraId="6A6BCEC4" w14:textId="77777777" w:rsidR="00AA7153" w:rsidRDefault="001A20CD" w:rsidP="001A20CD">
      <w:pPr>
        <w:rPr>
          <w:rFonts w:eastAsia="Cambria" w:cs="Times New Roman"/>
        </w:rPr>
      </w:pPr>
      <w:r w:rsidRPr="00E70C45">
        <w:rPr>
          <w:rFonts w:eastAsia="Cambria" w:cs="Times New Roman"/>
        </w:rPr>
        <w:t>Certainly the export of cultural material can foster a greater awareness and understanding of Australian culture through the legitimate trade in cultural material. It is an important form of cultural diplomacy that fosters better understanding of cultures and thus more harmonious relations. Further, in the area of art, craft and design, the development of overseas markets promotes the health of the commercial sector within Australia and this in turn helps to foster and support a diverse creative community.</w:t>
      </w:r>
    </w:p>
    <w:p w14:paraId="3FF0825C" w14:textId="0D34E14A" w:rsidR="001A20CD" w:rsidRPr="00E70C45" w:rsidRDefault="001A20CD" w:rsidP="001A20CD">
      <w:pPr>
        <w:rPr>
          <w:rFonts w:eastAsia="Cambria" w:cs="Times New Roman"/>
        </w:rPr>
      </w:pPr>
      <w:r w:rsidRPr="00E70C45">
        <w:rPr>
          <w:rFonts w:eastAsia="Cambria" w:cs="Times New Roman"/>
        </w:rPr>
        <w:t>All of these ends require that significant</w:t>
      </w:r>
      <w:r w:rsidR="00801A32">
        <w:rPr>
          <w:rFonts w:eastAsia="Cambria" w:cs="Times New Roman"/>
        </w:rPr>
        <w:t>—</w:t>
      </w:r>
      <w:r w:rsidRPr="00E70C45">
        <w:rPr>
          <w:rFonts w:eastAsia="Cambria" w:cs="Times New Roman"/>
        </w:rPr>
        <w:t>not just minor</w:t>
      </w:r>
      <w:r w:rsidR="00801A32">
        <w:rPr>
          <w:rFonts w:eastAsia="Cambria" w:cs="Times New Roman"/>
        </w:rPr>
        <w:t>—</w:t>
      </w:r>
      <w:r w:rsidRPr="00E70C45">
        <w:rPr>
          <w:rFonts w:eastAsia="Cambria" w:cs="Times New Roman"/>
        </w:rPr>
        <w:t>examples of Australian cultural material be available to an international audience</w:t>
      </w:r>
      <w:r>
        <w:rPr>
          <w:rFonts w:eastAsia="Cambria" w:cs="Times New Roman"/>
        </w:rPr>
        <w:t>.</w:t>
      </w:r>
      <w:r w:rsidRPr="00E70C45">
        <w:rPr>
          <w:rFonts w:eastAsia="Cambria" w:cs="Times New Roman"/>
        </w:rPr>
        <w:t xml:space="preserve"> </w:t>
      </w:r>
      <w:r>
        <w:rPr>
          <w:rFonts w:eastAsia="Cambria" w:cs="Times New Roman"/>
        </w:rPr>
        <w:t>T</w:t>
      </w:r>
      <w:r w:rsidRPr="00E70C45">
        <w:rPr>
          <w:rFonts w:eastAsia="Cambria" w:cs="Times New Roman"/>
        </w:rPr>
        <w:t>o ensure that this public interest is balanced with the public interest in maintaining a rich domestic cultural environment, the ‘representation’ test is of central importance.</w:t>
      </w:r>
    </w:p>
    <w:p w14:paraId="08C5EBA7" w14:textId="77777777" w:rsidR="001A20CD" w:rsidRPr="00E70C45" w:rsidRDefault="001A20CD" w:rsidP="001A20CD">
      <w:pPr>
        <w:rPr>
          <w:rFonts w:eastAsia="Cambria" w:cs="Times New Roman"/>
        </w:rPr>
      </w:pPr>
      <w:r w:rsidRPr="00E70C45">
        <w:rPr>
          <w:rFonts w:eastAsia="Cambria" w:cs="Times New Roman"/>
        </w:rPr>
        <w:t xml:space="preserve">Also, any regulation of the sector must recognise that Australian owners have a right to enjoy the financial value of their personal property. Any model must seek to balance </w:t>
      </w:r>
      <w:r w:rsidRPr="00E70C45">
        <w:rPr>
          <w:rFonts w:eastAsia="Cambria" w:cs="Times New Roman"/>
        </w:rPr>
        <w:lastRenderedPageBreak/>
        <w:t>the private interests of the owners and the commercial sector with the public interests of maintaining a rich domestic cultural heritage.</w:t>
      </w:r>
    </w:p>
    <w:p w14:paraId="2BEE0C2F" w14:textId="77777777" w:rsidR="001A20CD" w:rsidRPr="00E70C45" w:rsidRDefault="001A20CD" w:rsidP="001A20CD">
      <w:pPr>
        <w:rPr>
          <w:rFonts w:eastAsia="Cambria" w:cs="Times New Roman"/>
        </w:rPr>
      </w:pPr>
      <w:r w:rsidRPr="00E70C45">
        <w:rPr>
          <w:rFonts w:eastAsia="Cambria" w:cs="Times New Roman"/>
        </w:rPr>
        <w:t>Similarly in the natural sciences, the balances are important. While some material is so significant that it must be held within Australia, with other, export may allow the expertise and technologies of other nations to be harnessed and so lead to a greater understanding of that material, its global context and its local significance.</w:t>
      </w:r>
    </w:p>
    <w:p w14:paraId="1B3EA97E" w14:textId="77777777" w:rsidR="00AA7153" w:rsidRDefault="001A20CD" w:rsidP="001A20CD">
      <w:pPr>
        <w:rPr>
          <w:rFonts w:eastAsia="Cambria" w:cs="Times New Roman"/>
        </w:rPr>
      </w:pPr>
      <w:r w:rsidRPr="00E70C45">
        <w:rPr>
          <w:rFonts w:eastAsia="Cambria" w:cs="Times New Roman"/>
        </w:rPr>
        <w:t xml:space="preserve">The Act also controls </w:t>
      </w:r>
      <w:r w:rsidRPr="003B4493">
        <w:rPr>
          <w:rFonts w:eastAsia="Cambria" w:cs="Times New Roman"/>
        </w:rPr>
        <w:t>the import of</w:t>
      </w:r>
      <w:r w:rsidRPr="00E70C45">
        <w:rPr>
          <w:rFonts w:eastAsia="Cambria" w:cs="Times New Roman"/>
        </w:rPr>
        <w:t xml:space="preserve"> foreign cultural material. Australia already has international obligations to regulate the import of cultural material pursuant to </w:t>
      </w:r>
      <w:proofErr w:type="gramStart"/>
      <w:r w:rsidRPr="00E70C45">
        <w:rPr>
          <w:rFonts w:eastAsia="Cambria" w:cs="Times New Roman"/>
        </w:rPr>
        <w:t>the</w:t>
      </w:r>
      <w:proofErr w:type="gramEnd"/>
      <w:r w:rsidRPr="00E70C45">
        <w:rPr>
          <w:rFonts w:eastAsia="Cambria" w:cs="Times New Roman"/>
        </w:rPr>
        <w:t xml:space="preserve"> </w:t>
      </w:r>
      <w:r w:rsidRPr="0013527D">
        <w:rPr>
          <w:rFonts w:eastAsia="Cambria" w:cs="Times New Roman"/>
        </w:rPr>
        <w:t>Hague Convention 1954</w:t>
      </w:r>
      <w:r>
        <w:rPr>
          <w:rFonts w:eastAsia="Cambria" w:cs="Times New Roman"/>
        </w:rPr>
        <w:t>,</w:t>
      </w:r>
      <w:r w:rsidRPr="00E70C45">
        <w:rPr>
          <w:rFonts w:eastAsia="Cambria" w:cs="Times New Roman"/>
        </w:rPr>
        <w:t xml:space="preserve"> </w:t>
      </w:r>
      <w:r w:rsidRPr="0013527D">
        <w:rPr>
          <w:rFonts w:eastAsia="Cambria" w:cs="Times New Roman"/>
        </w:rPr>
        <w:t>UNESCO Convention 1970</w:t>
      </w:r>
      <w:r w:rsidRPr="00F400D7">
        <w:rPr>
          <w:rFonts w:eastAsia="Cambria" w:cs="Times New Roman"/>
        </w:rPr>
        <w:t xml:space="preserve"> </w:t>
      </w:r>
      <w:r w:rsidRPr="00E70C45">
        <w:rPr>
          <w:rFonts w:eastAsia="Cambria" w:cs="Times New Roman"/>
        </w:rPr>
        <w:t xml:space="preserve">and </w:t>
      </w:r>
      <w:r w:rsidRPr="00485BF7">
        <w:rPr>
          <w:rFonts w:eastAsia="Cambria" w:cs="Times New Roman"/>
        </w:rPr>
        <w:t>UN Security Council Resolution 2199</w:t>
      </w:r>
      <w:r w:rsidR="008F7F09" w:rsidRPr="00485BF7">
        <w:rPr>
          <w:rFonts w:eastAsia="Cambria" w:cs="Times New Roman"/>
        </w:rPr>
        <w:t>.</w:t>
      </w:r>
      <w:r w:rsidRPr="00485BF7">
        <w:rPr>
          <w:rFonts w:eastAsia="Cambria" w:cs="Times New Roman"/>
          <w:vertAlign w:val="superscript"/>
        </w:rPr>
        <w:footnoteReference w:id="4"/>
      </w:r>
      <w:r w:rsidRPr="00E70C45">
        <w:rPr>
          <w:rFonts w:eastAsia="Cambria" w:cs="Times New Roman"/>
        </w:rPr>
        <w:t xml:space="preserve"> Two questions have informed the framing of the import sections of this report: What is legally and ethically appropriate to import? How can the legislative framework best implement our current obligations and those that we should embrace?</w:t>
      </w:r>
    </w:p>
    <w:p w14:paraId="62C50502" w14:textId="42AD2279" w:rsidR="00AA7153" w:rsidRDefault="001A20CD" w:rsidP="001A20CD">
      <w:pPr>
        <w:rPr>
          <w:rFonts w:eastAsia="Cambria" w:cs="Times New Roman"/>
        </w:rPr>
      </w:pPr>
      <w:r w:rsidRPr="00E70C45">
        <w:rPr>
          <w:rFonts w:eastAsia="Cambria" w:cs="Times New Roman"/>
        </w:rPr>
        <w:t>To date the Act has taken a limited answer to those questions and been restricted to the regulation of material illegally exported from its country of origin. An expanded approach is central to the new model</w:t>
      </w:r>
      <w:r>
        <w:rPr>
          <w:rFonts w:eastAsia="Cambria" w:cs="Times New Roman"/>
        </w:rPr>
        <w:t>.</w:t>
      </w:r>
      <w:r w:rsidRPr="00E70C45">
        <w:rPr>
          <w:rFonts w:eastAsia="Cambria" w:cs="Times New Roman"/>
        </w:rPr>
        <w:t xml:space="preserve"> </w:t>
      </w:r>
      <w:r>
        <w:rPr>
          <w:rFonts w:eastAsia="Cambria" w:cs="Times New Roman"/>
        </w:rPr>
        <w:t>W</w:t>
      </w:r>
      <w:r w:rsidRPr="00E70C45">
        <w:rPr>
          <w:rFonts w:eastAsia="Cambria" w:cs="Times New Roman"/>
        </w:rPr>
        <w:t>ith its adoption, Australia would ban the import of cultural material that has been stolen or been looted in time of armed conflict. This extension is not just a matter of ethics and conscience</w:t>
      </w:r>
      <w:r w:rsidR="00801A32">
        <w:rPr>
          <w:rFonts w:eastAsia="Cambria" w:cs="Times New Roman"/>
        </w:rPr>
        <w:t>—</w:t>
      </w:r>
      <w:r w:rsidRPr="00E70C45">
        <w:rPr>
          <w:rFonts w:eastAsia="Cambria" w:cs="Times New Roman"/>
        </w:rPr>
        <w:t>although it is that. The destruction and illicit trade of cultural material has long served as a weapon of war and to subjugate other cultures but, more recently, it appears that the illicit</w:t>
      </w:r>
      <w:r w:rsidR="00172D73">
        <w:rPr>
          <w:rFonts w:eastAsia="Cambria" w:cs="Times New Roman"/>
        </w:rPr>
        <w:t xml:space="preserve"> </w:t>
      </w:r>
      <w:r w:rsidRPr="00E70C45">
        <w:rPr>
          <w:rFonts w:eastAsia="Cambria" w:cs="Times New Roman"/>
        </w:rPr>
        <w:t xml:space="preserve">trade in cultural material </w:t>
      </w:r>
      <w:r>
        <w:rPr>
          <w:rFonts w:eastAsia="Cambria" w:cs="Times New Roman"/>
        </w:rPr>
        <w:t>has become</w:t>
      </w:r>
      <w:r w:rsidRPr="00E70C45">
        <w:rPr>
          <w:rFonts w:eastAsia="Cambria" w:cs="Times New Roman"/>
        </w:rPr>
        <w:t xml:space="preserve"> a significant source of income for terrorist groups including ISIS and many criminal organisations.</w:t>
      </w:r>
      <w:r w:rsidRPr="00E70C45">
        <w:rPr>
          <w:rFonts w:eastAsia="Cambria" w:cs="Times New Roman"/>
          <w:vertAlign w:val="superscript"/>
        </w:rPr>
        <w:footnoteReference w:id="5"/>
      </w:r>
    </w:p>
    <w:p w14:paraId="70656E3E" w14:textId="4DF8F467" w:rsidR="001A20CD" w:rsidRPr="00E70C45" w:rsidRDefault="001A20CD" w:rsidP="001A20CD">
      <w:pPr>
        <w:rPr>
          <w:rFonts w:eastAsia="Cambria" w:cs="Times New Roman"/>
        </w:rPr>
      </w:pPr>
      <w:r w:rsidRPr="00E70C45">
        <w:rPr>
          <w:rFonts w:eastAsia="Cambria" w:cs="Times New Roman"/>
        </w:rPr>
        <w:t xml:space="preserve">It is essential that </w:t>
      </w:r>
      <w:r>
        <w:rPr>
          <w:rFonts w:eastAsia="Cambria" w:cs="Times New Roman"/>
        </w:rPr>
        <w:t xml:space="preserve">the </w:t>
      </w:r>
      <w:r w:rsidRPr="00E70C45">
        <w:rPr>
          <w:rFonts w:eastAsia="Cambria" w:cs="Times New Roman"/>
        </w:rPr>
        <w:t>private interest in trading cultural material and the public interest of the promotion of peace and harmonious international diplomatic relations is balanced with the need to protect cultural material and the need to restrict the illicit trade in cultural material.</w:t>
      </w:r>
    </w:p>
    <w:p w14:paraId="7E432E11" w14:textId="34445105" w:rsidR="001A20CD" w:rsidRPr="00E70C45" w:rsidRDefault="001A20CD" w:rsidP="001A20CD">
      <w:pPr>
        <w:rPr>
          <w:rFonts w:eastAsia="Cambria" w:cs="Times New Roman"/>
        </w:rPr>
      </w:pPr>
      <w:r w:rsidRPr="00E70C45">
        <w:rPr>
          <w:rFonts w:eastAsia="Cambria" w:cs="Times New Roman"/>
        </w:rPr>
        <w:lastRenderedPageBreak/>
        <w:t>This Review hopes to continue and enhance Australia’s commitment to the protection of cultural material by recommending legislative changes that reflect the importance of the protection of cultural material while fostering the legitimate trade and exchange of such material.</w:t>
      </w:r>
    </w:p>
    <w:p w14:paraId="210BAF09" w14:textId="77777777" w:rsidR="00AA7153" w:rsidRDefault="001A20CD" w:rsidP="00052178">
      <w:pPr>
        <w:pStyle w:val="Heading2"/>
      </w:pPr>
      <w:bookmarkStart w:id="17" w:name="_Toc433906575"/>
      <w:r w:rsidRPr="00E70C45">
        <w:t>Limitations of the current model</w:t>
      </w:r>
      <w:bookmarkEnd w:id="17"/>
    </w:p>
    <w:p w14:paraId="49B4B236" w14:textId="3B5E05A7" w:rsidR="001A20CD" w:rsidRPr="00E70C45" w:rsidRDefault="001A20CD" w:rsidP="001A20CD">
      <w:pPr>
        <w:rPr>
          <w:rFonts w:eastAsia="Cambria" w:cs="Arial"/>
          <w:szCs w:val="24"/>
        </w:rPr>
      </w:pPr>
      <w:r w:rsidRPr="00E70C45">
        <w:rPr>
          <w:rFonts w:eastAsia="Cambria" w:cs="Arial"/>
          <w:szCs w:val="24"/>
        </w:rPr>
        <w:t>The key limitations identified during analysis of the current scheme and the information provided through previous reviews, include:</w:t>
      </w:r>
    </w:p>
    <w:p w14:paraId="3425ACB1" w14:textId="77777777" w:rsidR="001A20CD" w:rsidRPr="00E70C45" w:rsidRDefault="001A20CD" w:rsidP="00AB6407">
      <w:pPr>
        <w:numPr>
          <w:ilvl w:val="0"/>
          <w:numId w:val="1"/>
        </w:numPr>
        <w:ind w:left="567" w:hanging="567"/>
        <w:contextualSpacing/>
        <w:rPr>
          <w:rFonts w:eastAsia="Cambria" w:cs="Times New Roman"/>
        </w:rPr>
      </w:pPr>
      <w:r w:rsidRPr="00E70C45">
        <w:rPr>
          <w:rFonts w:eastAsia="Cambria" w:cs="Times New Roman"/>
        </w:rPr>
        <w:t>opaque language and structure of legislation;</w:t>
      </w:r>
    </w:p>
    <w:p w14:paraId="245ECB6F" w14:textId="77777777" w:rsidR="001A20CD" w:rsidRPr="00E70C45" w:rsidRDefault="001A20CD" w:rsidP="00AB6407">
      <w:pPr>
        <w:numPr>
          <w:ilvl w:val="0"/>
          <w:numId w:val="1"/>
        </w:numPr>
        <w:ind w:left="567" w:hanging="567"/>
        <w:contextualSpacing/>
        <w:rPr>
          <w:rFonts w:eastAsia="Cambria" w:cs="Times New Roman"/>
        </w:rPr>
      </w:pPr>
      <w:r w:rsidRPr="00E70C45">
        <w:rPr>
          <w:rFonts w:eastAsia="Cambria" w:cs="Times New Roman"/>
        </w:rPr>
        <w:t>lack of clarity as to the objects regulated;</w:t>
      </w:r>
    </w:p>
    <w:p w14:paraId="63AF1F96" w14:textId="77777777" w:rsidR="001A20CD" w:rsidRPr="00E70C45" w:rsidRDefault="001A20CD" w:rsidP="00AB6407">
      <w:pPr>
        <w:numPr>
          <w:ilvl w:val="0"/>
          <w:numId w:val="1"/>
        </w:numPr>
        <w:ind w:left="567" w:hanging="567"/>
        <w:contextualSpacing/>
        <w:rPr>
          <w:rFonts w:eastAsia="Cambria" w:cs="Times New Roman"/>
        </w:rPr>
      </w:pPr>
      <w:r w:rsidRPr="00E70C45">
        <w:rPr>
          <w:rFonts w:eastAsia="Cambria" w:cs="Times New Roman"/>
        </w:rPr>
        <w:t>inefficient and time-consuming process for the assessment of objects;</w:t>
      </w:r>
    </w:p>
    <w:p w14:paraId="505BBB85" w14:textId="77777777" w:rsidR="001A20CD" w:rsidRPr="00E70C45" w:rsidRDefault="001A20CD" w:rsidP="00AB6407">
      <w:pPr>
        <w:numPr>
          <w:ilvl w:val="0"/>
          <w:numId w:val="1"/>
        </w:numPr>
        <w:ind w:left="567" w:hanging="567"/>
        <w:contextualSpacing/>
        <w:rPr>
          <w:rFonts w:eastAsia="Cambria" w:cs="Times New Roman"/>
        </w:rPr>
      </w:pPr>
      <w:r w:rsidRPr="00E70C45">
        <w:rPr>
          <w:rFonts w:eastAsia="Cambria" w:cs="Times New Roman"/>
        </w:rPr>
        <w:t>duplication of processes, burdensome and lengthy administrative procedures;</w:t>
      </w:r>
    </w:p>
    <w:p w14:paraId="6A35CB16" w14:textId="77777777" w:rsidR="001A20CD" w:rsidRPr="00E70C45" w:rsidRDefault="001A20CD" w:rsidP="00AB6407">
      <w:pPr>
        <w:numPr>
          <w:ilvl w:val="0"/>
          <w:numId w:val="1"/>
        </w:numPr>
        <w:ind w:left="567" w:hanging="567"/>
        <w:contextualSpacing/>
        <w:rPr>
          <w:rFonts w:eastAsia="Cambria" w:cs="Times New Roman"/>
        </w:rPr>
      </w:pPr>
      <w:r w:rsidRPr="00E70C45">
        <w:rPr>
          <w:rFonts w:eastAsia="Cambria" w:cs="Times New Roman"/>
        </w:rPr>
        <w:t>unnecessary delays in decision-making caused by the inflexible (but compulsory) decision process;</w:t>
      </w:r>
    </w:p>
    <w:p w14:paraId="2CFA3F8E" w14:textId="77777777" w:rsidR="00AA7153" w:rsidRDefault="001A20CD" w:rsidP="00AB6407">
      <w:pPr>
        <w:numPr>
          <w:ilvl w:val="0"/>
          <w:numId w:val="1"/>
        </w:numPr>
        <w:ind w:left="567" w:hanging="567"/>
        <w:contextualSpacing/>
        <w:rPr>
          <w:rFonts w:eastAsia="Cambria" w:cs="Times New Roman"/>
        </w:rPr>
      </w:pPr>
      <w:r w:rsidRPr="00E70C45">
        <w:rPr>
          <w:rFonts w:eastAsia="Cambria" w:cs="Times New Roman"/>
        </w:rPr>
        <w:t>confusion as to the statutory obligations on stakeholders;</w:t>
      </w:r>
    </w:p>
    <w:p w14:paraId="663BEA32" w14:textId="5846BE2A" w:rsidR="001A20CD" w:rsidRPr="00E70C45" w:rsidRDefault="001A20CD" w:rsidP="00AB6407">
      <w:pPr>
        <w:numPr>
          <w:ilvl w:val="0"/>
          <w:numId w:val="1"/>
        </w:numPr>
        <w:ind w:left="567" w:hanging="567"/>
        <w:contextualSpacing/>
        <w:rPr>
          <w:rFonts w:eastAsia="Cambria" w:cs="Times New Roman"/>
        </w:rPr>
      </w:pPr>
      <w:r w:rsidRPr="00E70C45">
        <w:rPr>
          <w:rFonts w:eastAsia="Cambria" w:cs="Times New Roman"/>
        </w:rPr>
        <w:t>lack of transparency in decision-making processes and decisions;</w:t>
      </w:r>
    </w:p>
    <w:p w14:paraId="23946552" w14:textId="77777777" w:rsidR="001A20CD" w:rsidRPr="00E70C45" w:rsidRDefault="001A20CD" w:rsidP="00AB6407">
      <w:pPr>
        <w:numPr>
          <w:ilvl w:val="0"/>
          <w:numId w:val="1"/>
        </w:numPr>
        <w:ind w:left="567" w:hanging="567"/>
        <w:contextualSpacing/>
        <w:rPr>
          <w:rFonts w:eastAsia="Cambria" w:cs="Times New Roman"/>
        </w:rPr>
      </w:pPr>
      <w:r w:rsidRPr="00E70C45">
        <w:rPr>
          <w:rFonts w:eastAsia="Cambria" w:cs="Times New Roman"/>
        </w:rPr>
        <w:t>inconsistent and obscure methodologies and criteria for evaluating significance;</w:t>
      </w:r>
    </w:p>
    <w:p w14:paraId="0EFFB683" w14:textId="77777777" w:rsidR="001A20CD" w:rsidRPr="00E70C45" w:rsidRDefault="001A20CD" w:rsidP="00AB6407">
      <w:pPr>
        <w:numPr>
          <w:ilvl w:val="0"/>
          <w:numId w:val="1"/>
        </w:numPr>
        <w:ind w:left="567" w:hanging="567"/>
        <w:contextualSpacing/>
        <w:rPr>
          <w:rFonts w:eastAsia="Cambria" w:cs="Times New Roman"/>
        </w:rPr>
      </w:pPr>
      <w:r w:rsidRPr="00E70C45">
        <w:rPr>
          <w:rFonts w:eastAsia="Cambria" w:cs="Times New Roman"/>
        </w:rPr>
        <w:t>inconsistency or failure to protect objects of significance through sporadic or incoherent enforcement;</w:t>
      </w:r>
    </w:p>
    <w:p w14:paraId="03096A27" w14:textId="77777777" w:rsidR="001A20CD" w:rsidRPr="00E70C45" w:rsidRDefault="001A20CD" w:rsidP="00AB6407">
      <w:pPr>
        <w:numPr>
          <w:ilvl w:val="0"/>
          <w:numId w:val="1"/>
        </w:numPr>
        <w:ind w:left="567" w:hanging="567"/>
        <w:contextualSpacing/>
        <w:rPr>
          <w:rFonts w:eastAsia="Cambria" w:cs="Times New Roman"/>
        </w:rPr>
      </w:pPr>
      <w:r w:rsidRPr="00E70C45">
        <w:rPr>
          <w:rFonts w:eastAsia="Cambria" w:cs="Times New Roman"/>
        </w:rPr>
        <w:t>weaknesses in the procedures for the protection of foreign cultural property entering Australia;</w:t>
      </w:r>
    </w:p>
    <w:p w14:paraId="15CFC4A8" w14:textId="77777777" w:rsidR="00AA7153" w:rsidRDefault="001A20CD" w:rsidP="00AB6407">
      <w:pPr>
        <w:numPr>
          <w:ilvl w:val="0"/>
          <w:numId w:val="1"/>
        </w:numPr>
        <w:ind w:left="567" w:hanging="567"/>
        <w:contextualSpacing/>
        <w:rPr>
          <w:rFonts w:eastAsia="Cambria" w:cs="Times New Roman"/>
        </w:rPr>
      </w:pPr>
      <w:r w:rsidRPr="00E70C45">
        <w:rPr>
          <w:rFonts w:eastAsia="Cambria" w:cs="Times New Roman"/>
        </w:rPr>
        <w:t>lack of coordination across all of the Government’s international obligations in relation to cultural material;</w:t>
      </w:r>
    </w:p>
    <w:p w14:paraId="1E27393D" w14:textId="1764EC73" w:rsidR="001A20CD" w:rsidRPr="00E70C45" w:rsidRDefault="001A20CD" w:rsidP="00AB6407">
      <w:pPr>
        <w:numPr>
          <w:ilvl w:val="0"/>
          <w:numId w:val="1"/>
        </w:numPr>
        <w:ind w:left="567" w:hanging="567"/>
        <w:contextualSpacing/>
        <w:rPr>
          <w:rFonts w:eastAsia="Cambria" w:cs="Times New Roman"/>
        </w:rPr>
      </w:pPr>
      <w:r w:rsidRPr="00E70C45">
        <w:rPr>
          <w:rFonts w:eastAsia="Cambria" w:cs="Times New Roman"/>
        </w:rPr>
        <w:t>inadequate protection of foreign looted or stolen cultural objects;</w:t>
      </w:r>
    </w:p>
    <w:p w14:paraId="61CB91CE" w14:textId="77777777" w:rsidR="001A20CD" w:rsidRPr="00E70C45" w:rsidRDefault="001A20CD" w:rsidP="00AB6407">
      <w:pPr>
        <w:numPr>
          <w:ilvl w:val="0"/>
          <w:numId w:val="1"/>
        </w:numPr>
        <w:ind w:left="567" w:hanging="567"/>
        <w:contextualSpacing/>
        <w:rPr>
          <w:rFonts w:eastAsia="Cambria" w:cs="Times New Roman"/>
        </w:rPr>
      </w:pPr>
      <w:r w:rsidRPr="00E70C45">
        <w:rPr>
          <w:rFonts w:eastAsia="Cambria" w:cs="Times New Roman"/>
        </w:rPr>
        <w:t>lack of clarity as to the responsibilities of Australian purchasers of foreign objects; and</w:t>
      </w:r>
    </w:p>
    <w:p w14:paraId="59A571F6" w14:textId="77777777" w:rsidR="001A20CD" w:rsidRPr="00E70C45" w:rsidRDefault="001A20CD" w:rsidP="00AB6407">
      <w:pPr>
        <w:numPr>
          <w:ilvl w:val="0"/>
          <w:numId w:val="1"/>
        </w:numPr>
        <w:ind w:left="567" w:hanging="567"/>
        <w:contextualSpacing/>
        <w:rPr>
          <w:rFonts w:eastAsia="Cambria" w:cs="Times New Roman"/>
        </w:rPr>
      </w:pPr>
      <w:proofErr w:type="gramStart"/>
      <w:r w:rsidRPr="00E70C45">
        <w:rPr>
          <w:rFonts w:eastAsia="Cambria" w:cs="Times New Roman"/>
        </w:rPr>
        <w:t>problems</w:t>
      </w:r>
      <w:proofErr w:type="gramEnd"/>
      <w:r w:rsidRPr="00E70C45">
        <w:rPr>
          <w:rFonts w:eastAsia="Cambria" w:cs="Times New Roman"/>
        </w:rPr>
        <w:t xml:space="preserve"> </w:t>
      </w:r>
      <w:r>
        <w:rPr>
          <w:rFonts w:eastAsia="Cambria" w:cs="Times New Roman"/>
        </w:rPr>
        <w:t>of proof</w:t>
      </w:r>
      <w:r w:rsidRPr="00E70C45">
        <w:rPr>
          <w:rFonts w:eastAsia="Cambria" w:cs="Times New Roman"/>
        </w:rPr>
        <w:t xml:space="preserve"> in cultural property cases.</w:t>
      </w:r>
    </w:p>
    <w:p w14:paraId="590E38D8" w14:textId="77777777" w:rsidR="00AA7153" w:rsidRDefault="001A20CD" w:rsidP="00052178">
      <w:pPr>
        <w:pStyle w:val="Heading2"/>
      </w:pPr>
      <w:bookmarkStart w:id="18" w:name="_Toc433906576"/>
      <w:r w:rsidRPr="00E70C45">
        <w:t>Principles for the proposed model</w:t>
      </w:r>
      <w:bookmarkEnd w:id="18"/>
    </w:p>
    <w:p w14:paraId="646377DA" w14:textId="77777777" w:rsidR="00AA7153" w:rsidRDefault="001A20CD" w:rsidP="00953E82">
      <w:r w:rsidRPr="00E70C45">
        <w:t>To address the above concerns the proposed model seeks to provide:</w:t>
      </w:r>
    </w:p>
    <w:p w14:paraId="5451C13B" w14:textId="11A7909C" w:rsidR="001A20CD" w:rsidRPr="00E70C45" w:rsidRDefault="001A20CD" w:rsidP="00AB6407">
      <w:pPr>
        <w:numPr>
          <w:ilvl w:val="0"/>
          <w:numId w:val="2"/>
        </w:numPr>
        <w:ind w:left="567" w:hanging="567"/>
        <w:contextualSpacing/>
        <w:rPr>
          <w:rFonts w:eastAsia="Cambria" w:cs="Times New Roman"/>
        </w:rPr>
      </w:pPr>
      <w:r w:rsidRPr="00E70C45">
        <w:rPr>
          <w:rFonts w:eastAsia="Cambria" w:cs="Times New Roman"/>
        </w:rPr>
        <w:t>a simpler legislative framework for the regulation of export and import of cultural material;</w:t>
      </w:r>
    </w:p>
    <w:p w14:paraId="5F6EE473" w14:textId="77777777" w:rsidR="001A20CD" w:rsidRPr="00E70C45" w:rsidRDefault="001A20CD" w:rsidP="00AB6407">
      <w:pPr>
        <w:numPr>
          <w:ilvl w:val="0"/>
          <w:numId w:val="2"/>
        </w:numPr>
        <w:ind w:left="567" w:hanging="567"/>
        <w:contextualSpacing/>
        <w:rPr>
          <w:rFonts w:eastAsia="Cambria" w:cs="Times New Roman"/>
        </w:rPr>
      </w:pPr>
      <w:r w:rsidRPr="00E70C45">
        <w:rPr>
          <w:rFonts w:eastAsia="Cambria" w:cs="Times New Roman"/>
        </w:rPr>
        <w:lastRenderedPageBreak/>
        <w:t>objective standards to define the material being regulated;</w:t>
      </w:r>
    </w:p>
    <w:p w14:paraId="497F05F4" w14:textId="77777777" w:rsidR="00AA7153" w:rsidRDefault="001A20CD" w:rsidP="00AB6407">
      <w:pPr>
        <w:numPr>
          <w:ilvl w:val="0"/>
          <w:numId w:val="2"/>
        </w:numPr>
        <w:ind w:left="567" w:hanging="567"/>
        <w:contextualSpacing/>
        <w:rPr>
          <w:rFonts w:eastAsia="Cambria" w:cs="Times New Roman"/>
        </w:rPr>
      </w:pPr>
      <w:r w:rsidRPr="00E70C45">
        <w:rPr>
          <w:rFonts w:eastAsia="Cambria" w:cs="Times New Roman"/>
        </w:rPr>
        <w:t>clear, practicable criteria for determining the significance of the material;</w:t>
      </w:r>
    </w:p>
    <w:p w14:paraId="57C29F78" w14:textId="56F9D576" w:rsidR="001A20CD" w:rsidRDefault="001A20CD" w:rsidP="00AB6407">
      <w:pPr>
        <w:numPr>
          <w:ilvl w:val="0"/>
          <w:numId w:val="2"/>
        </w:numPr>
        <w:ind w:left="567" w:hanging="567"/>
        <w:contextualSpacing/>
        <w:rPr>
          <w:rFonts w:eastAsia="Cambria" w:cs="Times New Roman"/>
        </w:rPr>
      </w:pPr>
      <w:r w:rsidRPr="00E70C45">
        <w:rPr>
          <w:rFonts w:eastAsia="Cambria" w:cs="Times New Roman"/>
        </w:rPr>
        <w:t>a more efficient assessment process by requiring a greater degree of title, provenance and asset description information from applicants applying for permits;</w:t>
      </w:r>
    </w:p>
    <w:p w14:paraId="4481E512" w14:textId="408C460F" w:rsidR="001A20CD" w:rsidRPr="00507588" w:rsidRDefault="00CA294D" w:rsidP="00AB6407">
      <w:pPr>
        <w:numPr>
          <w:ilvl w:val="0"/>
          <w:numId w:val="2"/>
        </w:numPr>
        <w:spacing w:before="120" w:after="320"/>
        <w:ind w:left="567" w:hanging="567"/>
        <w:contextualSpacing/>
        <w:rPr>
          <w:rFonts w:eastAsia="Cambria" w:cs="Times New Roman"/>
        </w:rPr>
      </w:pPr>
      <w:r>
        <w:rPr>
          <w:rFonts w:eastAsia="Cambria" w:cs="Times New Roman"/>
        </w:rPr>
        <w:t xml:space="preserve">adherence to </w:t>
      </w:r>
      <w:r w:rsidR="001A20CD" w:rsidRPr="00E70C45">
        <w:rPr>
          <w:rFonts w:eastAsia="Cambria" w:cs="Times New Roman"/>
        </w:rPr>
        <w:t>principles of Aboriginal and Torres Strait Islander decision-making;</w:t>
      </w:r>
    </w:p>
    <w:p w14:paraId="09C19DC5" w14:textId="77777777" w:rsidR="00AA7153" w:rsidRDefault="001A20CD" w:rsidP="00AB6407">
      <w:pPr>
        <w:numPr>
          <w:ilvl w:val="0"/>
          <w:numId w:val="2"/>
        </w:numPr>
        <w:ind w:left="567" w:hanging="567"/>
        <w:contextualSpacing/>
        <w:rPr>
          <w:rFonts w:eastAsia="Cambria" w:cs="Times New Roman"/>
        </w:rPr>
      </w:pPr>
      <w:r>
        <w:rPr>
          <w:rFonts w:eastAsia="Cambria" w:cs="Times New Roman"/>
        </w:rPr>
        <w:t>a distinction between Ancestral remains and objects;</w:t>
      </w:r>
    </w:p>
    <w:p w14:paraId="479A3ACD" w14:textId="291445AC" w:rsidR="001A20CD" w:rsidRDefault="001A20CD" w:rsidP="00AB6407">
      <w:pPr>
        <w:numPr>
          <w:ilvl w:val="0"/>
          <w:numId w:val="2"/>
        </w:numPr>
        <w:ind w:left="567" w:hanging="567"/>
        <w:contextualSpacing/>
        <w:rPr>
          <w:rFonts w:eastAsia="Cambria" w:cs="Times New Roman"/>
        </w:rPr>
      </w:pPr>
      <w:r>
        <w:rPr>
          <w:rFonts w:eastAsia="Cambria" w:cs="Times New Roman"/>
        </w:rPr>
        <w:t>intera</w:t>
      </w:r>
      <w:r w:rsidR="008F7F09">
        <w:rPr>
          <w:rFonts w:eastAsia="Cambria" w:cs="Times New Roman"/>
        </w:rPr>
        <w:t>ction with other Commonwealth, state and t</w:t>
      </w:r>
      <w:r>
        <w:rPr>
          <w:rFonts w:eastAsia="Cambria" w:cs="Times New Roman"/>
        </w:rPr>
        <w:t>erritory legislation and regulatory schemes;</w:t>
      </w:r>
    </w:p>
    <w:p w14:paraId="7CF61893" w14:textId="77777777" w:rsidR="00AA7153" w:rsidRDefault="001A20CD" w:rsidP="00AB6407">
      <w:pPr>
        <w:numPr>
          <w:ilvl w:val="0"/>
          <w:numId w:val="2"/>
        </w:numPr>
        <w:ind w:left="567" w:hanging="567"/>
        <w:contextualSpacing/>
        <w:rPr>
          <w:rFonts w:eastAsia="Cambria" w:cs="Times New Roman"/>
        </w:rPr>
      </w:pPr>
      <w:r w:rsidRPr="00E70C45">
        <w:rPr>
          <w:rFonts w:eastAsia="Cambria" w:cs="Times New Roman"/>
        </w:rPr>
        <w:t>a flexible and risk-based approach to assessment processes;</w:t>
      </w:r>
    </w:p>
    <w:p w14:paraId="5FB2E53A" w14:textId="77777777" w:rsidR="00AA7153" w:rsidRDefault="001A20CD" w:rsidP="00AB6407">
      <w:pPr>
        <w:numPr>
          <w:ilvl w:val="0"/>
          <w:numId w:val="2"/>
        </w:numPr>
        <w:ind w:left="567" w:hanging="567"/>
        <w:contextualSpacing/>
        <w:rPr>
          <w:rFonts w:eastAsia="Cambria" w:cs="Times New Roman"/>
        </w:rPr>
      </w:pPr>
      <w:r w:rsidRPr="00E70C45">
        <w:rPr>
          <w:rFonts w:eastAsia="Cambria" w:cs="Times New Roman"/>
        </w:rPr>
        <w:t>clearer guidance to decision-makers throughout the process;</w:t>
      </w:r>
    </w:p>
    <w:p w14:paraId="360E4AEE" w14:textId="77777777" w:rsidR="00AA7153" w:rsidRDefault="001A20CD" w:rsidP="00AB6407">
      <w:pPr>
        <w:numPr>
          <w:ilvl w:val="0"/>
          <w:numId w:val="2"/>
        </w:numPr>
        <w:ind w:left="567" w:hanging="567"/>
        <w:contextualSpacing/>
        <w:rPr>
          <w:rFonts w:eastAsia="Cambria" w:cs="Times New Roman"/>
        </w:rPr>
      </w:pPr>
      <w:r w:rsidRPr="00E70C45">
        <w:rPr>
          <w:rFonts w:eastAsia="Cambria" w:cs="Times New Roman"/>
        </w:rPr>
        <w:t>a shortening of the decision-making process so that the processing of applications is faster and more cost-effective than the current system;</w:t>
      </w:r>
    </w:p>
    <w:p w14:paraId="6141BFA1" w14:textId="77777777" w:rsidR="00AA7153" w:rsidRDefault="001A20CD" w:rsidP="00AB6407">
      <w:pPr>
        <w:numPr>
          <w:ilvl w:val="0"/>
          <w:numId w:val="2"/>
        </w:numPr>
        <w:ind w:left="567" w:hanging="567"/>
        <w:contextualSpacing/>
        <w:rPr>
          <w:rFonts w:eastAsia="Cambria" w:cs="Times New Roman"/>
        </w:rPr>
      </w:pPr>
      <w:r w:rsidRPr="00E70C45">
        <w:rPr>
          <w:rFonts w:eastAsia="Cambria" w:cs="Times New Roman"/>
        </w:rPr>
        <w:t>transparency at all stages including application, process and decision;</w:t>
      </w:r>
    </w:p>
    <w:p w14:paraId="4B37F3AD" w14:textId="5D5D5990" w:rsidR="001A20CD" w:rsidRPr="00E70C45" w:rsidRDefault="001A20CD" w:rsidP="00AB6407">
      <w:pPr>
        <w:numPr>
          <w:ilvl w:val="0"/>
          <w:numId w:val="2"/>
        </w:numPr>
        <w:ind w:left="567" w:hanging="567"/>
        <w:contextualSpacing/>
        <w:rPr>
          <w:rFonts w:eastAsia="Cambria" w:cs="Times New Roman"/>
        </w:rPr>
      </w:pPr>
      <w:r w:rsidRPr="00E70C45">
        <w:rPr>
          <w:rFonts w:eastAsia="Cambria" w:cs="Times New Roman"/>
        </w:rPr>
        <w:t>a new classification system for protecting the nation’s most important cultural material that:</w:t>
      </w:r>
    </w:p>
    <w:p w14:paraId="3C8C1268" w14:textId="77777777" w:rsidR="001A20CD" w:rsidRPr="00E70C45" w:rsidRDefault="001A20CD" w:rsidP="00AB6407">
      <w:pPr>
        <w:numPr>
          <w:ilvl w:val="1"/>
          <w:numId w:val="2"/>
        </w:numPr>
        <w:ind w:left="1134" w:hanging="567"/>
        <w:contextualSpacing/>
        <w:rPr>
          <w:rFonts w:eastAsia="Cambria" w:cs="Times New Roman"/>
        </w:rPr>
      </w:pPr>
      <w:r w:rsidRPr="00E70C45">
        <w:rPr>
          <w:rFonts w:eastAsia="Cambria" w:cs="Times New Roman"/>
        </w:rPr>
        <w:t>better reflects the true richness of the cultural heritage of Australia and the diverse regions and places that constitute the nation;</w:t>
      </w:r>
    </w:p>
    <w:p w14:paraId="64AB0276" w14:textId="77777777" w:rsidR="001A20CD" w:rsidRPr="00E70C45" w:rsidRDefault="001A20CD" w:rsidP="00AB6407">
      <w:pPr>
        <w:numPr>
          <w:ilvl w:val="1"/>
          <w:numId w:val="2"/>
        </w:numPr>
        <w:ind w:left="1134" w:hanging="567"/>
        <w:contextualSpacing/>
        <w:rPr>
          <w:rFonts w:eastAsia="Cambria" w:cs="Times New Roman"/>
        </w:rPr>
      </w:pPr>
      <w:r w:rsidRPr="00E70C45">
        <w:rPr>
          <w:rFonts w:eastAsia="Cambria" w:cs="Times New Roman"/>
        </w:rPr>
        <w:t>protects material already found to be significant by Commonwealth, state and territory</w:t>
      </w:r>
      <w:r>
        <w:rPr>
          <w:rFonts w:eastAsia="Cambria" w:cs="Times New Roman"/>
        </w:rPr>
        <w:t xml:space="preserve"> </w:t>
      </w:r>
      <w:r w:rsidRPr="00E70C45">
        <w:rPr>
          <w:rFonts w:eastAsia="Cambria" w:cs="Times New Roman"/>
        </w:rPr>
        <w:t>governments; and</w:t>
      </w:r>
    </w:p>
    <w:p w14:paraId="0F8A4B2D" w14:textId="77777777" w:rsidR="001A20CD" w:rsidRPr="00E70C45" w:rsidRDefault="001A20CD" w:rsidP="00AB6407">
      <w:pPr>
        <w:numPr>
          <w:ilvl w:val="1"/>
          <w:numId w:val="2"/>
        </w:numPr>
        <w:ind w:left="1134" w:hanging="567"/>
        <w:contextualSpacing/>
        <w:rPr>
          <w:rFonts w:eastAsia="Cambria" w:cs="Times New Roman"/>
        </w:rPr>
      </w:pPr>
      <w:r w:rsidRPr="00E70C45">
        <w:rPr>
          <w:rFonts w:eastAsia="Cambria" w:cs="Times New Roman"/>
        </w:rPr>
        <w:t>provides a flexible and living category of material which attracts high-level protection (currently only available to the static melange that is Class A);</w:t>
      </w:r>
    </w:p>
    <w:p w14:paraId="5DB620A2" w14:textId="77777777" w:rsidR="00AA7153" w:rsidRDefault="001A20CD" w:rsidP="00AB6407">
      <w:pPr>
        <w:numPr>
          <w:ilvl w:val="0"/>
          <w:numId w:val="2"/>
        </w:numPr>
        <w:ind w:left="567" w:hanging="567"/>
        <w:contextualSpacing/>
        <w:rPr>
          <w:rFonts w:eastAsia="Cambria" w:cs="Times New Roman"/>
        </w:rPr>
      </w:pPr>
      <w:r w:rsidRPr="00E70C45">
        <w:rPr>
          <w:rFonts w:eastAsia="Cambria" w:cs="Times New Roman"/>
        </w:rPr>
        <w:t>more effective prosecution procedures (such as varying the burden of proof in certain circumstances where the relevant evidence is reasonably expected to be in the control of the applicant rather than the Government);</w:t>
      </w:r>
    </w:p>
    <w:p w14:paraId="6561C831" w14:textId="77777777" w:rsidR="00AA7153" w:rsidRDefault="001A20CD" w:rsidP="00AB6407">
      <w:pPr>
        <w:numPr>
          <w:ilvl w:val="0"/>
          <w:numId w:val="2"/>
        </w:numPr>
        <w:ind w:left="567" w:hanging="567"/>
        <w:contextualSpacing/>
        <w:rPr>
          <w:rFonts w:eastAsia="Cambria" w:cs="Times New Roman"/>
        </w:rPr>
      </w:pPr>
      <w:r w:rsidRPr="00E70C45">
        <w:rPr>
          <w:rFonts w:eastAsia="Cambria" w:cs="Times New Roman"/>
        </w:rPr>
        <w:t>an extension of the current General Permit system to a wider group of approved organisations;</w:t>
      </w:r>
    </w:p>
    <w:p w14:paraId="78427FCB" w14:textId="77777777" w:rsidR="00AA7153" w:rsidRDefault="001A20CD" w:rsidP="00AB6407">
      <w:pPr>
        <w:numPr>
          <w:ilvl w:val="0"/>
          <w:numId w:val="2"/>
        </w:numPr>
        <w:ind w:left="567" w:hanging="567"/>
        <w:contextualSpacing/>
        <w:rPr>
          <w:rFonts w:eastAsia="Cambria" w:cs="Arial"/>
          <w:szCs w:val="24"/>
        </w:rPr>
      </w:pPr>
      <w:r w:rsidRPr="00E70C45">
        <w:rPr>
          <w:rFonts w:eastAsia="Cambria" w:cs="Arial"/>
          <w:szCs w:val="24"/>
        </w:rPr>
        <w:t>a transparent process for the testing of foreign claims for the return of illegally exported material that is consistent with international models and compliant with relevant treaties;</w:t>
      </w:r>
    </w:p>
    <w:p w14:paraId="072AA82B" w14:textId="7349FB81" w:rsidR="001A20CD" w:rsidRPr="00E70C45" w:rsidRDefault="001A20CD" w:rsidP="00AB6407">
      <w:pPr>
        <w:numPr>
          <w:ilvl w:val="0"/>
          <w:numId w:val="2"/>
        </w:numPr>
        <w:ind w:left="567" w:hanging="567"/>
        <w:contextualSpacing/>
        <w:rPr>
          <w:rFonts w:eastAsia="Cambria" w:cs="Arial"/>
          <w:color w:val="000000"/>
          <w:szCs w:val="24"/>
        </w:rPr>
      </w:pPr>
      <w:r w:rsidRPr="00E70C45">
        <w:rPr>
          <w:rFonts w:eastAsia="Cambria" w:cs="Arial"/>
          <w:szCs w:val="24"/>
        </w:rPr>
        <w:t>incorporation of mechanisms that are informed by other international conventions relating to cultural property (including a cohesive and consolidated process for the return of looted and stolen cultural material); and</w:t>
      </w:r>
    </w:p>
    <w:p w14:paraId="6B356D9A" w14:textId="22A77373" w:rsidR="003B4493" w:rsidRDefault="001A20CD" w:rsidP="00AB6407">
      <w:pPr>
        <w:numPr>
          <w:ilvl w:val="0"/>
          <w:numId w:val="2"/>
        </w:numPr>
        <w:ind w:left="567" w:hanging="567"/>
        <w:contextualSpacing/>
        <w:rPr>
          <w:rFonts w:eastAsia="Cambria" w:cs="Arial"/>
          <w:szCs w:val="24"/>
        </w:rPr>
      </w:pPr>
      <w:proofErr w:type="gramStart"/>
      <w:r w:rsidRPr="00E70C45">
        <w:rPr>
          <w:rFonts w:eastAsia="Cambria" w:cs="Arial"/>
          <w:szCs w:val="24"/>
        </w:rPr>
        <w:lastRenderedPageBreak/>
        <w:t>modernisation</w:t>
      </w:r>
      <w:proofErr w:type="gramEnd"/>
      <w:r w:rsidRPr="00E70C45">
        <w:rPr>
          <w:rFonts w:eastAsia="Cambria" w:cs="Arial"/>
          <w:szCs w:val="24"/>
        </w:rPr>
        <w:t xml:space="preserve"> of enforcement provisions to ensure they are in line with current best practice.</w:t>
      </w:r>
    </w:p>
    <w:p w14:paraId="79025FD0" w14:textId="75BF5014" w:rsidR="00B51AD0" w:rsidRPr="00ED5FEC" w:rsidRDefault="001F14A4" w:rsidP="00ED5FEC">
      <w:pPr>
        <w:pStyle w:val="Subtitle"/>
        <w:rPr>
          <w:rStyle w:val="BookTitle"/>
          <w:b/>
          <w:bCs w:val="0"/>
          <w:smallCaps w:val="0"/>
          <w:color w:val="545456"/>
          <w:spacing w:val="15"/>
        </w:rPr>
      </w:pPr>
      <w:r w:rsidRPr="00ED5FEC">
        <w:rPr>
          <w:rStyle w:val="BookTitle"/>
          <w:b/>
          <w:bCs w:val="0"/>
          <w:smallCaps w:val="0"/>
          <w:color w:val="545456"/>
          <w:spacing w:val="15"/>
        </w:rPr>
        <w:t>Survey response</w:t>
      </w:r>
    </w:p>
    <w:p w14:paraId="2D903788" w14:textId="77777777" w:rsidR="00AA7153" w:rsidRDefault="0029656D" w:rsidP="0029656D">
      <w:pPr>
        <w:rPr>
          <w:rFonts w:eastAsia="Cambria" w:cs="Arial"/>
          <w:szCs w:val="24"/>
        </w:rPr>
      </w:pPr>
      <w:r w:rsidRPr="0029656D">
        <w:rPr>
          <w:rFonts w:eastAsia="Cambria" w:cs="Arial"/>
          <w:szCs w:val="24"/>
        </w:rPr>
        <w:t>The survey asked participants to consider the proposed changes to the Act overall. These questions included:</w:t>
      </w:r>
    </w:p>
    <w:p w14:paraId="0D272257" w14:textId="2A2D7939" w:rsidR="0029656D" w:rsidRPr="0029656D" w:rsidRDefault="0029656D" w:rsidP="00AB6407">
      <w:pPr>
        <w:numPr>
          <w:ilvl w:val="0"/>
          <w:numId w:val="2"/>
        </w:numPr>
        <w:ind w:left="567" w:hanging="567"/>
        <w:contextualSpacing/>
        <w:rPr>
          <w:rFonts w:eastAsia="Cambria" w:cs="Arial"/>
          <w:szCs w:val="24"/>
        </w:rPr>
      </w:pPr>
      <w:r w:rsidRPr="0029656D">
        <w:rPr>
          <w:rFonts w:eastAsia="Cambria" w:cs="Arial"/>
          <w:szCs w:val="24"/>
        </w:rPr>
        <w:t>Whether the model achieves the draft principles to make the implementation of the legislative framework simpler and more efficient and provide clearer guidance to those using the legislative framework.</w:t>
      </w:r>
    </w:p>
    <w:p w14:paraId="315D24A5" w14:textId="77777777" w:rsidR="0029656D" w:rsidRPr="0029656D" w:rsidRDefault="0029656D" w:rsidP="00AB6407">
      <w:pPr>
        <w:numPr>
          <w:ilvl w:val="0"/>
          <w:numId w:val="2"/>
        </w:numPr>
        <w:ind w:left="567" w:hanging="567"/>
        <w:contextualSpacing/>
        <w:rPr>
          <w:rFonts w:eastAsia="Cambria" w:cs="Arial"/>
          <w:szCs w:val="24"/>
        </w:rPr>
      </w:pPr>
      <w:r w:rsidRPr="0029656D">
        <w:rPr>
          <w:rFonts w:eastAsia="Cambria" w:cs="Arial"/>
          <w:szCs w:val="24"/>
        </w:rPr>
        <w:t>Whether the proposed changes to the Act will ensure a better balance between public interest in protecting cultural material and the public and private interests of property ownership and maintenance.</w:t>
      </w:r>
    </w:p>
    <w:p w14:paraId="5D539AE4" w14:textId="77777777" w:rsidR="0029656D" w:rsidRPr="0029656D" w:rsidRDefault="0029656D" w:rsidP="00AB6407">
      <w:pPr>
        <w:numPr>
          <w:ilvl w:val="0"/>
          <w:numId w:val="2"/>
        </w:numPr>
        <w:ind w:left="567" w:hanging="567"/>
        <w:contextualSpacing/>
        <w:rPr>
          <w:rFonts w:eastAsia="Cambria" w:cs="Arial"/>
          <w:szCs w:val="24"/>
        </w:rPr>
      </w:pPr>
      <w:r w:rsidRPr="0029656D">
        <w:rPr>
          <w:rFonts w:eastAsia="Cambria" w:cs="Arial"/>
          <w:szCs w:val="24"/>
        </w:rPr>
        <w:t>The extent to which the proposed model will create a more efficient and effective approach.</w:t>
      </w:r>
    </w:p>
    <w:p w14:paraId="28DB6D70" w14:textId="77777777" w:rsidR="00AA7153" w:rsidRDefault="0029656D" w:rsidP="000713CD">
      <w:pPr>
        <w:jc w:val="both"/>
        <w:rPr>
          <w:rFonts w:ascii="Cambria" w:eastAsia="Times New Roman" w:hAnsi="Cambria" w:cs="Times New Roman"/>
          <w:bCs/>
          <w:noProof/>
          <w:szCs w:val="24"/>
          <w:lang w:eastAsia="en-AU"/>
        </w:rPr>
      </w:pPr>
      <w:r w:rsidRPr="0029656D">
        <w:rPr>
          <w:rFonts w:eastAsia="Cambria" w:cs="Arial"/>
          <w:szCs w:val="24"/>
        </w:rPr>
        <w:t>Overwhelmingly, survey respondents agreed to a large or very large extent with the intent of the overall changes across these three questions. Over 70% of survey respondents agreed that the proposed model will achieve the draft principles. Furthermore no survey respondents selected ‘not at all’ for this question.</w:t>
      </w:r>
    </w:p>
    <w:p w14:paraId="4D541524" w14:textId="10AF1C40" w:rsidR="000713CD" w:rsidRDefault="001F14A4" w:rsidP="001F14A4">
      <w:pPr>
        <w:rPr>
          <w:rFonts w:ascii="Cambria" w:eastAsia="Times New Roman" w:hAnsi="Cambria" w:cs="Times New Roman"/>
          <w:bCs/>
          <w:noProof/>
          <w:szCs w:val="24"/>
          <w:lang w:eastAsia="en-AU"/>
        </w:rPr>
      </w:pPr>
      <w:r w:rsidRPr="0029656D">
        <w:rPr>
          <w:rFonts w:ascii="Cambria" w:eastAsia="Times New Roman" w:hAnsi="Cambria" w:cs="Times New Roman"/>
          <w:bCs/>
          <w:noProof/>
          <w:szCs w:val="24"/>
          <w:lang w:eastAsia="en-AU"/>
        </w:rPr>
        <w:drawing>
          <wp:inline distT="0" distB="0" distL="0" distR="0" wp14:anchorId="1973D53F" wp14:editId="2FB2AFBF">
            <wp:extent cx="2867891" cy="2880333"/>
            <wp:effectExtent l="0" t="0" r="8890" b="0"/>
            <wp:docPr id="10" name="Picture 10" descr="The extent to which respondents found the model achieved the draft principles:&#10;&#10;24% To a very large extent&#10;47% To a large extent&#10;20% To a moderate extent&#10;4% To a small extent&#10;0% Not at all&#10;5% Unsure&#10;" title="Figure 1 - The extent to which respondents found the model achieved the draft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883686" cy="2896197"/>
                    </a:xfrm>
                    <a:prstGeom prst="rect">
                      <a:avLst/>
                    </a:prstGeom>
                    <a:noFill/>
                    <a:ln>
                      <a:noFill/>
                    </a:ln>
                  </pic:spPr>
                </pic:pic>
              </a:graphicData>
            </a:graphic>
          </wp:inline>
        </w:drawing>
      </w:r>
    </w:p>
    <w:p w14:paraId="320F877C" w14:textId="60A88FDF" w:rsidR="00953E82" w:rsidRDefault="0029656D" w:rsidP="00ED5FEC">
      <w:pPr>
        <w:rPr>
          <w:rFonts w:eastAsia="Times New Roman" w:cs="Arial"/>
          <w:bCs/>
          <w:i/>
          <w:sz w:val="20"/>
          <w:szCs w:val="20"/>
          <w:lang w:eastAsia="en-AU"/>
        </w:rPr>
      </w:pPr>
      <w:r w:rsidRPr="001B5D3A">
        <w:rPr>
          <w:rFonts w:eastAsia="Times New Roman" w:cs="Arial"/>
          <w:bCs/>
          <w:i/>
          <w:sz w:val="20"/>
          <w:szCs w:val="20"/>
          <w:lang w:eastAsia="en-AU"/>
        </w:rPr>
        <w:lastRenderedPageBreak/>
        <w:t xml:space="preserve">Figure </w:t>
      </w:r>
      <w:r w:rsidRPr="001B5D3A">
        <w:rPr>
          <w:rFonts w:eastAsia="Times New Roman" w:cs="Arial"/>
          <w:bCs/>
          <w:i/>
          <w:sz w:val="20"/>
          <w:szCs w:val="20"/>
          <w:lang w:eastAsia="en-AU"/>
        </w:rPr>
        <w:fldChar w:fldCharType="begin"/>
      </w:r>
      <w:r w:rsidRPr="001B5D3A">
        <w:rPr>
          <w:rFonts w:eastAsia="Times New Roman" w:cs="Arial"/>
          <w:bCs/>
          <w:i/>
          <w:sz w:val="20"/>
          <w:szCs w:val="20"/>
          <w:lang w:eastAsia="en-AU"/>
        </w:rPr>
        <w:instrText xml:space="preserve"> SEQ Figure \* ARABIC </w:instrText>
      </w:r>
      <w:r w:rsidRPr="001B5D3A">
        <w:rPr>
          <w:rFonts w:eastAsia="Times New Roman" w:cs="Arial"/>
          <w:bCs/>
          <w:i/>
          <w:sz w:val="20"/>
          <w:szCs w:val="20"/>
          <w:lang w:eastAsia="en-AU"/>
        </w:rPr>
        <w:fldChar w:fldCharType="separate"/>
      </w:r>
      <w:r>
        <w:rPr>
          <w:rFonts w:eastAsia="Times New Roman" w:cs="Arial"/>
          <w:bCs/>
          <w:i/>
          <w:noProof/>
          <w:sz w:val="20"/>
          <w:szCs w:val="20"/>
          <w:lang w:eastAsia="en-AU"/>
        </w:rPr>
        <w:t>1</w:t>
      </w:r>
      <w:r w:rsidRPr="001B5D3A">
        <w:rPr>
          <w:rFonts w:eastAsia="Times New Roman" w:cs="Arial"/>
          <w:bCs/>
          <w:i/>
          <w:noProof/>
          <w:sz w:val="20"/>
          <w:szCs w:val="20"/>
          <w:lang w:eastAsia="en-AU"/>
        </w:rPr>
        <w:fldChar w:fldCharType="end"/>
      </w:r>
      <w:r w:rsidR="00AA7153">
        <w:rPr>
          <w:rFonts w:eastAsia="Times New Roman" w:cs="Arial"/>
          <w:bCs/>
          <w:i/>
          <w:sz w:val="20"/>
          <w:szCs w:val="20"/>
          <w:lang w:eastAsia="en-AU"/>
        </w:rPr>
        <w:t>—</w:t>
      </w:r>
      <w:proofErr w:type="gramStart"/>
      <w:r w:rsidRPr="001B5D3A">
        <w:rPr>
          <w:rFonts w:eastAsia="Times New Roman" w:cs="Arial"/>
          <w:bCs/>
          <w:i/>
          <w:sz w:val="20"/>
          <w:szCs w:val="20"/>
          <w:lang w:eastAsia="en-AU"/>
        </w:rPr>
        <w:t>The</w:t>
      </w:r>
      <w:proofErr w:type="gramEnd"/>
      <w:r w:rsidRPr="001B5D3A">
        <w:rPr>
          <w:rFonts w:eastAsia="Times New Roman" w:cs="Arial"/>
          <w:bCs/>
          <w:i/>
          <w:sz w:val="20"/>
          <w:szCs w:val="20"/>
          <w:lang w:eastAsia="en-AU"/>
        </w:rPr>
        <w:t xml:space="preserve"> extent to which respondents found the model achieved the draft principles</w:t>
      </w:r>
      <w:r w:rsidRPr="00D60CF8">
        <w:rPr>
          <w:rStyle w:val="FootnoteReference"/>
          <w:rFonts w:eastAsia="Cambria" w:cs="Arial"/>
          <w:vanish/>
          <w:szCs w:val="24"/>
        </w:rPr>
        <w:footnoteReference w:id="6"/>
      </w:r>
    </w:p>
    <w:p w14:paraId="4448D590" w14:textId="45912CB8" w:rsidR="001A20CD" w:rsidRPr="000713CD" w:rsidRDefault="004C5F5C" w:rsidP="000713CD">
      <w:pPr>
        <w:pStyle w:val="Heading2"/>
      </w:pPr>
      <w:bookmarkStart w:id="19" w:name="_Toc433906577"/>
      <w:r>
        <w:t>Ethical c</w:t>
      </w:r>
      <w:r w:rsidR="001A20CD" w:rsidRPr="000713CD">
        <w:t>onsiderations</w:t>
      </w:r>
      <w:bookmarkEnd w:id="19"/>
    </w:p>
    <w:p w14:paraId="3935DF69" w14:textId="77777777" w:rsidR="001A20CD" w:rsidRPr="000713CD" w:rsidRDefault="001A20CD" w:rsidP="000713CD">
      <w:pPr>
        <w:pStyle w:val="Heading3"/>
      </w:pPr>
      <w:r w:rsidRPr="000713CD">
        <w:t>Provenance</w:t>
      </w:r>
    </w:p>
    <w:p w14:paraId="3D76CC79" w14:textId="77777777" w:rsidR="00AA7153" w:rsidRDefault="001A20CD" w:rsidP="001A20CD">
      <w:pPr>
        <w:rPr>
          <w:rFonts w:eastAsia="Cambria" w:cs="Arial"/>
          <w:szCs w:val="24"/>
        </w:rPr>
      </w:pPr>
      <w:r w:rsidRPr="00E70C45">
        <w:rPr>
          <w:rFonts w:eastAsia="Cambria" w:cs="Arial"/>
          <w:szCs w:val="24"/>
        </w:rPr>
        <w:t xml:space="preserve">It has become very clear from recent repatriations and the publication of the new edition of the Australian Government’s </w:t>
      </w:r>
      <w:r w:rsidRPr="00E70C45">
        <w:rPr>
          <w:rFonts w:eastAsia="Cambria" w:cs="Arial"/>
          <w:i/>
          <w:szCs w:val="24"/>
        </w:rPr>
        <w:t>Australian Best Practice Guide to Collecting Cultural Material</w:t>
      </w:r>
      <w:r w:rsidRPr="00E70C45">
        <w:rPr>
          <w:rFonts w:eastAsia="Cambria" w:cs="Arial"/>
          <w:szCs w:val="24"/>
        </w:rPr>
        <w:t>, that the Australian collecting community is already expected to maintain extremely high standards of provenance research before acquiring foreign cultural property. The ethical principles underlying this obligation are irrefutable but the question remains how those principles are to be best translated into legal obligations.</w:t>
      </w:r>
    </w:p>
    <w:p w14:paraId="369CC0CB" w14:textId="189B8614" w:rsidR="00AA7153" w:rsidRDefault="001A20CD" w:rsidP="001A20CD">
      <w:pPr>
        <w:rPr>
          <w:rFonts w:eastAsia="Cambria" w:cs="Arial"/>
          <w:szCs w:val="24"/>
        </w:rPr>
      </w:pPr>
      <w:r w:rsidRPr="00E70C45">
        <w:rPr>
          <w:rFonts w:eastAsia="Cambria" w:cs="Arial"/>
          <w:szCs w:val="24"/>
        </w:rPr>
        <w:t>It is arguable that implementation of these high standards is a matter of thorough provenance checking</w:t>
      </w:r>
      <w:r w:rsidR="00801A32">
        <w:rPr>
          <w:rFonts w:eastAsia="Cambria" w:cs="Arial"/>
          <w:szCs w:val="24"/>
        </w:rPr>
        <w:t>—</w:t>
      </w:r>
      <w:r w:rsidRPr="00E70C45">
        <w:rPr>
          <w:rFonts w:eastAsia="Cambria" w:cs="Arial"/>
          <w:szCs w:val="24"/>
        </w:rPr>
        <w:t>and it is. But it is also more than that. The provenance of non-contemporary material is often incomplete</w:t>
      </w:r>
      <w:r w:rsidR="00B82479">
        <w:rPr>
          <w:rFonts w:eastAsia="Cambria" w:cs="Arial"/>
          <w:szCs w:val="24"/>
        </w:rPr>
        <w:t>,</w:t>
      </w:r>
      <w:r w:rsidRPr="00E70C45">
        <w:rPr>
          <w:rFonts w:eastAsia="Cambria" w:cs="Arial"/>
          <w:szCs w:val="24"/>
        </w:rPr>
        <w:t xml:space="preserve"> notwithstanding that the various dealings that make up its provenance have been perfectly legal and ethical.</w:t>
      </w:r>
    </w:p>
    <w:p w14:paraId="5AE5BB5C" w14:textId="62AF268E" w:rsidR="001A20CD" w:rsidRPr="00E70C45" w:rsidRDefault="001A20CD" w:rsidP="001A20CD">
      <w:pPr>
        <w:rPr>
          <w:rFonts w:eastAsia="Cambria" w:cs="Arial"/>
          <w:szCs w:val="24"/>
        </w:rPr>
      </w:pPr>
      <w:r w:rsidRPr="00E70C45">
        <w:rPr>
          <w:rFonts w:eastAsia="Cambria" w:cs="Arial"/>
          <w:szCs w:val="24"/>
        </w:rPr>
        <w:t>Most acquisitions of non-contemporary material are dependent on a balancing of risks</w:t>
      </w:r>
      <w:r w:rsidR="00801A32">
        <w:rPr>
          <w:rFonts w:eastAsia="Cambria" w:cs="Arial"/>
          <w:szCs w:val="24"/>
        </w:rPr>
        <w:t>—</w:t>
      </w:r>
      <w:r w:rsidRPr="00E70C45">
        <w:rPr>
          <w:rFonts w:eastAsia="Cambria" w:cs="Arial"/>
          <w:szCs w:val="24"/>
        </w:rPr>
        <w:t>a balancing that has to take into account many factors, not the least of which is the ethical propriety of the circumstances surrounding the acquisition. It is no longer appropriate to take a purely legalistic or aesthetic view of acquisition: the ethics of the acquisition are now as important as any other factor in the decision.</w:t>
      </w:r>
    </w:p>
    <w:p w14:paraId="3A51AD9C" w14:textId="2A54714E" w:rsidR="001A20CD" w:rsidRPr="00E70C45" w:rsidRDefault="001A20CD" w:rsidP="001A20CD">
      <w:pPr>
        <w:rPr>
          <w:rFonts w:eastAsia="Cambria" w:cs="Arial"/>
          <w:szCs w:val="24"/>
        </w:rPr>
      </w:pPr>
      <w:r w:rsidRPr="00E70C45">
        <w:rPr>
          <w:rFonts w:eastAsia="Cambria" w:cs="Arial"/>
          <w:szCs w:val="24"/>
        </w:rPr>
        <w:t>It is undoubted that Australia should be committed to the fight against the illicit trade in antiquities. However, it is clear from discussions with the directors o</w:t>
      </w:r>
      <w:r w:rsidR="004C5F5C">
        <w:rPr>
          <w:rFonts w:eastAsia="Cambria" w:cs="Arial"/>
          <w:szCs w:val="24"/>
        </w:rPr>
        <w:t>f a number of Commonwealth and s</w:t>
      </w:r>
      <w:r w:rsidRPr="00E70C45">
        <w:rPr>
          <w:rFonts w:eastAsia="Cambria" w:cs="Arial"/>
          <w:szCs w:val="24"/>
        </w:rPr>
        <w:t xml:space="preserve">tate collecting institutions that the burden imposed by the current legislation, while decent in intention, has had the unintended effect of placing an almost impossible burden on those wishing legally to acquire foreign antiquities. Under the current legislation, even where the provenance of an object is relatively clear, the prospective buyer is required to familiarise themselves with cultural property legislation in foreign jurisdictions stretching back, in some cases, more than a century. This legislation (or the fact of its existence) may or may not be publically available and is often not in an official translation. Overlaid with the shifting of borders throughout the twentieth century, it can be near impossible to determine in which legal jurisdiction the </w:t>
      </w:r>
      <w:r w:rsidRPr="00E70C45">
        <w:rPr>
          <w:rFonts w:eastAsia="Cambria" w:cs="Arial"/>
          <w:szCs w:val="24"/>
        </w:rPr>
        <w:lastRenderedPageBreak/>
        <w:t>object originated, which laws applied, whether and how an object was protected and how that law was actually applied.</w:t>
      </w:r>
    </w:p>
    <w:p w14:paraId="424DAD42" w14:textId="6D124108" w:rsidR="00AA7153" w:rsidRDefault="001A20CD" w:rsidP="001A20CD">
      <w:pPr>
        <w:rPr>
          <w:rFonts w:eastAsia="Cambria" w:cs="Arial"/>
          <w:szCs w:val="24"/>
        </w:rPr>
      </w:pPr>
      <w:r w:rsidRPr="00E70C45">
        <w:rPr>
          <w:rFonts w:eastAsia="Cambria" w:cs="Arial"/>
          <w:szCs w:val="24"/>
        </w:rPr>
        <w:t>One might respond to that by saying that Australian collecting institutions should simply no longer collect such material</w:t>
      </w:r>
      <w:r w:rsidR="00AA7153">
        <w:rPr>
          <w:rFonts w:eastAsia="Cambria" w:cs="Arial"/>
          <w:szCs w:val="24"/>
        </w:rPr>
        <w:t>—</w:t>
      </w:r>
      <w:r w:rsidRPr="00E70C45">
        <w:rPr>
          <w:rFonts w:eastAsia="Cambria" w:cs="Arial"/>
          <w:szCs w:val="24"/>
        </w:rPr>
        <w:t>but that is a very blunt knife. Australian institutions may need to take a more proactive approach to collaboration with foreign governments to ensure representation of diverse cultures in Australia. This is a step beyond merely seeking to confirm the legitimacy of provenance and export documentation with authorities in the source country.</w:t>
      </w:r>
    </w:p>
    <w:p w14:paraId="023DD493" w14:textId="369D0ECD" w:rsidR="001A20CD" w:rsidRPr="00E70C45" w:rsidRDefault="001A20CD" w:rsidP="001A20CD">
      <w:pPr>
        <w:rPr>
          <w:rFonts w:eastAsia="Cambria" w:cs="Arial"/>
          <w:szCs w:val="24"/>
        </w:rPr>
      </w:pPr>
      <w:r w:rsidRPr="00E70C45">
        <w:rPr>
          <w:rFonts w:eastAsia="Cambria" w:cs="Arial"/>
          <w:szCs w:val="24"/>
        </w:rPr>
        <w:t>For example, where well-</w:t>
      </w:r>
      <w:proofErr w:type="spellStart"/>
      <w:r w:rsidRPr="00E70C45">
        <w:rPr>
          <w:rFonts w:eastAsia="Cambria" w:cs="Arial"/>
          <w:szCs w:val="24"/>
        </w:rPr>
        <w:t>provenanced</w:t>
      </w:r>
      <w:proofErr w:type="spellEnd"/>
      <w:r w:rsidRPr="00E70C45">
        <w:rPr>
          <w:rFonts w:eastAsia="Cambria" w:cs="Arial"/>
          <w:szCs w:val="24"/>
        </w:rPr>
        <w:t xml:space="preserve"> material is not available for acquisition, collecting institutions could seek to augment their exhibitions with long-term loans from foreign governments. These approaches would allow Australian audiences to access significant foreign cultural material, while respecting the sovereign rights of foreign states to regulate and protect their cultural property. The diplomatic advantages of such a course are obvious.</w:t>
      </w:r>
    </w:p>
    <w:p w14:paraId="1910C8EC" w14:textId="77777777" w:rsidR="001A20CD" w:rsidRPr="000713CD" w:rsidRDefault="001A20CD" w:rsidP="000713CD">
      <w:pPr>
        <w:pStyle w:val="Heading3"/>
      </w:pPr>
      <w:r w:rsidRPr="000713CD">
        <w:t>Transparency</w:t>
      </w:r>
    </w:p>
    <w:p w14:paraId="4BE81078" w14:textId="77777777" w:rsidR="00AA7153" w:rsidRDefault="001A20CD" w:rsidP="001A20CD">
      <w:pPr>
        <w:rPr>
          <w:rFonts w:eastAsia="Cambria" w:cs="Arial"/>
          <w:szCs w:val="24"/>
        </w:rPr>
      </w:pPr>
      <w:r w:rsidRPr="00E70C45">
        <w:rPr>
          <w:rFonts w:eastAsia="Cambria" w:cs="Arial"/>
          <w:szCs w:val="24"/>
        </w:rPr>
        <w:t>While the new model sees a time limitation placed on claims, it is important to acknowledge that all cultural material acquired since Australia’s ratification of the UNESCO Convention 1970 requires</w:t>
      </w:r>
      <w:r w:rsidR="008751C7">
        <w:rPr>
          <w:rFonts w:eastAsia="Cambria" w:cs="Arial"/>
          <w:szCs w:val="24"/>
        </w:rPr>
        <w:t>,</w:t>
      </w:r>
      <w:r w:rsidRPr="00E70C45">
        <w:rPr>
          <w:rFonts w:eastAsia="Cambria" w:cs="Arial"/>
          <w:szCs w:val="24"/>
        </w:rPr>
        <w:t xml:space="preserve"> and would continue to require, a thorough provenance.</w:t>
      </w:r>
    </w:p>
    <w:p w14:paraId="68A10CE2" w14:textId="2B360113" w:rsidR="001A20CD" w:rsidRPr="00E70C45" w:rsidRDefault="001A20CD" w:rsidP="001A20CD">
      <w:pPr>
        <w:rPr>
          <w:rFonts w:eastAsia="Cambria" w:cs="Arial"/>
          <w:szCs w:val="24"/>
        </w:rPr>
      </w:pPr>
      <w:r w:rsidRPr="00E70C45">
        <w:rPr>
          <w:rFonts w:eastAsia="Cambria" w:cs="Arial"/>
          <w:szCs w:val="24"/>
        </w:rPr>
        <w:t>Public acceptance and understanding of the ethical position of Australian collecting institutions would be enhanced if institutions provided a reasonable level of information on the provenance of material acquired after 1987. Some may choose to adopt 1970</w:t>
      </w:r>
      <w:r w:rsidR="008F7F09">
        <w:rPr>
          <w:rFonts w:eastAsia="Cambria" w:cs="Arial"/>
          <w:szCs w:val="24"/>
        </w:rPr>
        <w:t xml:space="preserve"> or 1972</w:t>
      </w:r>
      <w:r w:rsidRPr="00E70C45">
        <w:rPr>
          <w:rFonts w:eastAsia="Cambria" w:cs="Arial"/>
          <w:szCs w:val="24"/>
        </w:rPr>
        <w:t xml:space="preserve"> as the relevant date, but given the size of the task, adopting the 1987 date (when the current Act commenced) would be a very good place to start</w:t>
      </w:r>
      <w:r w:rsidR="00AA7153">
        <w:rPr>
          <w:rFonts w:eastAsia="Cambria" w:cs="Arial"/>
          <w:szCs w:val="24"/>
        </w:rPr>
        <w:t>—</w:t>
      </w:r>
      <w:r w:rsidRPr="00E70C45">
        <w:rPr>
          <w:rFonts w:eastAsia="Cambria" w:cs="Arial"/>
          <w:szCs w:val="24"/>
        </w:rPr>
        <w:t>and when they have done [2015</w:t>
      </w:r>
      <w:r w:rsidR="00AA7153">
        <w:rPr>
          <w:rFonts w:eastAsia="Cambria" w:cs="Arial"/>
          <w:szCs w:val="24"/>
        </w:rPr>
        <w:t>–</w:t>
      </w:r>
      <w:r w:rsidRPr="00E70C45">
        <w:rPr>
          <w:rFonts w:eastAsia="Cambria" w:cs="Arial"/>
          <w:szCs w:val="24"/>
        </w:rPr>
        <w:t>1987], then they can tackle [1986</w:t>
      </w:r>
      <w:r w:rsidR="00AA7153">
        <w:rPr>
          <w:rFonts w:eastAsia="Cambria" w:cs="Arial"/>
          <w:szCs w:val="24"/>
        </w:rPr>
        <w:t>–</w:t>
      </w:r>
      <w:r w:rsidRPr="00E70C45">
        <w:rPr>
          <w:rFonts w:eastAsia="Cambria" w:cs="Arial"/>
          <w:szCs w:val="24"/>
        </w:rPr>
        <w:t xml:space="preserve">1970] and so on. In this way, the problem is </w:t>
      </w:r>
      <w:r>
        <w:rPr>
          <w:rFonts w:eastAsia="Cambria" w:cs="Arial"/>
          <w:szCs w:val="24"/>
        </w:rPr>
        <w:t>undertaken</w:t>
      </w:r>
      <w:r w:rsidRPr="00E70C45">
        <w:rPr>
          <w:rFonts w:eastAsia="Cambria" w:cs="Arial"/>
          <w:szCs w:val="24"/>
        </w:rPr>
        <w:t xml:space="preserve"> in bite-sized tranches of work: one starts with what one </w:t>
      </w:r>
      <w:r w:rsidRPr="0013527D">
        <w:rPr>
          <w:rFonts w:eastAsia="Cambria" w:cs="Arial"/>
          <w:b/>
          <w:szCs w:val="24"/>
        </w:rPr>
        <w:t>must</w:t>
      </w:r>
      <w:r w:rsidRPr="00E70C45">
        <w:rPr>
          <w:rFonts w:eastAsia="Cambria" w:cs="Arial"/>
          <w:szCs w:val="24"/>
        </w:rPr>
        <w:t xml:space="preserve"> do and when that is done, move on to what one </w:t>
      </w:r>
      <w:r w:rsidRPr="0013527D">
        <w:rPr>
          <w:rFonts w:eastAsia="Cambria" w:cs="Arial"/>
          <w:b/>
          <w:szCs w:val="24"/>
        </w:rPr>
        <w:t>should</w:t>
      </w:r>
      <w:r w:rsidRPr="00E70C45">
        <w:rPr>
          <w:rFonts w:eastAsia="Cambria" w:cs="Arial"/>
          <w:szCs w:val="24"/>
        </w:rPr>
        <w:t xml:space="preserve"> do.</w:t>
      </w:r>
    </w:p>
    <w:p w14:paraId="05783177" w14:textId="1C2469E9" w:rsidR="001A20CD" w:rsidRPr="00E70C45" w:rsidRDefault="001A20CD" w:rsidP="001A20CD">
      <w:pPr>
        <w:rPr>
          <w:rFonts w:eastAsia="Cambria" w:cs="Arial"/>
          <w:szCs w:val="24"/>
        </w:rPr>
      </w:pPr>
      <w:r w:rsidRPr="00E70C45">
        <w:rPr>
          <w:rFonts w:eastAsia="Cambria" w:cs="Arial"/>
          <w:szCs w:val="24"/>
        </w:rPr>
        <w:t>Transparency as to provenance does not require that confidential information be disclosed</w:t>
      </w:r>
      <w:r w:rsidR="00801A32">
        <w:rPr>
          <w:rFonts w:eastAsia="Cambria" w:cs="Arial"/>
          <w:szCs w:val="24"/>
        </w:rPr>
        <w:t>—</w:t>
      </w:r>
      <w:r w:rsidRPr="00E70C45">
        <w:rPr>
          <w:rFonts w:eastAsia="Cambria" w:cs="Arial"/>
          <w:szCs w:val="24"/>
        </w:rPr>
        <w:t xml:space="preserve">however the tag ‘commercial in confidence’ must not be used as a shield for conduct that is criminal or unethical. The experience of collecting institutions which have adopted a transparent acquisition model indicates that there will be no floodgate </w:t>
      </w:r>
      <w:r w:rsidRPr="00E70C45">
        <w:rPr>
          <w:rFonts w:eastAsia="Cambria" w:cs="Arial"/>
          <w:szCs w:val="24"/>
        </w:rPr>
        <w:lastRenderedPageBreak/>
        <w:t>of claims. The result can be quite different</w:t>
      </w:r>
      <w:r w:rsidR="00801A32">
        <w:rPr>
          <w:rFonts w:eastAsia="Cambria" w:cs="Arial"/>
          <w:szCs w:val="24"/>
        </w:rPr>
        <w:t>—</w:t>
      </w:r>
      <w:r w:rsidRPr="00E70C45">
        <w:rPr>
          <w:rFonts w:eastAsia="Cambria" w:cs="Arial"/>
          <w:szCs w:val="24"/>
        </w:rPr>
        <w:t>material can come to light that actually strengthens the provenance of the object. Occasionally, an adverse claim might arise and if it does, that is as it should be: it can be tested and dealt with</w:t>
      </w:r>
      <w:r w:rsidR="00801A32">
        <w:rPr>
          <w:rFonts w:eastAsia="Cambria" w:cs="Arial"/>
          <w:szCs w:val="24"/>
        </w:rPr>
        <w:t>—</w:t>
      </w:r>
      <w:r w:rsidRPr="00E70C45">
        <w:rPr>
          <w:rFonts w:eastAsia="Cambria" w:cs="Arial"/>
          <w:szCs w:val="24"/>
        </w:rPr>
        <w:t>and the suggested procedures would provide an appropriate methodology and forum for that.</w:t>
      </w:r>
    </w:p>
    <w:p w14:paraId="6F0E6344" w14:textId="77777777" w:rsidR="001A20CD" w:rsidRPr="000713CD" w:rsidRDefault="001A20CD" w:rsidP="000713CD">
      <w:pPr>
        <w:pStyle w:val="Heading3"/>
      </w:pPr>
      <w:r w:rsidRPr="000713CD">
        <w:t>Leadership</w:t>
      </w:r>
    </w:p>
    <w:p w14:paraId="16031B05" w14:textId="74C517A3" w:rsidR="001A20CD" w:rsidRPr="00E70C45" w:rsidRDefault="001A20CD" w:rsidP="001A20CD">
      <w:pPr>
        <w:rPr>
          <w:rFonts w:eastAsia="Cambria" w:cs="Arial"/>
          <w:szCs w:val="24"/>
        </w:rPr>
      </w:pPr>
      <w:r w:rsidRPr="00E70C45">
        <w:rPr>
          <w:rFonts w:eastAsia="Cambria" w:cs="Arial"/>
          <w:szCs w:val="24"/>
        </w:rPr>
        <w:t xml:space="preserve">The International Council of Museums (ICOM) </w:t>
      </w:r>
      <w:r w:rsidRPr="00E70C45">
        <w:rPr>
          <w:rFonts w:eastAsia="Cambria" w:cs="Arial"/>
          <w:i/>
          <w:szCs w:val="24"/>
        </w:rPr>
        <w:t>Code of Ethics for Museums</w:t>
      </w:r>
      <w:r w:rsidRPr="00E70C45">
        <w:rPr>
          <w:rFonts w:eastAsia="Cambria" w:cs="Arial"/>
          <w:szCs w:val="24"/>
        </w:rPr>
        <w:t xml:space="preserve">, the </w:t>
      </w:r>
      <w:r w:rsidRPr="00E70C45">
        <w:rPr>
          <w:rFonts w:eastAsia="Cambria" w:cs="Arial"/>
          <w:i/>
          <w:szCs w:val="24"/>
        </w:rPr>
        <w:t>Australian Best Practice Guide to Collecting Cultural Material</w:t>
      </w:r>
      <w:r w:rsidRPr="00E70C45">
        <w:rPr>
          <w:rFonts w:eastAsia="Cambria" w:cs="Arial"/>
          <w:szCs w:val="24"/>
        </w:rPr>
        <w:t xml:space="preserve"> and several other specific sector codes of practice</w:t>
      </w:r>
      <w:r w:rsidR="008105F7">
        <w:rPr>
          <w:rFonts w:eastAsia="Cambria" w:cs="Arial"/>
          <w:szCs w:val="24"/>
        </w:rPr>
        <w:t>,</w:t>
      </w:r>
      <w:r w:rsidRPr="00E70C45">
        <w:rPr>
          <w:rFonts w:eastAsia="Cambria" w:cs="Arial"/>
          <w:szCs w:val="24"/>
          <w:vertAlign w:val="superscript"/>
        </w:rPr>
        <w:footnoteReference w:id="7"/>
      </w:r>
      <w:r w:rsidRPr="00E70C45">
        <w:rPr>
          <w:rFonts w:eastAsia="Cambria" w:cs="Arial"/>
          <w:szCs w:val="24"/>
        </w:rPr>
        <w:t xml:space="preserve"> make it clear that collecting institutions have an ethical responsibility to conduct diligent provenance research. It is not merely a ‘box-ticking’ procedure.</w:t>
      </w:r>
    </w:p>
    <w:p w14:paraId="10305746" w14:textId="0DD7BFC0" w:rsidR="001A20CD" w:rsidRPr="0013527D" w:rsidRDefault="001A20CD" w:rsidP="001A20CD">
      <w:pPr>
        <w:rPr>
          <w:rFonts w:eastAsia="Cambria" w:cs="Arial"/>
          <w:szCs w:val="24"/>
        </w:rPr>
      </w:pPr>
      <w:r>
        <w:rPr>
          <w:rFonts w:eastAsia="Cambria" w:cs="Arial"/>
          <w:szCs w:val="24"/>
        </w:rPr>
        <w:t>In some areas, our premier institutions have already shown ethical leadership.</w:t>
      </w:r>
      <w:r w:rsidR="00801A32">
        <w:rPr>
          <w:rFonts w:eastAsia="Cambria" w:cs="Arial"/>
          <w:szCs w:val="24"/>
        </w:rPr>
        <w:t xml:space="preserve"> </w:t>
      </w:r>
      <w:r>
        <w:rPr>
          <w:rFonts w:eastAsia="Cambria" w:cs="Arial"/>
          <w:szCs w:val="24"/>
        </w:rPr>
        <w:t>For example where material is suspected of being Nazi spoliated (thus outside of the ambit of the current Act), Australian institutions abide by the Washington Principles, an internationally agreed (but not legal) framework for the settlement of such claims.</w:t>
      </w:r>
      <w:r w:rsidR="00801A32">
        <w:rPr>
          <w:rFonts w:eastAsia="Cambria" w:cs="Arial"/>
          <w:szCs w:val="24"/>
        </w:rPr>
        <w:t xml:space="preserve"> </w:t>
      </w:r>
      <w:r>
        <w:rPr>
          <w:rFonts w:eastAsia="Cambria" w:cs="Arial"/>
          <w:szCs w:val="24"/>
        </w:rPr>
        <w:t>Institutions are transparent as to the provenance of work in their collections suspected of being in Europe during the 1930s and 1940s. Indeed the National Gallery of Victoria negotiated the voluntary return of such a work acting with goodwill and transparency, without the need for intervention</w:t>
      </w:r>
      <w:r w:rsidR="00332261">
        <w:rPr>
          <w:rFonts w:eastAsia="Cambria" w:cs="Arial"/>
          <w:szCs w:val="24"/>
        </w:rPr>
        <w:t xml:space="preserve"> by governments or legislation.</w:t>
      </w:r>
    </w:p>
    <w:p w14:paraId="2990E4B5" w14:textId="62375C88" w:rsidR="001A20CD" w:rsidRDefault="001A20CD" w:rsidP="001A20CD">
      <w:pPr>
        <w:rPr>
          <w:rFonts w:eastAsia="Cambria" w:cs="Arial"/>
          <w:szCs w:val="24"/>
        </w:rPr>
      </w:pPr>
      <w:r>
        <w:rPr>
          <w:rFonts w:eastAsia="Cambria" w:cs="Arial"/>
          <w:szCs w:val="24"/>
        </w:rPr>
        <w:t>That said, i</w:t>
      </w:r>
      <w:r w:rsidRPr="00E70C45">
        <w:rPr>
          <w:rFonts w:eastAsia="Cambria" w:cs="Arial"/>
          <w:szCs w:val="24"/>
        </w:rPr>
        <w:t>t is important that Australian public institutions take a leadership role regarding some of the broader ethical concerns relating to the collection of cultural material</w:t>
      </w:r>
      <w:r w:rsidR="00801A32">
        <w:rPr>
          <w:rFonts w:eastAsia="Cambria" w:cs="Arial"/>
          <w:szCs w:val="24"/>
        </w:rPr>
        <w:t>—</w:t>
      </w:r>
      <w:r w:rsidRPr="00E70C45">
        <w:rPr>
          <w:rFonts w:eastAsia="Cambria" w:cs="Arial"/>
          <w:szCs w:val="24"/>
        </w:rPr>
        <w:t>in particular material from Asia and the Pacific.</w:t>
      </w:r>
      <w:r w:rsidRPr="00E70C45">
        <w:rPr>
          <w:rFonts w:eastAsia="Cambria" w:cs="Arial"/>
          <w:szCs w:val="24"/>
          <w:vertAlign w:val="superscript"/>
        </w:rPr>
        <w:footnoteReference w:id="8"/>
      </w:r>
      <w:r w:rsidRPr="00E70C45">
        <w:rPr>
          <w:rFonts w:eastAsia="Cambria" w:cs="Arial"/>
          <w:szCs w:val="24"/>
        </w:rPr>
        <w:t xml:space="preserve"> </w:t>
      </w:r>
      <w:r>
        <w:rPr>
          <w:rFonts w:eastAsia="Cambria" w:cs="Arial"/>
          <w:szCs w:val="24"/>
        </w:rPr>
        <w:t>Since the untimely demise of the Collections Council of Australia, the collections sector has lacked a resourced and over-arching body to support sector-wide initiatives of this kind.</w:t>
      </w:r>
    </w:p>
    <w:p w14:paraId="67EA6E5D" w14:textId="77777777" w:rsidR="00AA7153" w:rsidRDefault="001A20CD" w:rsidP="001A20CD">
      <w:pPr>
        <w:rPr>
          <w:rFonts w:eastAsia="Cambria" w:cs="Arial"/>
          <w:szCs w:val="24"/>
        </w:rPr>
      </w:pPr>
      <w:r>
        <w:rPr>
          <w:rFonts w:eastAsia="Cambria" w:cs="Arial"/>
          <w:szCs w:val="24"/>
        </w:rPr>
        <w:t xml:space="preserve"> </w:t>
      </w:r>
      <w:r w:rsidRPr="00E70C45">
        <w:rPr>
          <w:rFonts w:eastAsia="Cambria" w:cs="Arial"/>
          <w:szCs w:val="24"/>
        </w:rPr>
        <w:t>A legal framework can be designed in any number of ways but it is only a tool: ethical leadership is essential.</w:t>
      </w:r>
    </w:p>
    <w:p w14:paraId="2C46994F" w14:textId="20CCB28C" w:rsidR="001A20CD" w:rsidRDefault="001A20CD">
      <w:pPr>
        <w:spacing w:line="276" w:lineRule="auto"/>
        <w:rPr>
          <w:rFonts w:asciiTheme="majorHAnsi" w:eastAsiaTheme="majorEastAsia" w:hAnsiTheme="majorHAnsi" w:cstheme="majorBidi"/>
          <w:b/>
          <w:bCs/>
          <w:color w:val="275C75"/>
          <w:sz w:val="28"/>
          <w:szCs w:val="28"/>
        </w:rPr>
      </w:pPr>
      <w:r>
        <w:br w:type="page"/>
      </w:r>
    </w:p>
    <w:p w14:paraId="2FA0B00B" w14:textId="77777777" w:rsidR="00AA7153" w:rsidRDefault="001A20CD" w:rsidP="001A20CD">
      <w:pPr>
        <w:pStyle w:val="Heading1"/>
      </w:pPr>
      <w:bookmarkStart w:id="20" w:name="_Toc433906578"/>
      <w:r w:rsidRPr="00E70C45">
        <w:lastRenderedPageBreak/>
        <w:t>Part B: Protection of Australian cultural material</w:t>
      </w:r>
      <w:bookmarkEnd w:id="0"/>
      <w:bookmarkEnd w:id="20"/>
    </w:p>
    <w:p w14:paraId="07323221" w14:textId="68F8E61C" w:rsidR="001A20CD" w:rsidRDefault="001A20CD" w:rsidP="00052178">
      <w:pPr>
        <w:pStyle w:val="Heading2"/>
      </w:pPr>
      <w:bookmarkStart w:id="21" w:name="_Toc430867338"/>
      <w:bookmarkStart w:id="22" w:name="_Toc433906579"/>
      <w:r w:rsidRPr="00E70C45">
        <w:t>Title of the Act</w:t>
      </w:r>
      <w:bookmarkEnd w:id="21"/>
      <w:bookmarkEnd w:id="22"/>
    </w:p>
    <w:p w14:paraId="2BB9BE62" w14:textId="77777777" w:rsidR="001A20CD" w:rsidRPr="000713CD" w:rsidRDefault="001A20CD" w:rsidP="000713CD">
      <w:pPr>
        <w:pStyle w:val="Heading3"/>
      </w:pPr>
      <w:r w:rsidRPr="000713CD">
        <w:t>Protection</w:t>
      </w:r>
    </w:p>
    <w:p w14:paraId="0FC97764" w14:textId="09532566" w:rsidR="001A20CD" w:rsidRPr="00E70C45" w:rsidRDefault="001A20CD" w:rsidP="001A20CD">
      <w:pPr>
        <w:rPr>
          <w:rFonts w:eastAsia="Cambria" w:cs="Times New Roman"/>
        </w:rPr>
      </w:pPr>
      <w:r w:rsidRPr="00E70C45">
        <w:rPr>
          <w:rFonts w:eastAsia="Cambria" w:cs="Times New Roman"/>
        </w:rPr>
        <w:t>During consultation several people expressed a frustration that, despite its name, the Act did not really protect cultural material</w:t>
      </w:r>
      <w:r w:rsidR="00801A32">
        <w:rPr>
          <w:rFonts w:eastAsia="Cambria" w:cs="Times New Roman"/>
        </w:rPr>
        <w:t>—</w:t>
      </w:r>
      <w:r w:rsidRPr="00E70C45">
        <w:rPr>
          <w:rFonts w:eastAsia="Cambria" w:cs="Times New Roman"/>
        </w:rPr>
        <w:t xml:space="preserve">it doesn’t stop people neglecting or destroying it; it doesn’t assist owners to care for it; it doesn’t compensate those who are not allowed to export it for sale. Some submissions suggested that the name of the Act should be the </w:t>
      </w:r>
      <w:r w:rsidRPr="008105F7">
        <w:rPr>
          <w:rFonts w:eastAsia="Cambria" w:cs="Times New Roman"/>
          <w:i/>
        </w:rPr>
        <w:t>Export and Import of Cultural Material Act</w:t>
      </w:r>
      <w:r w:rsidRPr="00E70C45">
        <w:rPr>
          <w:rFonts w:eastAsia="Cambria" w:cs="Times New Roman"/>
        </w:rPr>
        <w:t xml:space="preserve"> and that this would clarify people’s expectations. Indeed, largely, it is true that the Act is principally about import and export. </w:t>
      </w:r>
      <w:r>
        <w:rPr>
          <w:rFonts w:eastAsia="Cambria" w:cs="Times New Roman"/>
        </w:rPr>
        <w:t>F</w:t>
      </w:r>
      <w:r w:rsidRPr="00E70C45">
        <w:rPr>
          <w:rFonts w:eastAsia="Cambria" w:cs="Times New Roman"/>
        </w:rPr>
        <w:t>or the most part, the protection of cultural material within Australia is a matter for the states and territories. For the Commonwealth, the limitation of constitutional powers requires focus on the borders, the implementation of international treaty obligations and trade and commerce.</w:t>
      </w:r>
    </w:p>
    <w:p w14:paraId="68BC4C15" w14:textId="2981A82F" w:rsidR="00AA7153" w:rsidRDefault="001A20CD" w:rsidP="001A20CD">
      <w:pPr>
        <w:rPr>
          <w:rFonts w:eastAsia="Cambria" w:cs="Times New Roman"/>
        </w:rPr>
      </w:pPr>
      <w:r w:rsidRPr="00E70C45">
        <w:rPr>
          <w:rFonts w:eastAsia="Cambria" w:cs="Times New Roman"/>
        </w:rPr>
        <w:t>Accordingly, the Act seeks to protect Australian cultural material in a very specific sense</w:t>
      </w:r>
      <w:r w:rsidR="00801A32">
        <w:rPr>
          <w:rFonts w:eastAsia="Cambria" w:cs="Times New Roman"/>
        </w:rPr>
        <w:t>—</w:t>
      </w:r>
      <w:r w:rsidRPr="00E70C45">
        <w:rPr>
          <w:rFonts w:eastAsia="Cambria" w:cs="Times New Roman"/>
        </w:rPr>
        <w:t xml:space="preserve">the protection of the object from unregulated export, thereby preserving it for future generations of Australians. In the Second Reading Speech to the current Act, the then Minister noted that, in framing the legislation, the Commonwealth’s intention was </w:t>
      </w:r>
      <w:r w:rsidR="00CA294D">
        <w:rPr>
          <w:rFonts w:eastAsia="Cambria" w:cs="Times New Roman"/>
        </w:rPr>
        <w:t>not to</w:t>
      </w:r>
      <w:r w:rsidRPr="00E70C45">
        <w:rPr>
          <w:rFonts w:eastAsia="Cambria" w:cs="Times New Roman"/>
        </w:rPr>
        <w:t xml:space="preserve"> replace or subsume arrangements already made by other levels of government. It is appropriate for the Commonwealth to </w:t>
      </w:r>
      <w:r>
        <w:rPr>
          <w:rFonts w:eastAsia="Cambria" w:cs="Times New Roman"/>
        </w:rPr>
        <w:t>regulate the</w:t>
      </w:r>
      <w:r w:rsidRPr="00E70C45">
        <w:rPr>
          <w:rFonts w:eastAsia="Cambria" w:cs="Times New Roman"/>
        </w:rPr>
        <w:t xml:space="preserve"> export and import of impo</w:t>
      </w:r>
      <w:r w:rsidR="00CA294D">
        <w:rPr>
          <w:rFonts w:eastAsia="Cambria" w:cs="Times New Roman"/>
        </w:rPr>
        <w:t>rtant cultural material and for</w:t>
      </w:r>
      <w:r w:rsidRPr="00E70C45">
        <w:rPr>
          <w:rFonts w:eastAsia="Cambria" w:cs="Times New Roman"/>
        </w:rPr>
        <w:t xml:space="preserve"> each state and territory </w:t>
      </w:r>
      <w:r w:rsidR="00CA294D">
        <w:rPr>
          <w:rFonts w:eastAsia="Cambria" w:cs="Times New Roman"/>
        </w:rPr>
        <w:t xml:space="preserve">to </w:t>
      </w:r>
      <w:r w:rsidRPr="00E70C45">
        <w:rPr>
          <w:rFonts w:eastAsia="Cambria" w:cs="Times New Roman"/>
        </w:rPr>
        <w:t>retain responsibility for other types of protection for significant material within its own jurisdiction. It is the intention of this Review to propose the continuation of this approach</w:t>
      </w:r>
      <w:r w:rsidR="00AA7153">
        <w:rPr>
          <w:rFonts w:eastAsia="Cambria" w:cs="Times New Roman"/>
        </w:rPr>
        <w:t>—</w:t>
      </w:r>
      <w:r w:rsidRPr="00E70C45">
        <w:rPr>
          <w:rFonts w:eastAsia="Cambria" w:cs="Times New Roman"/>
        </w:rPr>
        <w:t>but with better integration with state-based protection regimes.</w:t>
      </w:r>
    </w:p>
    <w:p w14:paraId="7E00D2B1" w14:textId="428E50BD" w:rsidR="001A20CD" w:rsidRPr="000713CD" w:rsidRDefault="001A20CD" w:rsidP="000713CD">
      <w:pPr>
        <w:pStyle w:val="Heading3"/>
      </w:pPr>
      <w:r w:rsidRPr="000713CD">
        <w:t>Cultural–natural material</w:t>
      </w:r>
    </w:p>
    <w:p w14:paraId="009FBFB9" w14:textId="6AA333B5" w:rsidR="001A20CD" w:rsidRPr="00E70C45" w:rsidRDefault="001A20CD" w:rsidP="001A20CD">
      <w:pPr>
        <w:rPr>
          <w:rFonts w:eastAsia="Cambria" w:cs="Times New Roman"/>
        </w:rPr>
      </w:pPr>
      <w:r w:rsidRPr="00E70C45">
        <w:rPr>
          <w:rFonts w:eastAsia="Cambria" w:cs="Times New Roman"/>
        </w:rPr>
        <w:t xml:space="preserve">Given that ‘cultural’ objects might well be considered to refer to the products of human endeavour it is noteworthy that the Act also covers fossils, meteorites, gems, rocks, minerals and a range of other natural materials that may not immediately be apparent as ‘cultural’ material. During consultation, consideration was given to whether the title of the Act should be amended to ‘natural and cultural’ movable heritage. A very persuasive argument was made that natural objects </w:t>
      </w:r>
      <w:r w:rsidRPr="00E70C45">
        <w:rPr>
          <w:rFonts w:eastAsia="Cambria" w:cs="Times New Roman"/>
          <w:b/>
        </w:rPr>
        <w:t>do</w:t>
      </w:r>
      <w:r w:rsidRPr="00E70C45">
        <w:rPr>
          <w:rFonts w:eastAsia="Cambria" w:cs="Times New Roman"/>
        </w:rPr>
        <w:t xml:space="preserve"> form a core part of our social </w:t>
      </w:r>
      <w:r w:rsidRPr="00E70C45">
        <w:rPr>
          <w:rFonts w:eastAsia="Cambria" w:cs="Times New Roman"/>
        </w:rPr>
        <w:lastRenderedPageBreak/>
        <w:t>and cultural inheritance and thus no change was needed in relation to the title. In brief, any dichotomy between natural science material and cultural material is false. Natural science material without its relationship with humans is as meaningful as one hand clapping. The study of natural science material is fundamental to our understanding of who we are and where we live. It explores, describes and explains. That is why it is important that we regulate the trade in natural science material</w:t>
      </w:r>
      <w:r w:rsidR="00801A32">
        <w:rPr>
          <w:rFonts w:eastAsia="Cambria" w:cs="Times New Roman"/>
        </w:rPr>
        <w:t>—</w:t>
      </w:r>
      <w:r w:rsidRPr="00E70C45">
        <w:rPr>
          <w:rFonts w:eastAsia="Cambria" w:cs="Times New Roman"/>
        </w:rPr>
        <w:t>we need to be able to continue these endeavours towards a greater understanding</w:t>
      </w:r>
      <w:r w:rsidR="00CA294D">
        <w:rPr>
          <w:rFonts w:eastAsia="Cambria" w:cs="Times New Roman"/>
        </w:rPr>
        <w:t xml:space="preserve"> of</w:t>
      </w:r>
      <w:r w:rsidRPr="00E70C45">
        <w:rPr>
          <w:rFonts w:eastAsia="Cambria" w:cs="Times New Roman"/>
        </w:rPr>
        <w:t xml:space="preserve"> our surroundings and indeed, ourselves. It is in this context that the </w:t>
      </w:r>
      <w:r>
        <w:rPr>
          <w:rFonts w:eastAsia="Cambria" w:cs="Times New Roman"/>
        </w:rPr>
        <w:t>A</w:t>
      </w:r>
      <w:r w:rsidRPr="00E70C45">
        <w:rPr>
          <w:rFonts w:eastAsia="Cambria" w:cs="Times New Roman"/>
        </w:rPr>
        <w:t>ct refers to natural science objects and cultural material and this is why its export must be regulated.</w:t>
      </w:r>
    </w:p>
    <w:p w14:paraId="0B8AD395" w14:textId="249AF82C" w:rsidR="001A20CD" w:rsidRPr="00E70C45" w:rsidRDefault="001A20CD" w:rsidP="001A20CD">
      <w:pPr>
        <w:rPr>
          <w:rFonts w:eastAsia="Cambria" w:cs="Times New Roman"/>
        </w:rPr>
      </w:pPr>
      <w:r w:rsidRPr="00E70C45">
        <w:rPr>
          <w:rFonts w:eastAsia="Cambria" w:cs="Times New Roman"/>
        </w:rPr>
        <w:t>Accordingly, no change in the name of the Act is proposed</w:t>
      </w:r>
      <w:r w:rsidR="00CA294D">
        <w:rPr>
          <w:rFonts w:eastAsia="Cambria" w:cs="Times New Roman"/>
        </w:rPr>
        <w:t>,</w:t>
      </w:r>
      <w:r w:rsidRPr="00E70C45">
        <w:rPr>
          <w:rFonts w:eastAsia="Cambria" w:cs="Times New Roman"/>
        </w:rPr>
        <w:t xml:space="preserve"> however ‘natural’ has been explicitly included in the definition of ‘movable cultural heritage’ to address any confusion.</w:t>
      </w:r>
    </w:p>
    <w:p w14:paraId="67E3B785" w14:textId="77777777" w:rsidR="001A20CD" w:rsidRPr="00E70C45" w:rsidRDefault="001A20CD" w:rsidP="00052178">
      <w:pPr>
        <w:pStyle w:val="Heading2"/>
      </w:pPr>
      <w:bookmarkStart w:id="23" w:name="_Toc430867339"/>
      <w:bookmarkStart w:id="24" w:name="_Toc433906580"/>
      <w:r w:rsidRPr="00E70C45">
        <w:t>Definition of cultural material</w:t>
      </w:r>
      <w:bookmarkEnd w:id="23"/>
      <w:bookmarkEnd w:id="24"/>
    </w:p>
    <w:p w14:paraId="470096A2" w14:textId="77777777" w:rsidR="00AA7153" w:rsidRDefault="001A20CD" w:rsidP="001A20CD">
      <w:pPr>
        <w:rPr>
          <w:rFonts w:eastAsia="Cambria" w:cs="Times New Roman"/>
        </w:rPr>
      </w:pPr>
      <w:r w:rsidRPr="0013527D">
        <w:rPr>
          <w:rFonts w:eastAsia="Cambria" w:cs="Times New Roman"/>
        </w:rPr>
        <w:t xml:space="preserve">The legislative definitions and public interpretation of </w:t>
      </w:r>
      <w:r>
        <w:rPr>
          <w:rFonts w:eastAsia="Cambria" w:cs="Times New Roman"/>
        </w:rPr>
        <w:t xml:space="preserve">‘cultural material’ </w:t>
      </w:r>
      <w:r w:rsidRPr="0013527D">
        <w:rPr>
          <w:rFonts w:eastAsia="Cambria" w:cs="Times New Roman"/>
        </w:rPr>
        <w:t>and ‘Australia-related’ ha</w:t>
      </w:r>
      <w:r>
        <w:rPr>
          <w:rFonts w:eastAsia="Cambria" w:cs="Times New Roman"/>
        </w:rPr>
        <w:t>ve</w:t>
      </w:r>
      <w:r w:rsidRPr="0013527D">
        <w:rPr>
          <w:rFonts w:eastAsia="Cambria" w:cs="Times New Roman"/>
        </w:rPr>
        <w:t xml:space="preserve"> proved very troublesome. As these definitions delineate the material that is regulated, they go to the very core of the legislation. Accordingly, if the term</w:t>
      </w:r>
      <w:r>
        <w:rPr>
          <w:rFonts w:eastAsia="Cambria" w:cs="Times New Roman"/>
        </w:rPr>
        <w:t>s ‘cultural material’ and</w:t>
      </w:r>
      <w:r w:rsidRPr="0013527D">
        <w:rPr>
          <w:rFonts w:eastAsia="Cambria" w:cs="Times New Roman"/>
        </w:rPr>
        <w:t xml:space="preserve"> ‘Australia-related’ </w:t>
      </w:r>
      <w:r>
        <w:rPr>
          <w:rFonts w:eastAsia="Cambria" w:cs="Times New Roman"/>
        </w:rPr>
        <w:t>are</w:t>
      </w:r>
      <w:r w:rsidRPr="0013527D">
        <w:rPr>
          <w:rFonts w:eastAsia="Cambria" w:cs="Times New Roman"/>
        </w:rPr>
        <w:t xml:space="preserve"> not clear and easily understood, even the most streamlined decision-making processes will be compromised.</w:t>
      </w:r>
    </w:p>
    <w:p w14:paraId="109A88C0" w14:textId="2D49234B" w:rsidR="001A20CD" w:rsidRPr="00E70C45" w:rsidRDefault="001A20CD" w:rsidP="001A20CD">
      <w:pPr>
        <w:rPr>
          <w:rFonts w:eastAsia="Cambria" w:cs="Times New Roman"/>
        </w:rPr>
      </w:pPr>
      <w:r w:rsidRPr="00E70C45">
        <w:rPr>
          <w:rFonts w:eastAsia="Cambria" w:cs="Times New Roman"/>
        </w:rPr>
        <w:t xml:space="preserve">It is clear from the inclusive language and exhaustive descriptions of both natural and man-made material in the National Cultural Heritage Control List (the ‘Control List’), that the legislation is intended to cover </w:t>
      </w:r>
      <w:r w:rsidRPr="00E70C45">
        <w:rPr>
          <w:rFonts w:eastAsia="Cambria" w:cs="Times New Roman"/>
          <w:b/>
        </w:rPr>
        <w:t>all</w:t>
      </w:r>
      <w:r w:rsidRPr="00E70C45">
        <w:rPr>
          <w:rFonts w:eastAsia="Cambria" w:cs="Times New Roman"/>
        </w:rPr>
        <w:t xml:space="preserve"> types of movable heritage objects</w:t>
      </w:r>
      <w:r w:rsidR="00801A32">
        <w:rPr>
          <w:rFonts w:eastAsia="Cambria" w:cs="Times New Roman"/>
        </w:rPr>
        <w:t>—</w:t>
      </w:r>
      <w:r w:rsidRPr="00E70C45">
        <w:rPr>
          <w:rFonts w:eastAsia="Cambria" w:cs="Times New Roman"/>
        </w:rPr>
        <w:t>whether the product of human activity or nature. Natural objects are not, inherently significant. The</w:t>
      </w:r>
      <w:r w:rsidR="00CA294D">
        <w:rPr>
          <w:rFonts w:eastAsia="Cambria" w:cs="Times New Roman"/>
        </w:rPr>
        <w:t>y</w:t>
      </w:r>
      <w:r w:rsidRPr="00E70C45">
        <w:rPr>
          <w:rFonts w:eastAsia="Cambria" w:cs="Times New Roman"/>
        </w:rPr>
        <w:t xml:space="preserve"> are significant because of their relationship with mankind. It is in this sense that they are included as ‘cultural heritage’.</w:t>
      </w:r>
    </w:p>
    <w:p w14:paraId="11082FF4" w14:textId="77777777" w:rsidR="00AA7153" w:rsidRDefault="001A20CD" w:rsidP="001A20CD">
      <w:pPr>
        <w:rPr>
          <w:rFonts w:eastAsia="Cambria" w:cs="Times New Roman"/>
        </w:rPr>
      </w:pPr>
      <w:r w:rsidRPr="00E70C45">
        <w:rPr>
          <w:rFonts w:eastAsia="Cambria" w:cs="Times New Roman"/>
        </w:rPr>
        <w:t xml:space="preserve">Perhaps more importantly, unhelpfully, the </w:t>
      </w:r>
      <w:r>
        <w:rPr>
          <w:rFonts w:eastAsia="Cambria" w:cs="Times New Roman"/>
        </w:rPr>
        <w:t xml:space="preserve">current </w:t>
      </w:r>
      <w:r w:rsidRPr="00E70C45">
        <w:rPr>
          <w:rFonts w:eastAsia="Cambria" w:cs="Times New Roman"/>
        </w:rPr>
        <w:t>legislation provides definitions for 'movable cultural material' and 'Australian Protected Objects' that may be different for different types of objects. This inconsistency is confusing. Further, for some classes of objects, the criteria by which protection is accorded is dependent on specialist knowledge.</w:t>
      </w:r>
    </w:p>
    <w:p w14:paraId="46BBF0BE" w14:textId="77777777" w:rsidR="00AA7153" w:rsidRDefault="001A20CD" w:rsidP="001A20CD">
      <w:pPr>
        <w:rPr>
          <w:rFonts w:eastAsia="Cambria" w:cs="Times New Roman"/>
        </w:rPr>
      </w:pPr>
      <w:r w:rsidRPr="00E70C45">
        <w:rPr>
          <w:rFonts w:eastAsia="Cambria" w:cs="Times New Roman"/>
        </w:rPr>
        <w:t xml:space="preserve">All of this makes it difficult for even well-intentioned owners to know whether and how the legislation applies to their </w:t>
      </w:r>
      <w:r>
        <w:rPr>
          <w:rFonts w:eastAsia="Cambria" w:cs="Times New Roman"/>
        </w:rPr>
        <w:t>material</w:t>
      </w:r>
      <w:r w:rsidRPr="00E70C45">
        <w:rPr>
          <w:rFonts w:eastAsia="Cambria" w:cs="Times New Roman"/>
        </w:rPr>
        <w:t xml:space="preserve">. It also has the incongruous effect of increasing </w:t>
      </w:r>
      <w:r w:rsidRPr="00E70C45">
        <w:rPr>
          <w:rFonts w:eastAsia="Cambria" w:cs="Times New Roman"/>
        </w:rPr>
        <w:lastRenderedPageBreak/>
        <w:t xml:space="preserve">the regulatory burden on both owners and Government, while decreasing the effectiveness of the protection offered to significant </w:t>
      </w:r>
      <w:r>
        <w:rPr>
          <w:rFonts w:eastAsia="Cambria" w:cs="Times New Roman"/>
        </w:rPr>
        <w:t>material</w:t>
      </w:r>
      <w:r w:rsidRPr="00E70C45">
        <w:rPr>
          <w:rFonts w:eastAsia="Cambria" w:cs="Times New Roman"/>
        </w:rPr>
        <w:t>.</w:t>
      </w:r>
    </w:p>
    <w:p w14:paraId="76BFEE13" w14:textId="77777777" w:rsidR="00AA7153" w:rsidRDefault="001A20CD" w:rsidP="001A20CD">
      <w:pPr>
        <w:rPr>
          <w:rFonts w:eastAsia="Cambria" w:cs="Times New Roman"/>
        </w:rPr>
      </w:pPr>
      <w:r w:rsidRPr="00E70C45">
        <w:rPr>
          <w:rFonts w:eastAsia="Cambria" w:cs="Times New Roman"/>
        </w:rPr>
        <w:t>Subsection 7(1) of the Act sets out a definition of the movable cultural heritage of Australia. It is unwieldy and unnecessarily verbose. In addition, while it looks at first glance as if the list is intended to be exhaustive, it is evident that it is not.</w:t>
      </w:r>
    </w:p>
    <w:p w14:paraId="4BD52BF4" w14:textId="77777777" w:rsidR="00AA7153" w:rsidRDefault="001A20CD" w:rsidP="001A20CD">
      <w:pPr>
        <w:rPr>
          <w:rFonts w:eastAsia="Cambria" w:cs="Times New Roman"/>
        </w:rPr>
      </w:pPr>
      <w:r w:rsidRPr="00E70C45">
        <w:rPr>
          <w:rFonts w:eastAsia="Cambria" w:cs="Times New Roman"/>
        </w:rPr>
        <w:t xml:space="preserve">This provision is extended by section 3 of the </w:t>
      </w:r>
      <w:r w:rsidRPr="00E70C45">
        <w:rPr>
          <w:rFonts w:eastAsia="Cambria" w:cs="Times New Roman"/>
          <w:i/>
        </w:rPr>
        <w:t>Protection of Movable Cultural Heritage Regulations 1987</w:t>
      </w:r>
      <w:r w:rsidRPr="00E70C45">
        <w:rPr>
          <w:rFonts w:eastAsia="Cambria" w:cs="Times New Roman"/>
        </w:rPr>
        <w:t xml:space="preserve"> (the ‘Regulations’), which lists five prescribed categories of objects. A general reader of the legislation may be led to hope that this extended definition would provide clarity.</w:t>
      </w:r>
    </w:p>
    <w:p w14:paraId="533CD639" w14:textId="30C5D06F" w:rsidR="00AA7153" w:rsidRDefault="001A20CD" w:rsidP="001A20CD">
      <w:pPr>
        <w:rPr>
          <w:rFonts w:eastAsia="Cambria" w:cs="Times New Roman"/>
        </w:rPr>
      </w:pPr>
      <w:r w:rsidRPr="00E70C45">
        <w:rPr>
          <w:rFonts w:eastAsia="Cambria" w:cs="Times New Roman"/>
        </w:rPr>
        <w:t>Unfortunately, the initial confusion is exacerbated when the extended definition is compared against the nine-part Control List in the Regulations</w:t>
      </w:r>
      <w:r w:rsidR="00801A32">
        <w:rPr>
          <w:rFonts w:eastAsia="Cambria" w:cs="Times New Roman"/>
        </w:rPr>
        <w:t>—</w:t>
      </w:r>
      <w:r w:rsidRPr="00E70C45">
        <w:rPr>
          <w:rFonts w:eastAsia="Cambria" w:cs="Times New Roman"/>
        </w:rPr>
        <w:t>an extraordinarily detailed (but incomplete) list that does not manage to correlate with the said, extended definition.</w:t>
      </w:r>
    </w:p>
    <w:p w14:paraId="0FEB2ABB" w14:textId="77777777" w:rsidR="00AA7153" w:rsidRDefault="001A20CD" w:rsidP="001A20CD">
      <w:pPr>
        <w:rPr>
          <w:rFonts w:eastAsia="Cambria" w:cs="Times New Roman"/>
        </w:rPr>
      </w:pPr>
      <w:r w:rsidRPr="00E70C45">
        <w:rPr>
          <w:rFonts w:eastAsia="Cambria" w:cs="Times New Roman"/>
        </w:rPr>
        <w:t>Some may argue that this approach is consistent with the UNESCO Convention 1970 and gives an appropriate statutory basis for the Control List. However, so long as the reformulation continues to fulfil both of those requirements, there is no reason why Australia should not seek to implement its obligations through a coherent structure that is given clear, concise and modern expression.</w:t>
      </w:r>
    </w:p>
    <w:p w14:paraId="3C474B5D" w14:textId="7E87A34E" w:rsidR="001A20CD" w:rsidRPr="00E70C45" w:rsidRDefault="001A20CD" w:rsidP="001A20CD">
      <w:pPr>
        <w:rPr>
          <w:rFonts w:eastAsia="Cambria" w:cs="Times New Roman"/>
        </w:rPr>
      </w:pPr>
      <w:r w:rsidRPr="00E70C45">
        <w:rPr>
          <w:rFonts w:eastAsia="Cambria" w:cs="Times New Roman"/>
        </w:rPr>
        <w:t xml:space="preserve">Accordingly, to provide the basis for </w:t>
      </w:r>
      <w:r w:rsidR="004C5F5C">
        <w:rPr>
          <w:rFonts w:eastAsia="Cambria" w:cs="Times New Roman"/>
        </w:rPr>
        <w:t>international c</w:t>
      </w:r>
      <w:r w:rsidRPr="00E70C45">
        <w:rPr>
          <w:rFonts w:eastAsia="Cambria" w:cs="Times New Roman"/>
        </w:rPr>
        <w:t>onvention compliance, the new model includes a broad and encompassing provision to describe the diverse range of material protected by the legislation. Then</w:t>
      </w:r>
      <w:r w:rsidR="00CA294D">
        <w:rPr>
          <w:rFonts w:eastAsia="Cambria" w:cs="Times New Roman"/>
        </w:rPr>
        <w:t>,</w:t>
      </w:r>
      <w:r w:rsidRPr="00E70C45">
        <w:rPr>
          <w:rFonts w:eastAsia="Cambria" w:cs="Times New Roman"/>
        </w:rPr>
        <w:t xml:space="preserve"> in the Regulations, it sets out the classes of protected material in themati</w:t>
      </w:r>
      <w:r w:rsidR="00CA294D">
        <w:rPr>
          <w:rFonts w:eastAsia="Cambria" w:cs="Times New Roman"/>
        </w:rPr>
        <w:t xml:space="preserve">cally organised headings in </w:t>
      </w:r>
      <w:r w:rsidRPr="00E70C45">
        <w:rPr>
          <w:rFonts w:eastAsia="Cambria" w:cs="Times New Roman"/>
        </w:rPr>
        <w:t>one place</w:t>
      </w:r>
      <w:r w:rsidR="00801A32">
        <w:rPr>
          <w:rFonts w:eastAsia="Cambria" w:cs="Times New Roman"/>
        </w:rPr>
        <w:t>—</w:t>
      </w:r>
      <w:r w:rsidRPr="00E70C45">
        <w:rPr>
          <w:rFonts w:eastAsia="Cambria" w:cs="Times New Roman"/>
        </w:rPr>
        <w:t>the Control List.</w:t>
      </w:r>
      <w:r w:rsidRPr="00E70C45">
        <w:rPr>
          <w:rFonts w:eastAsia="Cambria" w:cs="Times New Roman"/>
          <w:vertAlign w:val="superscript"/>
        </w:rPr>
        <w:footnoteReference w:id="9"/>
      </w:r>
    </w:p>
    <w:p w14:paraId="08DFE4A2" w14:textId="77777777" w:rsidR="003B4493" w:rsidRDefault="003B4493">
      <w:pPr>
        <w:spacing w:line="276" w:lineRule="auto"/>
        <w:rPr>
          <w:rFonts w:eastAsia="Cambria" w:cs="Times New Roman"/>
        </w:rPr>
      </w:pPr>
      <w:r>
        <w:rPr>
          <w:rFonts w:eastAsia="Cambria" w:cs="Times New Roman"/>
        </w:rPr>
        <w:br w:type="page"/>
      </w:r>
    </w:p>
    <w:p w14:paraId="1622F705" w14:textId="4FF1C358" w:rsidR="001A20CD" w:rsidRPr="00E70C45" w:rsidRDefault="001A20CD" w:rsidP="001A20CD">
      <w:pPr>
        <w:rPr>
          <w:rFonts w:eastAsia="Cambria" w:cs="Times New Roman"/>
        </w:rPr>
      </w:pPr>
      <w:r w:rsidRPr="00211E3F">
        <w:rPr>
          <w:rFonts w:eastAsia="Cambria" w:cs="Times New Roman"/>
        </w:rPr>
        <w:lastRenderedPageBreak/>
        <w:t>The following, simpler definition of ‘movable cultural heritage’ forms part of the new model:</w:t>
      </w:r>
    </w:p>
    <w:p w14:paraId="7765A3ED" w14:textId="77777777" w:rsidR="00AA7153" w:rsidRDefault="001A20CD" w:rsidP="00AB6407">
      <w:pPr>
        <w:ind w:left="567"/>
        <w:contextualSpacing/>
        <w:rPr>
          <w:rFonts w:eastAsia="Cambria" w:cs="Times New Roman"/>
          <w:i/>
          <w:sz w:val="20"/>
        </w:rPr>
      </w:pPr>
      <w:r w:rsidRPr="00E70C45">
        <w:rPr>
          <w:rFonts w:eastAsia="Cambria" w:cs="Times New Roman"/>
          <w:i/>
          <w:sz w:val="20"/>
        </w:rPr>
        <w:t>A reference to movable cultural heritage is a reference to material that is of importance for ethnological, archaeological, historical, literary, artistic, scientific, spiritual, natural or technological reasons.</w:t>
      </w:r>
    </w:p>
    <w:p w14:paraId="13DBF180" w14:textId="77777777" w:rsidR="00AA7153" w:rsidRDefault="001A20CD" w:rsidP="00AB6407">
      <w:pPr>
        <w:numPr>
          <w:ilvl w:val="0"/>
          <w:numId w:val="74"/>
        </w:numPr>
        <w:spacing w:before="120" w:after="320"/>
        <w:ind w:left="1134" w:hanging="567"/>
        <w:contextualSpacing/>
        <w:rPr>
          <w:rFonts w:eastAsia="Cambria" w:cs="Times New Roman"/>
          <w:i/>
          <w:sz w:val="20"/>
        </w:rPr>
      </w:pPr>
      <w:r w:rsidRPr="00E70C45">
        <w:rPr>
          <w:rFonts w:eastAsia="Cambria" w:cs="Times New Roman"/>
          <w:i/>
          <w:sz w:val="20"/>
        </w:rPr>
        <w:t>In relation to Australia-related material, this is material falling within one or more of the National Cultural Heritage Control List categories.</w:t>
      </w:r>
    </w:p>
    <w:p w14:paraId="7CB5715B" w14:textId="77777777" w:rsidR="00AA7153" w:rsidRDefault="001A20CD" w:rsidP="00AB6407">
      <w:pPr>
        <w:numPr>
          <w:ilvl w:val="0"/>
          <w:numId w:val="74"/>
        </w:numPr>
        <w:spacing w:before="120" w:after="320"/>
        <w:ind w:left="1134" w:hanging="567"/>
        <w:rPr>
          <w:rFonts w:eastAsia="Cambria" w:cs="Times New Roman"/>
          <w:i/>
          <w:sz w:val="20"/>
        </w:rPr>
      </w:pPr>
      <w:r w:rsidRPr="00E70C45">
        <w:rPr>
          <w:rFonts w:eastAsia="Cambria" w:cs="Times New Roman"/>
          <w:i/>
          <w:sz w:val="20"/>
        </w:rPr>
        <w:t>In relation to foreign material, this is material forming part of the cultural heritage of a foreign country</w:t>
      </w:r>
      <w:r w:rsidRPr="00E70C45">
        <w:rPr>
          <w:rFonts w:eastAsia="Cambria" w:cs="Times New Roman"/>
          <w:i/>
          <w:sz w:val="20"/>
          <w:szCs w:val="20"/>
        </w:rPr>
        <w:t xml:space="preserve"> according to the laws of that country.</w:t>
      </w:r>
    </w:p>
    <w:p w14:paraId="19C1059D" w14:textId="38026ACE" w:rsidR="001A20CD" w:rsidRDefault="001A20CD" w:rsidP="001A20CD">
      <w:pPr>
        <w:rPr>
          <w:rFonts w:eastAsia="Cambria" w:cs="Times New Roman"/>
        </w:rPr>
      </w:pPr>
      <w:r w:rsidRPr="00E70C45">
        <w:rPr>
          <w:rFonts w:eastAsia="Cambria" w:cs="Times New Roman"/>
        </w:rPr>
        <w:t>While anchoring the definition with the words of the UNESCO Convention</w:t>
      </w:r>
      <w:r w:rsidR="004C5F5C">
        <w:rPr>
          <w:rFonts w:eastAsia="Cambria" w:cs="Times New Roman"/>
        </w:rPr>
        <w:t xml:space="preserve"> </w:t>
      </w:r>
      <w:r w:rsidR="004C5F5C" w:rsidRPr="00E70C45">
        <w:rPr>
          <w:rFonts w:eastAsia="Cambria" w:cs="Times New Roman"/>
        </w:rPr>
        <w:t>1970</w:t>
      </w:r>
      <w:r w:rsidRPr="00E70C45">
        <w:rPr>
          <w:rFonts w:eastAsia="Cambria" w:cs="Times New Roman"/>
        </w:rPr>
        <w:t xml:space="preserve">, and indicating further elaboration (either in the Control List or under foreign law), the definition has the significant new inclusions of the terms ‘spiritual’ and ‘natural’. This explicit recognition is particularly important in the Australian context. For example, it allows the recognition of Aboriginal and Torres Strait Islander material as material important to their spiritual traditions, rather than </w:t>
      </w:r>
      <w:r w:rsidR="00CA294D">
        <w:rPr>
          <w:rFonts w:eastAsia="Cambria" w:cs="Times New Roman"/>
        </w:rPr>
        <w:t xml:space="preserve">just </w:t>
      </w:r>
      <w:r w:rsidRPr="00E70C45">
        <w:rPr>
          <w:rFonts w:eastAsia="Cambria" w:cs="Times New Roman"/>
        </w:rPr>
        <w:t>for ethnological or historical reasons.</w:t>
      </w:r>
    </w:p>
    <w:p w14:paraId="18B29029" w14:textId="77777777" w:rsidR="00ED5FEC" w:rsidRPr="00ED5FEC" w:rsidRDefault="00ED5FEC" w:rsidP="00ED5FEC">
      <w:pPr>
        <w:pStyle w:val="Subtitle"/>
      </w:pPr>
      <w:r w:rsidRPr="00ED5FEC">
        <w:t>Survey Response</w:t>
      </w:r>
    </w:p>
    <w:p w14:paraId="68ED8EFF" w14:textId="77777777" w:rsidR="00ED5FEC" w:rsidRPr="00ED5FEC" w:rsidRDefault="00ED5FEC" w:rsidP="00ED5FEC">
      <w:pPr>
        <w:rPr>
          <w:rFonts w:eastAsia="Cambria" w:cs="Times New Roman"/>
        </w:rPr>
      </w:pPr>
      <w:r w:rsidRPr="00ED5FEC">
        <w:rPr>
          <w:rFonts w:eastAsia="Cambria" w:cs="Times New Roman"/>
        </w:rPr>
        <w:t>Over 75% of survey respondents agreed to a very large extent or to a large extent with the suggested definition for movable cultural heritage and only 2% of survey respondents did not agree with the proposed definition.</w:t>
      </w:r>
    </w:p>
    <w:p w14:paraId="6B22A5FF" w14:textId="7E062A39" w:rsidR="00B51AD0" w:rsidRDefault="00ED5FEC" w:rsidP="001A20CD">
      <w:pPr>
        <w:rPr>
          <w:rFonts w:eastAsia="Cambria" w:cs="Times New Roman"/>
        </w:rPr>
      </w:pPr>
      <w:r w:rsidRPr="00934A80">
        <w:rPr>
          <w:noProof/>
          <w:lang w:eastAsia="en-AU"/>
        </w:rPr>
        <w:drawing>
          <wp:inline distT="0" distB="0" distL="0" distR="0" wp14:anchorId="4D8EB754" wp14:editId="771BFDA2">
            <wp:extent cx="3387600" cy="1910142"/>
            <wp:effectExtent l="0" t="0" r="3810" b="0"/>
            <wp:docPr id="3" name="Picture 3" descr="Extent to which respondents agree with the suggested definition of movable cultural heritage:&#10;33% To a very large extent&#10;44% To a large extent&#10;12% To a moderate extent&#10;7% To a small extent&#10;2% Not at all&#10;2% Unsure&#10;" title="Figure 2 - Extent to which respondents agree with the suggested definition of movable cultural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387600" cy="1910142"/>
                    </a:xfrm>
                    <a:prstGeom prst="rect">
                      <a:avLst/>
                    </a:prstGeom>
                    <a:noFill/>
                    <a:ln>
                      <a:noFill/>
                    </a:ln>
                  </pic:spPr>
                </pic:pic>
              </a:graphicData>
            </a:graphic>
          </wp:inline>
        </w:drawing>
      </w:r>
    </w:p>
    <w:p w14:paraId="34A75023" w14:textId="4E40AE33" w:rsidR="001703AA" w:rsidRDefault="003B4493" w:rsidP="00151E41">
      <w:pPr>
        <w:spacing w:line="240" w:lineRule="auto"/>
        <w:ind w:left="284"/>
        <w:rPr>
          <w:rFonts w:eastAsia="Times New Roman" w:cs="Arial"/>
          <w:bCs/>
          <w:i/>
          <w:sz w:val="20"/>
          <w:szCs w:val="20"/>
          <w:lang w:eastAsia="en-AU"/>
        </w:rPr>
      </w:pPr>
      <w:r w:rsidRPr="001703AA">
        <w:rPr>
          <w:rFonts w:eastAsia="Times New Roman" w:cs="Arial"/>
          <w:bCs/>
          <w:i/>
          <w:sz w:val="20"/>
          <w:szCs w:val="20"/>
          <w:lang w:eastAsia="en-AU"/>
        </w:rPr>
        <w:t xml:space="preserve">Figure </w:t>
      </w:r>
      <w:r w:rsidRPr="001703AA">
        <w:rPr>
          <w:rFonts w:eastAsia="Times New Roman" w:cs="Arial"/>
          <w:bCs/>
          <w:i/>
          <w:sz w:val="20"/>
          <w:szCs w:val="20"/>
          <w:lang w:eastAsia="en-AU"/>
        </w:rPr>
        <w:fldChar w:fldCharType="begin"/>
      </w:r>
      <w:r w:rsidRPr="001703AA">
        <w:rPr>
          <w:rFonts w:eastAsia="Times New Roman" w:cs="Arial"/>
          <w:bCs/>
          <w:i/>
          <w:sz w:val="20"/>
          <w:szCs w:val="20"/>
          <w:lang w:eastAsia="en-AU"/>
        </w:rPr>
        <w:instrText xml:space="preserve"> SEQ Figure \* ARABIC </w:instrText>
      </w:r>
      <w:r w:rsidRPr="001703AA">
        <w:rPr>
          <w:rFonts w:eastAsia="Times New Roman" w:cs="Arial"/>
          <w:bCs/>
          <w:i/>
          <w:sz w:val="20"/>
          <w:szCs w:val="20"/>
          <w:lang w:eastAsia="en-AU"/>
        </w:rPr>
        <w:fldChar w:fldCharType="separate"/>
      </w:r>
      <w:r w:rsidR="00062F8A">
        <w:rPr>
          <w:rFonts w:eastAsia="Times New Roman" w:cs="Arial"/>
          <w:bCs/>
          <w:i/>
          <w:noProof/>
          <w:sz w:val="20"/>
          <w:szCs w:val="20"/>
          <w:lang w:eastAsia="en-AU"/>
        </w:rPr>
        <w:t>2</w:t>
      </w:r>
      <w:r w:rsidRPr="001703AA">
        <w:rPr>
          <w:rFonts w:eastAsia="Times New Roman" w:cs="Arial"/>
          <w:bCs/>
          <w:i/>
          <w:sz w:val="20"/>
          <w:szCs w:val="20"/>
          <w:lang w:eastAsia="en-AU"/>
        </w:rPr>
        <w:fldChar w:fldCharType="end"/>
      </w:r>
      <w:r w:rsidR="00AA7153">
        <w:rPr>
          <w:rFonts w:eastAsia="Times New Roman" w:cs="Arial"/>
          <w:bCs/>
          <w:i/>
          <w:sz w:val="20"/>
          <w:szCs w:val="20"/>
          <w:lang w:eastAsia="en-AU"/>
        </w:rPr>
        <w:t>—</w:t>
      </w:r>
      <w:r w:rsidRPr="001703AA">
        <w:rPr>
          <w:rFonts w:eastAsia="Times New Roman" w:cs="Arial"/>
          <w:bCs/>
          <w:i/>
          <w:sz w:val="20"/>
          <w:szCs w:val="20"/>
          <w:lang w:eastAsia="en-AU"/>
        </w:rPr>
        <w:t>Extent to which respondents agree with the suggested definition of movable cultural heritage</w:t>
      </w:r>
      <w:r w:rsidR="001A20CD" w:rsidRPr="001703AA">
        <w:rPr>
          <w:rStyle w:val="FootnoteReference"/>
          <w:rFonts w:eastAsia="Cambria" w:cs="Times New Roman"/>
        </w:rPr>
        <w:footnoteReference w:id="10"/>
      </w:r>
      <w:r w:rsidR="001703AA">
        <w:rPr>
          <w:rFonts w:eastAsia="Times New Roman" w:cs="Arial"/>
          <w:bCs/>
          <w:i/>
          <w:sz w:val="20"/>
          <w:szCs w:val="20"/>
          <w:lang w:eastAsia="en-AU"/>
        </w:rPr>
        <w:br w:type="page"/>
      </w:r>
    </w:p>
    <w:p w14:paraId="4B547B93" w14:textId="77777777" w:rsidR="001A20CD" w:rsidRPr="00E84122" w:rsidRDefault="001A20CD" w:rsidP="00E84122">
      <w:pPr>
        <w:pStyle w:val="Heading3"/>
      </w:pPr>
      <w:r w:rsidRPr="00E84122">
        <w:lastRenderedPageBreak/>
        <w:t>Australia-related</w:t>
      </w:r>
    </w:p>
    <w:p w14:paraId="12F8ED32" w14:textId="62FFDD7F" w:rsidR="00AA7153" w:rsidRDefault="001A20CD" w:rsidP="001A20CD">
      <w:pPr>
        <w:rPr>
          <w:rFonts w:eastAsia="Cambria" w:cs="Arial"/>
          <w:szCs w:val="24"/>
        </w:rPr>
      </w:pPr>
      <w:r w:rsidRPr="00E70C45">
        <w:rPr>
          <w:rFonts w:eastAsia="Cambria" w:cs="Arial"/>
          <w:szCs w:val="24"/>
        </w:rPr>
        <w:t>Across the entire Control List, which has the purpose of describing the movable cultural heritage of Australia, the terms ‘Australian’ and ‘Australia</w:t>
      </w:r>
      <w:r>
        <w:rPr>
          <w:rFonts w:eastAsia="Cambria" w:cs="Arial"/>
          <w:szCs w:val="24"/>
        </w:rPr>
        <w:t>-related</w:t>
      </w:r>
      <w:r w:rsidRPr="00E70C45">
        <w:rPr>
          <w:rFonts w:eastAsia="Cambria" w:cs="Arial"/>
          <w:szCs w:val="24"/>
        </w:rPr>
        <w:t xml:space="preserve">’ are inconsistently used. In particular, although section 7 of the Act provides a definition of what should be considered as Australia-related, some Parts of the Control </w:t>
      </w:r>
      <w:proofErr w:type="gramStart"/>
      <w:r w:rsidRPr="00E70C45">
        <w:rPr>
          <w:rFonts w:eastAsia="Cambria" w:cs="Arial"/>
          <w:szCs w:val="24"/>
        </w:rPr>
        <w:t>List</w:t>
      </w:r>
      <w:r w:rsidR="00801A32">
        <w:rPr>
          <w:rFonts w:eastAsia="Cambria" w:cs="Arial"/>
          <w:szCs w:val="24"/>
        </w:rPr>
        <w:t xml:space="preserve"> </w:t>
      </w:r>
      <w:r w:rsidR="00CA294D">
        <w:rPr>
          <w:rFonts w:eastAsia="Cambria" w:cs="Arial"/>
          <w:szCs w:val="24"/>
        </w:rPr>
        <w:t xml:space="preserve"> </w:t>
      </w:r>
      <w:r w:rsidRPr="00E70C45">
        <w:rPr>
          <w:rFonts w:eastAsia="Cambria" w:cs="Arial"/>
          <w:szCs w:val="24"/>
        </w:rPr>
        <w:t>re</w:t>
      </w:r>
      <w:proofErr w:type="gramEnd"/>
      <w:r w:rsidRPr="00E70C45">
        <w:rPr>
          <w:rFonts w:eastAsia="Cambria" w:cs="Arial"/>
          <w:szCs w:val="24"/>
        </w:rPr>
        <w:t>-</w:t>
      </w:r>
      <w:r w:rsidR="00CA294D">
        <w:rPr>
          <w:rFonts w:eastAsia="Cambria" w:cs="Arial"/>
          <w:szCs w:val="24"/>
        </w:rPr>
        <w:t>d</w:t>
      </w:r>
      <w:r w:rsidRPr="00E70C45">
        <w:rPr>
          <w:rFonts w:eastAsia="Cambria" w:cs="Arial"/>
          <w:szCs w:val="24"/>
        </w:rPr>
        <w:t>efine what may be meant by these terms in regard to particular types of material.</w:t>
      </w:r>
    </w:p>
    <w:p w14:paraId="74063AE3" w14:textId="77777777" w:rsidR="00AA7153" w:rsidRDefault="001A20CD" w:rsidP="001A20CD">
      <w:pPr>
        <w:rPr>
          <w:rFonts w:eastAsia="Cambria" w:cs="Arial"/>
          <w:szCs w:val="24"/>
        </w:rPr>
      </w:pPr>
      <w:r w:rsidRPr="00E70C45">
        <w:rPr>
          <w:rFonts w:eastAsia="Cambria" w:cs="Arial"/>
          <w:szCs w:val="24"/>
        </w:rPr>
        <w:t>This confusion has also fed the misapprehension that the Control List is a list of ‘national treasures’. The Act does not (and was never intended to) only protect material that could be described as national treasures.</w:t>
      </w:r>
    </w:p>
    <w:p w14:paraId="6E5D264C" w14:textId="77777777" w:rsidR="00AA7153" w:rsidRDefault="001A20CD" w:rsidP="001A20CD">
      <w:pPr>
        <w:rPr>
          <w:rFonts w:eastAsia="Cambria" w:cs="Arial"/>
          <w:szCs w:val="24"/>
        </w:rPr>
      </w:pPr>
      <w:r w:rsidRPr="00E70C45">
        <w:rPr>
          <w:rFonts w:eastAsia="Cambria" w:cs="Arial"/>
          <w:szCs w:val="24"/>
        </w:rPr>
        <w:t>Material may be of outstanding significance and worthy of protection, notwithstanding that it relates only to a ‘part’ of Australia. Material that has state and regional significance can still play an important part in telling the stories of Australia. The proposed model incorporates a single definition of ‘Australia-related’ which can be applied across the entire range of regulated material.</w:t>
      </w:r>
    </w:p>
    <w:p w14:paraId="350F1706" w14:textId="2E0E1C37" w:rsidR="001A20CD" w:rsidRPr="00E70C45" w:rsidRDefault="001A20CD" w:rsidP="001A20CD">
      <w:pPr>
        <w:rPr>
          <w:rFonts w:eastAsia="Cambria" w:cs="Times New Roman"/>
          <w:i/>
        </w:rPr>
      </w:pPr>
      <w:r w:rsidRPr="00E70C45">
        <w:rPr>
          <w:rFonts w:eastAsia="Cambria" w:cs="Times New Roman"/>
        </w:rPr>
        <w:t>The following provision forms part of the new model:</w:t>
      </w:r>
    </w:p>
    <w:p w14:paraId="536FDDD6" w14:textId="77777777" w:rsidR="00AA7153" w:rsidRDefault="001A20CD" w:rsidP="00AB6407">
      <w:pPr>
        <w:ind w:left="567"/>
        <w:rPr>
          <w:rFonts w:eastAsia="Cambria" w:cs="Times New Roman"/>
          <w:i/>
          <w:sz w:val="20"/>
        </w:rPr>
      </w:pPr>
      <w:r w:rsidRPr="00E70C45">
        <w:rPr>
          <w:rFonts w:eastAsia="Cambria" w:cs="Times New Roman"/>
          <w:b/>
          <w:i/>
          <w:sz w:val="20"/>
        </w:rPr>
        <w:t>Australia-related</w:t>
      </w:r>
      <w:r w:rsidRPr="00E70C45">
        <w:rPr>
          <w:rFonts w:eastAsia="Cambria" w:cs="Times New Roman"/>
          <w:i/>
          <w:sz w:val="20"/>
        </w:rPr>
        <w:t xml:space="preserve"> material means any one of the following:</w:t>
      </w:r>
    </w:p>
    <w:p w14:paraId="6C1BE61F" w14:textId="069313EB" w:rsidR="001A20CD" w:rsidRPr="000A59D1" w:rsidRDefault="001A20CD" w:rsidP="00AB6407">
      <w:pPr>
        <w:numPr>
          <w:ilvl w:val="0"/>
          <w:numId w:val="17"/>
        </w:numPr>
        <w:spacing w:before="120" w:after="320"/>
        <w:ind w:left="1134" w:hanging="567"/>
        <w:contextualSpacing/>
        <w:rPr>
          <w:rFonts w:eastAsia="Cambria" w:cs="Times New Roman"/>
          <w:i/>
          <w:sz w:val="20"/>
        </w:rPr>
      </w:pPr>
      <w:r w:rsidRPr="000A59D1">
        <w:rPr>
          <w:rFonts w:eastAsia="Cambria" w:cs="Times New Roman"/>
          <w:i/>
          <w:sz w:val="20"/>
        </w:rPr>
        <w:t>natural material or Ancestral remains recovered from above, on or below:</w:t>
      </w:r>
    </w:p>
    <w:p w14:paraId="0558169F" w14:textId="77777777" w:rsidR="001A20CD" w:rsidRPr="000A59D1" w:rsidRDefault="001A20CD" w:rsidP="00AB6407">
      <w:pPr>
        <w:numPr>
          <w:ilvl w:val="1"/>
          <w:numId w:val="17"/>
        </w:numPr>
        <w:spacing w:before="120" w:after="320"/>
        <w:ind w:left="1701" w:hanging="567"/>
        <w:contextualSpacing/>
        <w:rPr>
          <w:rFonts w:eastAsia="Cambria" w:cs="Times New Roman"/>
          <w:i/>
          <w:sz w:val="20"/>
          <w:szCs w:val="20"/>
        </w:rPr>
      </w:pPr>
      <w:r w:rsidRPr="000A59D1">
        <w:rPr>
          <w:rFonts w:eastAsia="Cambria" w:cs="Times New Roman"/>
          <w:i/>
          <w:sz w:val="20"/>
          <w:szCs w:val="20"/>
        </w:rPr>
        <w:t>the land, soil or inland waters of Australia;</w:t>
      </w:r>
    </w:p>
    <w:p w14:paraId="06F79068" w14:textId="05059754" w:rsidR="001A20CD" w:rsidRPr="000A59D1" w:rsidRDefault="0025348B" w:rsidP="00AB6407">
      <w:pPr>
        <w:numPr>
          <w:ilvl w:val="1"/>
          <w:numId w:val="17"/>
        </w:numPr>
        <w:spacing w:before="120" w:after="320"/>
        <w:ind w:left="1701" w:hanging="567"/>
        <w:contextualSpacing/>
        <w:rPr>
          <w:rFonts w:eastAsia="Cambria" w:cs="Times New Roman"/>
          <w:i/>
          <w:sz w:val="20"/>
        </w:rPr>
      </w:pPr>
      <w:r w:rsidRPr="000A59D1">
        <w:rPr>
          <w:i/>
          <w:sz w:val="20"/>
          <w:szCs w:val="20"/>
        </w:rPr>
        <w:t>the waters, seabed or subsoil of the territorial sea or Exclusive Economic Zone of Australia</w:t>
      </w:r>
      <w:r w:rsidRPr="000A59D1">
        <w:rPr>
          <w:rFonts w:eastAsia="Cambria" w:cs="Times New Roman"/>
          <w:i/>
          <w:sz w:val="20"/>
        </w:rPr>
        <w:t xml:space="preserve">; </w:t>
      </w:r>
      <w:r w:rsidR="001A20CD" w:rsidRPr="000A59D1">
        <w:rPr>
          <w:rFonts w:eastAsia="Cambria" w:cs="Times New Roman"/>
          <w:i/>
          <w:sz w:val="20"/>
        </w:rPr>
        <w:t>or</w:t>
      </w:r>
    </w:p>
    <w:p w14:paraId="626B96DC" w14:textId="77777777" w:rsidR="001A20CD" w:rsidRPr="00E70C45" w:rsidRDefault="001A20CD" w:rsidP="00AB6407">
      <w:pPr>
        <w:numPr>
          <w:ilvl w:val="0"/>
          <w:numId w:val="17"/>
        </w:numPr>
        <w:spacing w:before="120" w:after="320"/>
        <w:ind w:left="1134" w:hanging="567"/>
        <w:contextualSpacing/>
        <w:rPr>
          <w:rFonts w:eastAsia="Cambria" w:cs="Times New Roman"/>
          <w:i/>
          <w:sz w:val="20"/>
        </w:rPr>
      </w:pPr>
      <w:r w:rsidRPr="00E70C45">
        <w:rPr>
          <w:rFonts w:eastAsia="Cambria" w:cs="Times New Roman"/>
          <w:i/>
          <w:sz w:val="20"/>
        </w:rPr>
        <w:t>relics recovered from a historic shipwreck (as defined under the Historic Shipwrecks Act 1976); or</w:t>
      </w:r>
    </w:p>
    <w:p w14:paraId="2076B3C3" w14:textId="77777777" w:rsidR="00AA7153" w:rsidRDefault="001A20CD" w:rsidP="00AB6407">
      <w:pPr>
        <w:numPr>
          <w:ilvl w:val="0"/>
          <w:numId w:val="17"/>
        </w:numPr>
        <w:spacing w:before="120" w:after="320"/>
        <w:ind w:left="1134" w:hanging="567"/>
        <w:contextualSpacing/>
        <w:rPr>
          <w:rFonts w:eastAsia="Cambria" w:cs="Times New Roman"/>
          <w:i/>
          <w:sz w:val="20"/>
        </w:rPr>
      </w:pPr>
      <w:r w:rsidRPr="00E70C45">
        <w:rPr>
          <w:rFonts w:eastAsia="Cambria" w:cs="Times New Roman"/>
          <w:i/>
          <w:sz w:val="20"/>
        </w:rPr>
        <w:t>material made in Australia, or with substantial Australian content, or that has been used extensively or assembled in Australia, being one or more of the following:</w:t>
      </w:r>
    </w:p>
    <w:p w14:paraId="60338AE5" w14:textId="77777777" w:rsidR="00AA7153" w:rsidRDefault="001A20CD" w:rsidP="00AB6407">
      <w:pPr>
        <w:numPr>
          <w:ilvl w:val="0"/>
          <w:numId w:val="16"/>
        </w:numPr>
        <w:tabs>
          <w:tab w:val="left" w:pos="2835"/>
          <w:tab w:val="left" w:pos="3544"/>
          <w:tab w:val="left" w:pos="4253"/>
          <w:tab w:val="left" w:pos="4961"/>
          <w:tab w:val="left" w:pos="5670"/>
        </w:tabs>
        <w:spacing w:before="120" w:after="160"/>
        <w:ind w:left="1701" w:hanging="567"/>
        <w:contextualSpacing/>
        <w:jc w:val="both"/>
        <w:rPr>
          <w:rFonts w:eastAsia="Cambria" w:cs="Times New Roman"/>
          <w:i/>
          <w:sz w:val="20"/>
        </w:rPr>
      </w:pPr>
      <w:r w:rsidRPr="00E70C45">
        <w:rPr>
          <w:rFonts w:eastAsia="Cambria" w:cs="Times New Roman"/>
          <w:i/>
          <w:sz w:val="20"/>
        </w:rPr>
        <w:t>material designed or made by an Australian citizen or resident, inside or outside of Australia;</w:t>
      </w:r>
    </w:p>
    <w:p w14:paraId="0AF3EF27" w14:textId="77777777" w:rsidR="00AA7153" w:rsidRDefault="001A20CD" w:rsidP="00AB6407">
      <w:pPr>
        <w:numPr>
          <w:ilvl w:val="0"/>
          <w:numId w:val="16"/>
        </w:numPr>
        <w:tabs>
          <w:tab w:val="left" w:pos="2835"/>
          <w:tab w:val="left" w:pos="3544"/>
          <w:tab w:val="left" w:pos="4253"/>
          <w:tab w:val="left" w:pos="4961"/>
          <w:tab w:val="left" w:pos="5670"/>
        </w:tabs>
        <w:spacing w:before="120" w:after="160"/>
        <w:ind w:left="1701" w:hanging="567"/>
        <w:contextualSpacing/>
        <w:jc w:val="both"/>
        <w:rPr>
          <w:rFonts w:eastAsia="Cambria" w:cs="Times New Roman"/>
          <w:i/>
          <w:sz w:val="20"/>
        </w:rPr>
      </w:pPr>
      <w:r w:rsidRPr="00E70C45">
        <w:rPr>
          <w:rFonts w:eastAsia="Cambria" w:cs="Times New Roman"/>
          <w:i/>
          <w:sz w:val="20"/>
        </w:rPr>
        <w:t>material designed or made in Australia</w:t>
      </w:r>
      <w:r w:rsidR="00CA294D">
        <w:rPr>
          <w:rFonts w:eastAsia="Cambria" w:cs="Times New Roman"/>
          <w:i/>
          <w:sz w:val="20"/>
        </w:rPr>
        <w:t>,</w:t>
      </w:r>
      <w:r w:rsidRPr="00E70C45">
        <w:rPr>
          <w:rFonts w:eastAsia="Cambria" w:cs="Times New Roman"/>
          <w:i/>
          <w:sz w:val="20"/>
        </w:rPr>
        <w:t xml:space="preserve"> or which has substantial content made in Australia (including those designed or made by a non-Australian citizen);</w:t>
      </w:r>
    </w:p>
    <w:p w14:paraId="35ED758D" w14:textId="77777777" w:rsidR="00AA7153" w:rsidRDefault="001A20CD" w:rsidP="00AB6407">
      <w:pPr>
        <w:numPr>
          <w:ilvl w:val="0"/>
          <w:numId w:val="16"/>
        </w:numPr>
        <w:tabs>
          <w:tab w:val="left" w:pos="2835"/>
          <w:tab w:val="left" w:pos="3544"/>
          <w:tab w:val="left" w:pos="4253"/>
          <w:tab w:val="left" w:pos="4961"/>
          <w:tab w:val="left" w:pos="5670"/>
        </w:tabs>
        <w:spacing w:before="120" w:after="160"/>
        <w:ind w:left="1701" w:hanging="567"/>
        <w:contextualSpacing/>
        <w:jc w:val="both"/>
        <w:rPr>
          <w:rFonts w:eastAsia="Cambria" w:cs="Times New Roman"/>
          <w:i/>
          <w:sz w:val="20"/>
        </w:rPr>
      </w:pPr>
      <w:r w:rsidRPr="00E70C45">
        <w:rPr>
          <w:rFonts w:eastAsia="Cambria" w:cs="Times New Roman"/>
          <w:i/>
          <w:sz w:val="20"/>
        </w:rPr>
        <w:t>material not made in Australia but altered, assembled or modified in Australia for the Australian market or conditions, or extensively used in Australia;</w:t>
      </w:r>
    </w:p>
    <w:p w14:paraId="71A0F8D2" w14:textId="77777777" w:rsidR="00AA7153" w:rsidRDefault="001A20CD" w:rsidP="00AB6407">
      <w:pPr>
        <w:numPr>
          <w:ilvl w:val="0"/>
          <w:numId w:val="16"/>
        </w:numPr>
        <w:tabs>
          <w:tab w:val="left" w:pos="2835"/>
          <w:tab w:val="left" w:pos="3544"/>
          <w:tab w:val="left" w:pos="4253"/>
          <w:tab w:val="left" w:pos="4961"/>
          <w:tab w:val="left" w:pos="5670"/>
        </w:tabs>
        <w:spacing w:before="120" w:after="160"/>
        <w:ind w:left="1701" w:hanging="567"/>
        <w:contextualSpacing/>
        <w:jc w:val="both"/>
        <w:rPr>
          <w:rFonts w:eastAsia="Cambria" w:cs="Times New Roman"/>
          <w:i/>
          <w:sz w:val="20"/>
        </w:rPr>
      </w:pPr>
      <w:r w:rsidRPr="00E70C45">
        <w:rPr>
          <w:rFonts w:eastAsia="Cambria" w:cs="Times New Roman"/>
          <w:i/>
          <w:sz w:val="20"/>
        </w:rPr>
        <w:t>material with subject-matter or motifs related to Australia;</w:t>
      </w:r>
    </w:p>
    <w:p w14:paraId="098C9AC0" w14:textId="71C36FB2" w:rsidR="001A20CD" w:rsidRPr="00E70C45" w:rsidRDefault="001A20CD" w:rsidP="00AB6407">
      <w:pPr>
        <w:numPr>
          <w:ilvl w:val="0"/>
          <w:numId w:val="16"/>
        </w:numPr>
        <w:tabs>
          <w:tab w:val="left" w:pos="2835"/>
          <w:tab w:val="left" w:pos="3544"/>
          <w:tab w:val="left" w:pos="4253"/>
          <w:tab w:val="left" w:pos="4961"/>
          <w:tab w:val="left" w:pos="5670"/>
        </w:tabs>
        <w:spacing w:before="120" w:after="160"/>
        <w:ind w:left="1701" w:hanging="567"/>
        <w:contextualSpacing/>
        <w:jc w:val="both"/>
        <w:rPr>
          <w:rFonts w:eastAsia="Cambria" w:cs="Arial"/>
          <w:i/>
          <w:szCs w:val="24"/>
        </w:rPr>
      </w:pPr>
      <w:proofErr w:type="gramStart"/>
      <w:r w:rsidRPr="00E70C45">
        <w:rPr>
          <w:rFonts w:eastAsia="Cambria" w:cs="Times New Roman"/>
          <w:i/>
          <w:sz w:val="20"/>
        </w:rPr>
        <w:t>material</w:t>
      </w:r>
      <w:proofErr w:type="gramEnd"/>
      <w:r w:rsidRPr="00E70C45">
        <w:rPr>
          <w:rFonts w:eastAsia="Cambria" w:cs="Times New Roman"/>
          <w:i/>
          <w:sz w:val="20"/>
        </w:rPr>
        <w:t xml:space="preserve"> strongly associated with an Australian person</w:t>
      </w:r>
      <w:r>
        <w:rPr>
          <w:rFonts w:eastAsia="Cambria" w:cs="Times New Roman"/>
          <w:i/>
          <w:sz w:val="20"/>
        </w:rPr>
        <w:t xml:space="preserve"> (or group of people)</w:t>
      </w:r>
      <w:r w:rsidRPr="00E70C45">
        <w:rPr>
          <w:rFonts w:eastAsia="Cambria" w:cs="Arial"/>
          <w:i/>
          <w:sz w:val="20"/>
          <w:szCs w:val="20"/>
        </w:rPr>
        <w:t>,</w:t>
      </w:r>
      <w:r w:rsidRPr="00E70C45">
        <w:rPr>
          <w:rFonts w:eastAsia="Cambria" w:cs="Times New Roman"/>
          <w:i/>
          <w:sz w:val="20"/>
        </w:rPr>
        <w:t xml:space="preserve"> activity, event, place or period in </w:t>
      </w:r>
      <w:r w:rsidRPr="00E70C45">
        <w:rPr>
          <w:rFonts w:eastAsia="Cambria" w:cs="Times New Roman"/>
          <w:i/>
          <w:sz w:val="20"/>
          <w:lang w:val="en-US"/>
        </w:rPr>
        <w:t>science, technology, arts or history.</w:t>
      </w:r>
    </w:p>
    <w:p w14:paraId="72198047" w14:textId="77777777" w:rsidR="001A20CD" w:rsidRDefault="001A20CD" w:rsidP="001A20CD">
      <w:pPr>
        <w:tabs>
          <w:tab w:val="left" w:pos="709"/>
          <w:tab w:val="left" w:pos="1418"/>
          <w:tab w:val="left" w:pos="2835"/>
          <w:tab w:val="left" w:pos="3544"/>
          <w:tab w:val="left" w:pos="4253"/>
          <w:tab w:val="left" w:pos="4961"/>
          <w:tab w:val="left" w:pos="5670"/>
        </w:tabs>
        <w:spacing w:after="160"/>
        <w:jc w:val="both"/>
        <w:rPr>
          <w:rFonts w:eastAsia="Cambria" w:cs="Arial"/>
          <w:szCs w:val="24"/>
        </w:rPr>
      </w:pPr>
    </w:p>
    <w:p w14:paraId="575B1D67" w14:textId="6D22080A" w:rsidR="001A20CD" w:rsidRDefault="001A20CD" w:rsidP="001A20CD">
      <w:pPr>
        <w:tabs>
          <w:tab w:val="left" w:pos="709"/>
          <w:tab w:val="left" w:pos="1418"/>
          <w:tab w:val="left" w:pos="2835"/>
          <w:tab w:val="left" w:pos="3544"/>
          <w:tab w:val="left" w:pos="4253"/>
          <w:tab w:val="left" w:pos="4961"/>
          <w:tab w:val="left" w:pos="5670"/>
        </w:tabs>
        <w:spacing w:after="160"/>
        <w:jc w:val="both"/>
        <w:rPr>
          <w:rFonts w:eastAsia="Cambria" w:cs="Arial"/>
          <w:szCs w:val="24"/>
        </w:rPr>
      </w:pPr>
      <w:r w:rsidRPr="00E70C45">
        <w:rPr>
          <w:rFonts w:eastAsia="Cambria" w:cs="Arial"/>
          <w:szCs w:val="24"/>
        </w:rPr>
        <w:lastRenderedPageBreak/>
        <w:t xml:space="preserve">This definition allows for all types of material to be considered against a single definition. It incorporates consideration of the intangible aspects of material including </w:t>
      </w:r>
      <w:r>
        <w:rPr>
          <w:rFonts w:eastAsia="Cambria" w:cs="Arial"/>
          <w:szCs w:val="24"/>
        </w:rPr>
        <w:t>its</w:t>
      </w:r>
      <w:r w:rsidRPr="00E70C45">
        <w:rPr>
          <w:rFonts w:eastAsia="Cambria" w:cs="Arial"/>
          <w:szCs w:val="24"/>
        </w:rPr>
        <w:t xml:space="preserve"> association to an Australian story. For example the wealth of information that is provided in documentary archives may be described as strongly associated with an Australian person, activity, event, place or period and therefore an integral part of understanding and </w:t>
      </w:r>
      <w:r w:rsidR="00CA294D" w:rsidRPr="00E70C45">
        <w:rPr>
          <w:rFonts w:eastAsia="Cambria" w:cs="Arial"/>
          <w:szCs w:val="24"/>
        </w:rPr>
        <w:t>interpreting</w:t>
      </w:r>
      <w:r w:rsidRPr="00E70C45">
        <w:rPr>
          <w:rFonts w:eastAsia="Cambria" w:cs="Arial"/>
          <w:szCs w:val="24"/>
        </w:rPr>
        <w:t xml:space="preserve"> that story.</w:t>
      </w:r>
      <w:r w:rsidRPr="00E70C45">
        <w:rPr>
          <w:rFonts w:eastAsia="Cambria" w:cs="Arial"/>
          <w:szCs w:val="24"/>
          <w:vertAlign w:val="superscript"/>
        </w:rPr>
        <w:footnoteReference w:id="11"/>
      </w:r>
    </w:p>
    <w:p w14:paraId="5D83CAC3" w14:textId="04227009" w:rsidR="001A20CD" w:rsidRDefault="001A20CD" w:rsidP="001A20CD">
      <w:pPr>
        <w:tabs>
          <w:tab w:val="left" w:pos="709"/>
          <w:tab w:val="left" w:pos="1418"/>
          <w:tab w:val="left" w:pos="2835"/>
          <w:tab w:val="left" w:pos="3544"/>
          <w:tab w:val="left" w:pos="4253"/>
          <w:tab w:val="left" w:pos="4961"/>
          <w:tab w:val="left" w:pos="5670"/>
        </w:tabs>
        <w:spacing w:after="160"/>
        <w:jc w:val="both"/>
        <w:rPr>
          <w:rFonts w:eastAsia="Cambria" w:cs="Arial"/>
          <w:szCs w:val="24"/>
        </w:rPr>
      </w:pPr>
      <w:r w:rsidRPr="00E70C45">
        <w:rPr>
          <w:rFonts w:eastAsia="Cambria" w:cs="Arial"/>
          <w:szCs w:val="24"/>
        </w:rPr>
        <w:t xml:space="preserve">Note that in the final dot point of the suggested clause, I have used the phrase ‘strongly associated with’. The choice of words will be a matter for drafting but the essential point is that </w:t>
      </w:r>
      <w:r>
        <w:rPr>
          <w:rFonts w:eastAsia="Cambria" w:cs="Arial"/>
          <w:szCs w:val="24"/>
        </w:rPr>
        <w:t>its</w:t>
      </w:r>
      <w:r w:rsidRPr="00E70C45">
        <w:rPr>
          <w:rFonts w:eastAsia="Cambria" w:cs="Arial"/>
          <w:szCs w:val="24"/>
        </w:rPr>
        <w:t xml:space="preserve"> association must be direct and substantial. In consultation, an excellent example was provided: Jack </w:t>
      </w:r>
      <w:proofErr w:type="spellStart"/>
      <w:r w:rsidRPr="00E70C45">
        <w:rPr>
          <w:rFonts w:eastAsia="Cambria" w:cs="Arial"/>
          <w:szCs w:val="24"/>
        </w:rPr>
        <w:t>Brabham</w:t>
      </w:r>
      <w:proofErr w:type="spellEnd"/>
      <w:r w:rsidRPr="00E70C45">
        <w:rPr>
          <w:rFonts w:eastAsia="Cambria" w:cs="Arial"/>
          <w:szCs w:val="24"/>
        </w:rPr>
        <w:t>, an Australian racing driver who was Formula One champion in 1959, 1960, and 1966, owned very many cars in his lifetime</w:t>
      </w:r>
      <w:r>
        <w:rPr>
          <w:rFonts w:eastAsia="Cambria" w:cs="Arial"/>
          <w:szCs w:val="24"/>
        </w:rPr>
        <w:t>. T</w:t>
      </w:r>
      <w:r w:rsidRPr="00E70C45">
        <w:rPr>
          <w:rFonts w:eastAsia="Cambria" w:cs="Arial"/>
          <w:szCs w:val="24"/>
        </w:rPr>
        <w:t xml:space="preserve">he Act is not designed to protect </w:t>
      </w:r>
      <w:r>
        <w:rPr>
          <w:rFonts w:eastAsia="Cambria" w:cs="Arial"/>
          <w:szCs w:val="24"/>
        </w:rPr>
        <w:t>the cars he used</w:t>
      </w:r>
      <w:r w:rsidRPr="00E70C45">
        <w:rPr>
          <w:rFonts w:eastAsia="Cambria" w:cs="Arial"/>
          <w:szCs w:val="24"/>
        </w:rPr>
        <w:t xml:space="preserve"> to</w:t>
      </w:r>
      <w:r>
        <w:rPr>
          <w:rFonts w:eastAsia="Cambria" w:cs="Arial"/>
          <w:szCs w:val="24"/>
        </w:rPr>
        <w:t xml:space="preserve"> go</w:t>
      </w:r>
      <w:r w:rsidRPr="00E70C45">
        <w:rPr>
          <w:rFonts w:eastAsia="Cambria" w:cs="Arial"/>
          <w:szCs w:val="24"/>
        </w:rPr>
        <w:t xml:space="preserve"> the local shops just because he owned them</w:t>
      </w:r>
      <w:r w:rsidR="00801A32">
        <w:rPr>
          <w:rFonts w:eastAsia="Cambria" w:cs="Arial"/>
          <w:szCs w:val="24"/>
        </w:rPr>
        <w:t>—</w:t>
      </w:r>
      <w:r w:rsidRPr="00E70C45">
        <w:rPr>
          <w:rFonts w:eastAsia="Cambria" w:cs="Arial"/>
          <w:szCs w:val="24"/>
        </w:rPr>
        <w:t>but it would protect the race cars with which he won his World Championships</w:t>
      </w:r>
      <w:r w:rsidR="00AA7153">
        <w:rPr>
          <w:rFonts w:eastAsia="Cambria" w:cs="Arial"/>
          <w:szCs w:val="24"/>
        </w:rPr>
        <w:t>—</w:t>
      </w:r>
      <w:r w:rsidRPr="00E70C45">
        <w:rPr>
          <w:rFonts w:eastAsia="Cambria" w:cs="Arial"/>
          <w:szCs w:val="24"/>
        </w:rPr>
        <w:t xml:space="preserve">his Cooper Climax and the </w:t>
      </w:r>
      <w:proofErr w:type="spellStart"/>
      <w:r w:rsidRPr="00E70C45">
        <w:rPr>
          <w:rFonts w:eastAsia="Cambria" w:cs="Arial"/>
          <w:szCs w:val="24"/>
        </w:rPr>
        <w:t>Brabham</w:t>
      </w:r>
      <w:proofErr w:type="spellEnd"/>
      <w:r w:rsidRPr="00E70C45">
        <w:rPr>
          <w:rFonts w:eastAsia="Cambria" w:cs="Arial"/>
          <w:szCs w:val="24"/>
        </w:rPr>
        <w:t xml:space="preserve"> BT-19.</w:t>
      </w:r>
    </w:p>
    <w:p w14:paraId="29ECF1A4" w14:textId="77777777" w:rsidR="00ED5FEC" w:rsidRPr="00DD2FA5" w:rsidRDefault="00ED5FEC" w:rsidP="00ED5FEC">
      <w:pPr>
        <w:pStyle w:val="Subtitle"/>
      </w:pPr>
      <w:r>
        <w:t>Survey Response</w:t>
      </w:r>
    </w:p>
    <w:p w14:paraId="28EE5667" w14:textId="0348E075" w:rsidR="00AA7153" w:rsidRDefault="00ED5FEC" w:rsidP="00ED5FEC">
      <w:pPr>
        <w:tabs>
          <w:tab w:val="left" w:pos="709"/>
          <w:tab w:val="left" w:pos="1418"/>
          <w:tab w:val="left" w:pos="2835"/>
          <w:tab w:val="left" w:pos="3544"/>
          <w:tab w:val="left" w:pos="4253"/>
          <w:tab w:val="left" w:pos="4961"/>
          <w:tab w:val="left" w:pos="5670"/>
        </w:tabs>
        <w:spacing w:after="160"/>
        <w:jc w:val="both"/>
        <w:rPr>
          <w:rFonts w:eastAsia="Cambria" w:cs="Arial"/>
          <w:szCs w:val="24"/>
        </w:rPr>
      </w:pPr>
      <w:r w:rsidRPr="00ED5FEC">
        <w:rPr>
          <w:rFonts w:eastAsia="Cambria" w:cs="Arial"/>
          <w:szCs w:val="24"/>
        </w:rPr>
        <w:t>Over 70% of survey respondents agreed to a very large extent or to a large extent with the sug</w:t>
      </w:r>
      <w:r w:rsidR="001C66D7">
        <w:rPr>
          <w:rFonts w:eastAsia="Cambria" w:cs="Arial"/>
          <w:szCs w:val="24"/>
        </w:rPr>
        <w:t>gested definition for Australia</w:t>
      </w:r>
      <w:r w:rsidRPr="00ED5FEC">
        <w:rPr>
          <w:rFonts w:eastAsia="Cambria" w:cs="Arial"/>
          <w:szCs w:val="24"/>
        </w:rPr>
        <w:t xml:space="preserve"> related. Only a very small number of participants did not agree at all or were unsure about the definition for Australia</w:t>
      </w:r>
      <w:r w:rsidR="004C5F5C">
        <w:rPr>
          <w:rFonts w:eastAsia="Cambria" w:cs="Arial"/>
          <w:szCs w:val="24"/>
        </w:rPr>
        <w:noBreakHyphen/>
      </w:r>
      <w:r w:rsidRPr="00ED5FEC">
        <w:rPr>
          <w:rFonts w:eastAsia="Cambria" w:cs="Arial"/>
          <w:szCs w:val="24"/>
        </w:rPr>
        <w:t>related.</w:t>
      </w:r>
    </w:p>
    <w:p w14:paraId="7E976C9A" w14:textId="4776858D" w:rsidR="00B51AD0" w:rsidRDefault="00ED5FEC" w:rsidP="001A20CD">
      <w:pPr>
        <w:tabs>
          <w:tab w:val="left" w:pos="709"/>
          <w:tab w:val="left" w:pos="1418"/>
          <w:tab w:val="left" w:pos="2835"/>
          <w:tab w:val="left" w:pos="3544"/>
          <w:tab w:val="left" w:pos="4253"/>
          <w:tab w:val="left" w:pos="4961"/>
          <w:tab w:val="left" w:pos="5670"/>
        </w:tabs>
        <w:spacing w:after="160"/>
        <w:jc w:val="both"/>
        <w:rPr>
          <w:rFonts w:eastAsia="Cambria" w:cs="Arial"/>
          <w:szCs w:val="24"/>
        </w:rPr>
      </w:pPr>
      <w:r w:rsidRPr="00DD2FA5">
        <w:rPr>
          <w:noProof/>
          <w:lang w:eastAsia="en-AU"/>
        </w:rPr>
        <w:drawing>
          <wp:inline distT="0" distB="0" distL="0" distR="0" wp14:anchorId="682C4AB3" wp14:editId="063A9610">
            <wp:extent cx="3276000" cy="1813983"/>
            <wp:effectExtent l="0" t="0" r="635" b="0"/>
            <wp:docPr id="27" name="Picture 27" descr="The extent to which respondents agree with the definition for Australia-related:&#10;33% To a very large extent&#10;41% To a large extent&#10;19% To a moderate extent&#10;4% To a small extent&#10;3% Not at all&#10;2% Unsure&#10; " title="Figure 3 - The extent to which respondents agree with the definition for Australia-rel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276000" cy="1813983"/>
                    </a:xfrm>
                    <a:prstGeom prst="rect">
                      <a:avLst/>
                    </a:prstGeom>
                    <a:noFill/>
                    <a:ln>
                      <a:noFill/>
                    </a:ln>
                  </pic:spPr>
                </pic:pic>
              </a:graphicData>
            </a:graphic>
          </wp:inline>
        </w:drawing>
      </w:r>
    </w:p>
    <w:p w14:paraId="04F763AF" w14:textId="3A0752B6" w:rsidR="001A20CD" w:rsidRPr="000A59D1" w:rsidRDefault="003B4493" w:rsidP="00172D73">
      <w:pPr>
        <w:tabs>
          <w:tab w:val="left" w:pos="709"/>
          <w:tab w:val="left" w:pos="1418"/>
          <w:tab w:val="left" w:pos="2835"/>
          <w:tab w:val="left" w:pos="3544"/>
          <w:tab w:val="left" w:pos="4253"/>
          <w:tab w:val="left" w:pos="4961"/>
          <w:tab w:val="left" w:pos="5670"/>
        </w:tabs>
        <w:spacing w:after="160"/>
        <w:ind w:left="284"/>
        <w:rPr>
          <w:rFonts w:eastAsia="Times New Roman" w:cs="Arial"/>
          <w:bCs/>
          <w:i/>
          <w:sz w:val="20"/>
          <w:szCs w:val="20"/>
          <w:lang w:eastAsia="en-AU"/>
        </w:rPr>
      </w:pPr>
      <w:r w:rsidRPr="000A59D1">
        <w:rPr>
          <w:rFonts w:eastAsia="Cambria" w:cs="Arial"/>
          <w:i/>
          <w:sz w:val="20"/>
          <w:szCs w:val="20"/>
        </w:rPr>
        <w:t>Figure 3</w:t>
      </w:r>
      <w:r w:rsidR="00AA7153">
        <w:rPr>
          <w:rFonts w:eastAsia="Cambria" w:cs="Arial"/>
          <w:i/>
          <w:sz w:val="20"/>
          <w:szCs w:val="20"/>
        </w:rPr>
        <w:t>—</w:t>
      </w:r>
      <w:proofErr w:type="gramStart"/>
      <w:r w:rsidR="001A20CD" w:rsidRPr="000A59D1">
        <w:rPr>
          <w:rFonts w:eastAsia="Times New Roman" w:cs="Arial"/>
          <w:bCs/>
          <w:i/>
          <w:sz w:val="20"/>
          <w:szCs w:val="20"/>
          <w:lang w:eastAsia="en-AU"/>
        </w:rPr>
        <w:t>The</w:t>
      </w:r>
      <w:proofErr w:type="gramEnd"/>
      <w:r w:rsidR="001A20CD" w:rsidRPr="000A59D1">
        <w:rPr>
          <w:rFonts w:eastAsia="Times New Roman" w:cs="Arial"/>
          <w:bCs/>
          <w:i/>
          <w:sz w:val="20"/>
          <w:szCs w:val="20"/>
          <w:lang w:eastAsia="en-AU"/>
        </w:rPr>
        <w:t xml:space="preserve"> extent to which respondents agree wit</w:t>
      </w:r>
      <w:r w:rsidR="000A59D1" w:rsidRPr="000A59D1">
        <w:rPr>
          <w:rFonts w:eastAsia="Times New Roman" w:cs="Arial"/>
          <w:bCs/>
          <w:i/>
          <w:sz w:val="20"/>
          <w:szCs w:val="20"/>
          <w:lang w:eastAsia="en-AU"/>
        </w:rPr>
        <w:t>h the definition for Australia-</w:t>
      </w:r>
      <w:r w:rsidR="001A20CD" w:rsidRPr="000A59D1">
        <w:rPr>
          <w:rFonts w:eastAsia="Times New Roman" w:cs="Arial"/>
          <w:bCs/>
          <w:i/>
          <w:sz w:val="20"/>
          <w:szCs w:val="20"/>
          <w:lang w:eastAsia="en-AU"/>
        </w:rPr>
        <w:t>related</w:t>
      </w:r>
      <w:r w:rsidR="001A20CD" w:rsidRPr="000A59D1">
        <w:rPr>
          <w:rFonts w:ascii="Cambria" w:eastAsia="Times New Roman" w:hAnsi="Cambria" w:cs="Times New Roman"/>
          <w:bCs/>
          <w:sz w:val="21"/>
          <w:szCs w:val="19"/>
          <w:vertAlign w:val="superscript"/>
          <w:lang w:eastAsia="en-AU"/>
        </w:rPr>
        <w:footnoteReference w:id="12"/>
      </w:r>
    </w:p>
    <w:p w14:paraId="68FB2A58" w14:textId="77777777" w:rsidR="00AA7153" w:rsidRDefault="001A20CD" w:rsidP="00E84122">
      <w:pPr>
        <w:pStyle w:val="Heading2"/>
      </w:pPr>
      <w:bookmarkStart w:id="25" w:name="_Toc430867340"/>
      <w:bookmarkStart w:id="26" w:name="_Toc433906581"/>
      <w:r w:rsidRPr="00E84122">
        <w:lastRenderedPageBreak/>
        <w:t>A new classification structure</w:t>
      </w:r>
      <w:bookmarkEnd w:id="25"/>
      <w:bookmarkEnd w:id="26"/>
    </w:p>
    <w:p w14:paraId="082EF0AF" w14:textId="4318D0A9" w:rsidR="00AA7153" w:rsidRDefault="001A20CD" w:rsidP="001A20CD">
      <w:pPr>
        <w:rPr>
          <w:rFonts w:eastAsia="Cambria" w:cs="Times New Roman"/>
        </w:rPr>
      </w:pPr>
      <w:r w:rsidRPr="00E70C45">
        <w:rPr>
          <w:rFonts w:eastAsia="Cambria" w:cs="Times New Roman"/>
        </w:rPr>
        <w:t>Currently, there is a single term for the material regulated by the Act</w:t>
      </w:r>
      <w:r w:rsidR="00801A32">
        <w:rPr>
          <w:rFonts w:eastAsia="Cambria" w:cs="Times New Roman"/>
        </w:rPr>
        <w:t>—</w:t>
      </w:r>
      <w:r w:rsidRPr="00E70C45">
        <w:rPr>
          <w:rFonts w:eastAsia="Cambria" w:cs="Times New Roman"/>
        </w:rPr>
        <w:t>Australian Protected Object. Within this term, objects may be further defined as Class A or Class B. Class A objects are not able to be exported but Class B objects may be granted or denied an export permit, whether for permanent or temporary export.</w:t>
      </w:r>
    </w:p>
    <w:p w14:paraId="66650B1F" w14:textId="52DB7666" w:rsidR="00AA7153" w:rsidRDefault="001A20CD" w:rsidP="001A20CD">
      <w:pPr>
        <w:rPr>
          <w:rFonts w:eastAsia="Cambria" w:cs="Times New Roman"/>
        </w:rPr>
      </w:pPr>
      <w:r w:rsidRPr="00E70C45">
        <w:rPr>
          <w:rFonts w:eastAsia="Cambria" w:cs="Times New Roman"/>
        </w:rPr>
        <w:t>The distinction between Class A objects and Class B objects has been subject to criticism for many years. The material categorised as Class A (and thus attracting the highest degree of protection) constitutes only a small part of the most important Australian heritage material. The proposed scheme abolishes the designation of material as Class A or Class B</w:t>
      </w:r>
      <w:r w:rsidR="00801A32">
        <w:rPr>
          <w:rFonts w:eastAsia="Cambria" w:cs="Times New Roman"/>
        </w:rPr>
        <w:t>—</w:t>
      </w:r>
      <w:r w:rsidRPr="00E70C45">
        <w:rPr>
          <w:rFonts w:eastAsia="Cambria" w:cs="Times New Roman"/>
        </w:rPr>
        <w:t>however it ensures that objects currently within Class A continue to receive the maximum protection afforded.</w:t>
      </w:r>
    </w:p>
    <w:p w14:paraId="0D6A694C" w14:textId="0BD430E9" w:rsidR="001A20CD" w:rsidRPr="00E70C45" w:rsidRDefault="001A20CD" w:rsidP="001A20CD">
      <w:pPr>
        <w:rPr>
          <w:rFonts w:eastAsia="Cambria" w:cs="Times New Roman"/>
        </w:rPr>
      </w:pPr>
      <w:r w:rsidRPr="00E70C45">
        <w:rPr>
          <w:rFonts w:eastAsia="Cambria" w:cs="Times New Roman"/>
        </w:rPr>
        <w:t>The new model adopts a new three-tier classification structure</w:t>
      </w:r>
      <w:r>
        <w:rPr>
          <w:rFonts w:eastAsia="Cambria" w:cs="Times New Roman"/>
        </w:rPr>
        <w:t xml:space="preserve"> for Australia-related cultural material</w:t>
      </w:r>
      <w:r w:rsidRPr="00E70C45">
        <w:rPr>
          <w:rFonts w:eastAsia="Cambria" w:cs="Times New Roman"/>
        </w:rPr>
        <w:t>. It provides greater clarity and specificity about the objects regulated by the Act and the conditions placed on exporting them. The three classifications are:</w:t>
      </w:r>
    </w:p>
    <w:p w14:paraId="4656392A" w14:textId="77777777" w:rsidR="001A20CD" w:rsidRPr="00E70C45" w:rsidRDefault="001A20CD" w:rsidP="00C06615">
      <w:pPr>
        <w:pStyle w:val="ListParagraph"/>
        <w:numPr>
          <w:ilvl w:val="0"/>
          <w:numId w:val="32"/>
        </w:numPr>
        <w:spacing w:before="120" w:after="320"/>
        <w:ind w:left="567" w:hanging="567"/>
      </w:pPr>
      <w:r w:rsidRPr="00E70C45">
        <w:t>Australian Heritage Material;</w:t>
      </w:r>
    </w:p>
    <w:p w14:paraId="3FB9FA96" w14:textId="77777777" w:rsidR="00AA7153" w:rsidRDefault="001A20CD" w:rsidP="00C06615">
      <w:pPr>
        <w:pStyle w:val="ListParagraph"/>
        <w:numPr>
          <w:ilvl w:val="0"/>
          <w:numId w:val="32"/>
        </w:numPr>
        <w:spacing w:before="120" w:after="320"/>
        <w:ind w:left="567" w:hanging="567"/>
      </w:pPr>
      <w:r w:rsidRPr="00E70C45">
        <w:t>Australian Protected Material; and</w:t>
      </w:r>
    </w:p>
    <w:p w14:paraId="13C1A840" w14:textId="77777777" w:rsidR="00AA7153" w:rsidRDefault="001A20CD" w:rsidP="00C06615">
      <w:pPr>
        <w:pStyle w:val="ListParagraph"/>
        <w:numPr>
          <w:ilvl w:val="0"/>
          <w:numId w:val="32"/>
        </w:numPr>
        <w:spacing w:before="120" w:after="320"/>
        <w:ind w:left="567" w:hanging="567"/>
      </w:pPr>
      <w:r w:rsidRPr="00E70C45">
        <w:t>Declared Australian Protected Material.</w:t>
      </w:r>
    </w:p>
    <w:p w14:paraId="5A276744" w14:textId="416DD104" w:rsidR="001A20CD" w:rsidRPr="00E70C45" w:rsidRDefault="001A20CD" w:rsidP="001A20CD">
      <w:pPr>
        <w:rPr>
          <w:rFonts w:eastAsia="Cambria" w:cs="Times New Roman"/>
        </w:rPr>
      </w:pPr>
      <w:r w:rsidRPr="00E70C45">
        <w:rPr>
          <w:rFonts w:eastAsia="Cambria" w:cs="Times New Roman"/>
        </w:rPr>
        <w:t>The intention of this new classification system is to make the scheme simpler to understand and to reduce the regulatory burden for both applicants and Government. All material within these classifications would require application for an export permit</w:t>
      </w:r>
      <w:r w:rsidR="00801A32">
        <w:rPr>
          <w:rFonts w:eastAsia="Cambria" w:cs="Times New Roman"/>
        </w:rPr>
        <w:t>—</w:t>
      </w:r>
      <w:r w:rsidRPr="00E70C45">
        <w:rPr>
          <w:rFonts w:eastAsia="Cambria" w:cs="Times New Roman"/>
        </w:rPr>
        <w:t>irrespective of whether the export is on a permanent or temporary basis. Any attempt to export other than in compliance with a permit would be an offence and various sanctions and forfeiture provisions would apply.</w:t>
      </w:r>
      <w:r w:rsidRPr="00E70C45">
        <w:rPr>
          <w:rFonts w:eastAsia="Cambria" w:cs="Times New Roman"/>
          <w:vertAlign w:val="superscript"/>
        </w:rPr>
        <w:footnoteReference w:id="13"/>
      </w:r>
      <w:r w:rsidRPr="00E70C45">
        <w:rPr>
          <w:rFonts w:eastAsia="Cambria" w:cs="Times New Roman"/>
        </w:rPr>
        <w:t xml:space="preserve"> The following sections describe the proposed classification system in more detail.</w:t>
      </w:r>
    </w:p>
    <w:p w14:paraId="1FAD885A" w14:textId="1D7A9600" w:rsidR="00AA7153" w:rsidRDefault="001A20CD" w:rsidP="00AB6407">
      <w:pPr>
        <w:pStyle w:val="Heading3"/>
      </w:pPr>
      <w:bookmarkStart w:id="27" w:name="_Toc419455508"/>
      <w:bookmarkStart w:id="28" w:name="_Toc423334280"/>
      <w:bookmarkEnd w:id="1"/>
      <w:r w:rsidRPr="00E84122">
        <w:lastRenderedPageBreak/>
        <w:t>Australian Heritage Material</w:t>
      </w:r>
    </w:p>
    <w:p w14:paraId="1A55805F" w14:textId="0FD5FF3D" w:rsidR="001A20CD" w:rsidRDefault="001A20CD" w:rsidP="00AB6407">
      <w:pPr>
        <w:keepNext/>
      </w:pPr>
      <w:r>
        <w:t>The first classification is that of Australian Heritage Material. This is material which either:</w:t>
      </w:r>
    </w:p>
    <w:p w14:paraId="5D2A8D35" w14:textId="77777777" w:rsidR="001A20CD" w:rsidRDefault="001A20CD" w:rsidP="00AB6407">
      <w:pPr>
        <w:pStyle w:val="ListParagraph"/>
        <w:keepNext/>
        <w:numPr>
          <w:ilvl w:val="0"/>
          <w:numId w:val="32"/>
        </w:numPr>
        <w:spacing w:before="120" w:after="320"/>
        <w:ind w:left="567" w:hanging="567"/>
      </w:pPr>
      <w:r>
        <w:t>exceeds the relevant age and value thresholds as set out in the Regulations; or</w:t>
      </w:r>
    </w:p>
    <w:p w14:paraId="44781C25" w14:textId="3D677D1D" w:rsidR="001A20CD" w:rsidRDefault="000A59D1" w:rsidP="00AB6407">
      <w:pPr>
        <w:pStyle w:val="ListParagraph"/>
        <w:numPr>
          <w:ilvl w:val="0"/>
          <w:numId w:val="32"/>
        </w:numPr>
        <w:spacing w:before="120" w:after="320"/>
        <w:ind w:left="567" w:hanging="567"/>
      </w:pPr>
      <w:r>
        <w:t xml:space="preserve">is </w:t>
      </w:r>
      <w:r w:rsidR="003737D8">
        <w:t>listed in the Regulations as Australian</w:t>
      </w:r>
      <w:r w:rsidR="001A20CD">
        <w:t xml:space="preserve"> Heritage Material;</w:t>
      </w:r>
      <w:r w:rsidR="001A20CD">
        <w:rPr>
          <w:rStyle w:val="FootnoteReference"/>
        </w:rPr>
        <w:footnoteReference w:id="14"/>
      </w:r>
      <w:r w:rsidR="001A20CD">
        <w:t xml:space="preserve"> or</w:t>
      </w:r>
    </w:p>
    <w:p w14:paraId="4B86DFD8" w14:textId="77777777" w:rsidR="00AA7153" w:rsidRDefault="000A59D1" w:rsidP="00AB6407">
      <w:pPr>
        <w:pStyle w:val="ListParagraph"/>
        <w:numPr>
          <w:ilvl w:val="0"/>
          <w:numId w:val="32"/>
        </w:numPr>
        <w:spacing w:before="120" w:after="320"/>
        <w:ind w:left="567" w:hanging="567"/>
      </w:pPr>
      <w:proofErr w:type="gramStart"/>
      <w:r>
        <w:t>irrespective</w:t>
      </w:r>
      <w:proofErr w:type="gramEnd"/>
      <w:r>
        <w:t xml:space="preserve"> of the age and value criterion, is declared by the</w:t>
      </w:r>
      <w:r w:rsidR="00FB5D99">
        <w:t xml:space="preserve"> M</w:t>
      </w:r>
      <w:r>
        <w:t xml:space="preserve">inister to be </w:t>
      </w:r>
      <w:r w:rsidR="001A20CD">
        <w:t>Australian Heritage Material.</w:t>
      </w:r>
    </w:p>
    <w:p w14:paraId="7426F74C" w14:textId="77777777" w:rsidR="00AA7153" w:rsidRDefault="001A20CD" w:rsidP="001A20CD">
      <w:r>
        <w:t>An owner who is considering the export of cultural material must apply the relevant age and value thresholds.</w:t>
      </w:r>
    </w:p>
    <w:p w14:paraId="1230A129" w14:textId="10464DE5" w:rsidR="001A20CD" w:rsidRDefault="001A20CD" w:rsidP="001A20CD">
      <w:r w:rsidRPr="00B3624C">
        <w:t xml:space="preserve">Where market value is one of the objective tests to determine whether an item is Australian Heritage Material, </w:t>
      </w:r>
      <w:r>
        <w:t>the new model requires that the threshold value accorded to an object be the higher of</w:t>
      </w:r>
      <w:r w:rsidRPr="00B3624C">
        <w:t xml:space="preserve"> either the Australian or international value</w:t>
      </w:r>
      <w:r>
        <w:t xml:space="preserve">. Also, it must include buyer’s premiums, commissions and other charges on top of the hammer </w:t>
      </w:r>
      <w:r w:rsidR="000A59D1">
        <w:t xml:space="preserve">price of the material. </w:t>
      </w:r>
      <w:r>
        <w:t>In other words, it is the total price a buyer is willing to</w:t>
      </w:r>
      <w:r w:rsidR="000A59D1">
        <w:t xml:space="preserve"> pay</w:t>
      </w:r>
      <w:r w:rsidR="00E64026">
        <w:t>,</w:t>
      </w:r>
      <w:r w:rsidR="000A59D1">
        <w:t xml:space="preserve"> not just the hammer price.</w:t>
      </w:r>
    </w:p>
    <w:p w14:paraId="4DECCE81" w14:textId="77777777" w:rsidR="00AA7153" w:rsidRDefault="001A20CD" w:rsidP="001A20CD">
      <w:r>
        <w:t>If the material does not exceed both the age and relevant value thresholds (and is not prescribed on the Declared Australian Protected Material list), no export permit is required. The application of the thresholds is a matter of self-assessment.</w:t>
      </w:r>
      <w:r>
        <w:rPr>
          <w:rStyle w:val="FootnoteReference"/>
        </w:rPr>
        <w:footnoteReference w:id="15"/>
      </w:r>
    </w:p>
    <w:p w14:paraId="71F81BD4" w14:textId="77777777" w:rsidR="00AA7153" w:rsidRDefault="001A20CD" w:rsidP="001A20CD">
      <w:r>
        <w:t>If it exceeds both thresholds, it is Australian Heritage Material and an</w:t>
      </w:r>
      <w:r w:rsidRPr="00FB0D3A">
        <w:t xml:space="preserve"> owner (or agent) who wishes to export</w:t>
      </w:r>
      <w:r>
        <w:t xml:space="preserve"> it, either temporarily or permanently,</w:t>
      </w:r>
      <w:r w:rsidRPr="00FB0D3A">
        <w:t xml:space="preserve"> must apply for an export permit.</w:t>
      </w:r>
      <w:r>
        <w:rPr>
          <w:rStyle w:val="FootnoteReference"/>
        </w:rPr>
        <w:footnoteReference w:id="16"/>
      </w:r>
    </w:p>
    <w:p w14:paraId="62A24A0F" w14:textId="30BFE118" w:rsidR="001A20CD" w:rsidRDefault="001A20CD" w:rsidP="001A20CD">
      <w:r w:rsidRPr="00FB0D3A">
        <w:t xml:space="preserve">Not all significant </w:t>
      </w:r>
      <w:r>
        <w:t>cultural material</w:t>
      </w:r>
      <w:r w:rsidRPr="00FB0D3A">
        <w:t xml:space="preserve"> should be prevented from permanent export. There are situations in which the benefits of the export can outweigh the</w:t>
      </w:r>
      <w:r>
        <w:t xml:space="preserve"> benefits of</w:t>
      </w:r>
      <w:r w:rsidRPr="00FB0D3A">
        <w:t xml:space="preserve"> prohibition of export</w:t>
      </w:r>
      <w:r w:rsidR="00801A32">
        <w:t>—</w:t>
      </w:r>
      <w:r w:rsidRPr="00FB0D3A">
        <w:t xml:space="preserve">notwithstanding that the object is culturally significant. </w:t>
      </w:r>
      <w:r>
        <w:t xml:space="preserve">For example, </w:t>
      </w:r>
      <w:r w:rsidRPr="00FB0D3A">
        <w:t xml:space="preserve">export can mean that important collectors and institutions overseas also have access to quality Australian material. </w:t>
      </w:r>
      <w:r>
        <w:t xml:space="preserve">Such purchases can have very positive </w:t>
      </w:r>
      <w:r>
        <w:lastRenderedPageBreak/>
        <w:t xml:space="preserve">benefits in promoting business opportunities, professional reputations and the </w:t>
      </w:r>
      <w:r w:rsidR="00CA294D">
        <w:t>exposure</w:t>
      </w:r>
      <w:r>
        <w:t xml:space="preserve"> of </w:t>
      </w:r>
      <w:r w:rsidRPr="008A5C3D">
        <w:t xml:space="preserve">Australian culture overseas. Accordingly, the </w:t>
      </w:r>
      <w:r>
        <w:t>new model</w:t>
      </w:r>
      <w:r w:rsidRPr="008A5C3D">
        <w:t xml:space="preserve"> provides that the permanent export of Australian </w:t>
      </w:r>
      <w:r>
        <w:t>Heritage</w:t>
      </w:r>
      <w:r w:rsidRPr="008A5C3D">
        <w:t xml:space="preserve"> </w:t>
      </w:r>
      <w:r>
        <w:t>Material</w:t>
      </w:r>
      <w:r w:rsidRPr="008A5C3D">
        <w:t xml:space="preserve"> may b</w:t>
      </w:r>
      <w:r w:rsidR="000A59D1">
        <w:t>e granted even though the material</w:t>
      </w:r>
      <w:r w:rsidRPr="008A5C3D">
        <w:t xml:space="preserve"> has been found to be significant</w:t>
      </w:r>
      <w:r w:rsidR="00AA7153">
        <w:t>—</w:t>
      </w:r>
      <w:r>
        <w:t>provided that it satisfies the representation test</w:t>
      </w:r>
      <w:r w:rsidRPr="008A5C3D">
        <w:t>.</w:t>
      </w:r>
    </w:p>
    <w:p w14:paraId="18C7D8BD" w14:textId="77777777" w:rsidR="00ED5FEC" w:rsidRPr="00ED5FEC" w:rsidRDefault="00ED5FEC" w:rsidP="00ED5FEC">
      <w:pPr>
        <w:pStyle w:val="Subtitle"/>
      </w:pPr>
      <w:r w:rsidRPr="00ED5FEC">
        <w:t>Case Study: Nolan’s Ned Kelly</w:t>
      </w:r>
    </w:p>
    <w:p w14:paraId="6850C82F" w14:textId="77777777" w:rsidR="00AA7153" w:rsidRDefault="00ED5FEC" w:rsidP="00ED5FEC">
      <w:r w:rsidRPr="00ED5FEC">
        <w:t xml:space="preserve">An applicant wishes to permanently export Sidney Nolan’s </w:t>
      </w:r>
      <w:r w:rsidRPr="004C5F5C">
        <w:rPr>
          <w:i/>
        </w:rPr>
        <w:t>Ned Kelly</w:t>
      </w:r>
      <w:r w:rsidRPr="00ED5FEC">
        <w:t xml:space="preserve"> (1946), an ink and wash on paper work which is not on the Declared Australian Protected Material list. The applicant initially must determine whether the work meets the thresholds for being Australian Heritage Material.</w:t>
      </w:r>
    </w:p>
    <w:p w14:paraId="32B821B0" w14:textId="56507978" w:rsidR="00ED5FEC" w:rsidRPr="00ED5FEC" w:rsidRDefault="00ED5FEC" w:rsidP="00ED5FEC">
      <w:r w:rsidRPr="00ED5FEC">
        <w:t>Under the new model, this work would be assessed under Part 3: Visual Arts, Craft and Design Material:</w:t>
      </w:r>
    </w:p>
    <w:p w14:paraId="2A48084F" w14:textId="77777777" w:rsidR="00AA7153" w:rsidRDefault="00ED5FEC" w:rsidP="0035682E">
      <w:pPr>
        <w:numPr>
          <w:ilvl w:val="3"/>
          <w:numId w:val="84"/>
        </w:numPr>
      </w:pPr>
      <w:r w:rsidRPr="00ED5FEC">
        <w:t>Visual Arts, Craft and Design Material is Australian Heritage Material if it:</w:t>
      </w:r>
    </w:p>
    <w:p w14:paraId="7245DF1E" w14:textId="77777777" w:rsidR="00AA7153" w:rsidRDefault="00ED5FEC" w:rsidP="00AB6407">
      <w:pPr>
        <w:numPr>
          <w:ilvl w:val="4"/>
          <w:numId w:val="84"/>
        </w:numPr>
        <w:ind w:left="1134" w:hanging="567"/>
      </w:pPr>
      <w:r w:rsidRPr="00ED5FEC">
        <w:t>is Australia-related; and</w:t>
      </w:r>
    </w:p>
    <w:p w14:paraId="0E951AB7" w14:textId="287381C3" w:rsidR="00ED5FEC" w:rsidRPr="00ED5FEC" w:rsidRDefault="00ED5FEC" w:rsidP="00AB6407">
      <w:pPr>
        <w:numPr>
          <w:ilvl w:val="4"/>
          <w:numId w:val="84"/>
        </w:numPr>
        <w:ind w:left="1134" w:hanging="567"/>
      </w:pPr>
      <w:r w:rsidRPr="00ED5FEC">
        <w:t>is more than 30 years old; and</w:t>
      </w:r>
    </w:p>
    <w:p w14:paraId="36B9C8BB" w14:textId="77777777" w:rsidR="00AA7153" w:rsidRDefault="00ED5FEC" w:rsidP="00AB6407">
      <w:pPr>
        <w:numPr>
          <w:ilvl w:val="4"/>
          <w:numId w:val="84"/>
        </w:numPr>
        <w:ind w:left="1134" w:hanging="567"/>
      </w:pPr>
      <w:r w:rsidRPr="00ED5FEC">
        <w:t>has a current market value set out below:</w:t>
      </w:r>
    </w:p>
    <w:p w14:paraId="5C48C2AA" w14:textId="2000E11F" w:rsidR="00ED5FEC" w:rsidRPr="00ED5FEC" w:rsidRDefault="00ED5FEC" w:rsidP="00AB6407">
      <w:pPr>
        <w:numPr>
          <w:ilvl w:val="5"/>
          <w:numId w:val="84"/>
        </w:numPr>
        <w:ind w:left="1701" w:hanging="567"/>
      </w:pPr>
      <w:proofErr w:type="gramStart"/>
      <w:r w:rsidRPr="00ED5FEC">
        <w:t>watercolours</w:t>
      </w:r>
      <w:proofErr w:type="gramEnd"/>
      <w:r w:rsidRPr="00ED5FEC">
        <w:t>, pastels, drawings, sketches and other similar works having a current market value of at least $40,000</w:t>
      </w:r>
      <w:r w:rsidR="00AB6407">
        <w:t>.</w:t>
      </w:r>
    </w:p>
    <w:p w14:paraId="6E60D529" w14:textId="77777777" w:rsidR="00ED5FEC" w:rsidRPr="00ED5FEC" w:rsidRDefault="00ED5FEC" w:rsidP="00ED5FEC">
      <w:r w:rsidRPr="00ED5FEC">
        <w:t>The work was made by an Australian artist who is no longer alive; it is more than 30 years old; it is an ink and wash on paper and valued over the $40,000 threshold. Based on this assessment the artwork does meet the objective thresholds and is therefore classed as Australian Heritage Material. It would require an application for a temporary or permanent export permit.</w:t>
      </w:r>
    </w:p>
    <w:p w14:paraId="5CC91F67" w14:textId="77777777" w:rsidR="00AB6407" w:rsidRDefault="00ED5FEC" w:rsidP="00ED5FEC">
      <w:r w:rsidRPr="00ED5FEC">
        <w:t>The Department would undertake an initial assessment and determine whether a full significance assessment was required. If so, an Assessor would determine the work’s level of significance and representation in public collections.</w:t>
      </w:r>
      <w:r w:rsidR="00801A32">
        <w:t xml:space="preserve"> </w:t>
      </w:r>
      <w:r w:rsidRPr="00ED5FEC">
        <w:t>Even if the work is found to be of outstanding significance, it may still be granted a permanent export permit if it is found to be adequately represented.</w:t>
      </w:r>
    </w:p>
    <w:p w14:paraId="16771BCF" w14:textId="77777777" w:rsidR="001A20CD" w:rsidRPr="00E84122" w:rsidRDefault="001A20CD" w:rsidP="00E84122">
      <w:pPr>
        <w:pStyle w:val="Heading3"/>
      </w:pPr>
      <w:bookmarkStart w:id="29" w:name="_Toc430674496"/>
      <w:bookmarkStart w:id="30" w:name="_Toc430674497"/>
      <w:bookmarkStart w:id="31" w:name="_Toc430674498"/>
      <w:bookmarkStart w:id="32" w:name="_Toc430674499"/>
      <w:bookmarkStart w:id="33" w:name="_Toc430674500"/>
      <w:bookmarkStart w:id="34" w:name="_Toc430674501"/>
      <w:bookmarkStart w:id="35" w:name="_Toc430674502"/>
      <w:bookmarkStart w:id="36" w:name="_Toc430674503"/>
      <w:bookmarkStart w:id="37" w:name="_Toc419455509"/>
      <w:bookmarkEnd w:id="27"/>
      <w:bookmarkEnd w:id="29"/>
      <w:bookmarkEnd w:id="30"/>
      <w:bookmarkEnd w:id="31"/>
      <w:bookmarkEnd w:id="32"/>
      <w:bookmarkEnd w:id="33"/>
      <w:bookmarkEnd w:id="34"/>
      <w:bookmarkEnd w:id="35"/>
      <w:bookmarkEnd w:id="36"/>
      <w:r w:rsidRPr="00E84122">
        <w:lastRenderedPageBreak/>
        <w:t>Australian Protected Material</w:t>
      </w:r>
    </w:p>
    <w:p w14:paraId="72729695" w14:textId="77777777" w:rsidR="001A20CD" w:rsidRDefault="001A20CD" w:rsidP="001A20CD">
      <w:r>
        <w:t>Australian Protected Material is Australian Heritage Material that has been:</w:t>
      </w:r>
    </w:p>
    <w:p w14:paraId="3107CFC9" w14:textId="77777777" w:rsidR="001A20CD" w:rsidRDefault="001A20CD" w:rsidP="0035682E">
      <w:pPr>
        <w:pStyle w:val="ListParagraph"/>
        <w:numPr>
          <w:ilvl w:val="0"/>
          <w:numId w:val="43"/>
        </w:numPr>
        <w:spacing w:before="120" w:after="320"/>
        <w:ind w:left="567" w:hanging="283"/>
      </w:pPr>
      <w:r>
        <w:t>permitted to leave the country on the basis of a temporary export permit (for the period it is outside of Australia); or</w:t>
      </w:r>
    </w:p>
    <w:p w14:paraId="13BB1D07" w14:textId="77777777" w:rsidR="001A20CD" w:rsidRDefault="001A20CD" w:rsidP="0035682E">
      <w:pPr>
        <w:pStyle w:val="ListParagraph"/>
        <w:numPr>
          <w:ilvl w:val="0"/>
          <w:numId w:val="43"/>
        </w:numPr>
        <w:spacing w:before="120" w:after="320"/>
        <w:ind w:left="567" w:hanging="283"/>
      </w:pPr>
      <w:r>
        <w:t>determined to be significant to Australia, or a part of Australia, according to the significance criteria and not adequately represented in Australian public collections, as defined in the Regulations; or</w:t>
      </w:r>
    </w:p>
    <w:p w14:paraId="610B5AF7" w14:textId="77777777" w:rsidR="00AA7153" w:rsidRDefault="001A20CD" w:rsidP="0035682E">
      <w:pPr>
        <w:pStyle w:val="ListParagraph"/>
        <w:numPr>
          <w:ilvl w:val="0"/>
          <w:numId w:val="43"/>
        </w:numPr>
        <w:spacing w:before="120" w:after="320"/>
        <w:ind w:left="567" w:hanging="283"/>
      </w:pPr>
      <w:r>
        <w:t>listed in the Regulations as Australian Protected Material;</w:t>
      </w:r>
      <w:r>
        <w:rPr>
          <w:rStyle w:val="FootnoteReference"/>
        </w:rPr>
        <w:footnoteReference w:id="17"/>
      </w:r>
      <w:r>
        <w:t xml:space="preserve"> or</w:t>
      </w:r>
    </w:p>
    <w:p w14:paraId="1DCE15AD" w14:textId="77777777" w:rsidR="00AA7153" w:rsidRDefault="000A59D1" w:rsidP="0035682E">
      <w:pPr>
        <w:pStyle w:val="ListParagraph"/>
        <w:numPr>
          <w:ilvl w:val="0"/>
          <w:numId w:val="43"/>
        </w:numPr>
        <w:spacing w:before="120" w:after="320"/>
        <w:ind w:left="567" w:hanging="283"/>
      </w:pPr>
      <w:proofErr w:type="gramStart"/>
      <w:r>
        <w:t>irrespective</w:t>
      </w:r>
      <w:proofErr w:type="gramEnd"/>
      <w:r>
        <w:t xml:space="preserve"> of the criterion, is declared by the Minister to be </w:t>
      </w:r>
      <w:r w:rsidR="001A20CD">
        <w:t>Australian Protected Material (making it Declared Australian Protected Material).</w:t>
      </w:r>
      <w:r w:rsidR="001A20CD">
        <w:rPr>
          <w:rStyle w:val="FootnoteReference"/>
        </w:rPr>
        <w:footnoteReference w:id="18"/>
      </w:r>
    </w:p>
    <w:p w14:paraId="73E20E3E" w14:textId="0BAD98DD" w:rsidR="001A20CD" w:rsidRPr="001B5D3A" w:rsidRDefault="001A20CD" w:rsidP="001B5D3A">
      <w:r>
        <w:t>Australian Protected Material is protected. It can only be exported</w:t>
      </w:r>
      <w:r w:rsidRPr="00967F76">
        <w:t xml:space="preserve"> </w:t>
      </w:r>
      <w:r>
        <w:t>temporarily with a permit.</w:t>
      </w:r>
      <w:r>
        <w:rPr>
          <w:rStyle w:val="FootnoteReference"/>
        </w:rPr>
        <w:footnoteReference w:id="19"/>
      </w:r>
      <w:r>
        <w:t xml:space="preserve"> </w:t>
      </w:r>
      <w:bookmarkEnd w:id="37"/>
      <w:r>
        <w:t xml:space="preserve">The granting of a temporary export permit may be </w:t>
      </w:r>
      <w:r w:rsidRPr="00EE3399">
        <w:t xml:space="preserve">based on an assessment of the risk </w:t>
      </w:r>
      <w:r>
        <w:t xml:space="preserve">by the Department </w:t>
      </w:r>
      <w:r w:rsidRPr="00EE3399">
        <w:t xml:space="preserve">regarding </w:t>
      </w:r>
      <w:r>
        <w:t>potential non-</w:t>
      </w:r>
      <w:r w:rsidRPr="00EE3399">
        <w:t>return to Australia</w:t>
      </w:r>
      <w:r>
        <w:t xml:space="preserve"> or may be subject to a full significance assessment.</w:t>
      </w:r>
      <w:r>
        <w:rPr>
          <w:rStyle w:val="FootnoteReference"/>
        </w:rPr>
        <w:footnoteReference w:id="20"/>
      </w:r>
      <w:bookmarkStart w:id="38" w:name="_Toc419455510"/>
    </w:p>
    <w:p w14:paraId="6F07F298" w14:textId="77777777" w:rsidR="00AA7153" w:rsidRDefault="001A20CD" w:rsidP="00E84122">
      <w:pPr>
        <w:pStyle w:val="Heading3"/>
      </w:pPr>
      <w:r w:rsidRPr="00E84122">
        <w:t>Declared Australian Protected Material</w:t>
      </w:r>
    </w:p>
    <w:p w14:paraId="5B3D7FA4" w14:textId="77777777" w:rsidR="00AA7153" w:rsidRDefault="001A20CD" w:rsidP="001A20CD">
      <w:pPr>
        <w:rPr>
          <w:sz w:val="21"/>
          <w:szCs w:val="21"/>
        </w:rPr>
      </w:pPr>
      <w:r>
        <w:t xml:space="preserve">Declared </w:t>
      </w:r>
      <w:r w:rsidRPr="00EE3399">
        <w:t xml:space="preserve">Australian Protected </w:t>
      </w:r>
      <w:r>
        <w:t>Material</w:t>
      </w:r>
      <w:r w:rsidRPr="00EE3399">
        <w:t xml:space="preserve"> </w:t>
      </w:r>
      <w:r>
        <w:t>is the proposed classification for material of outstanding significance, requiring the highest level of protection. The permanent export of Declared Australian Protected Material would be prohibited</w:t>
      </w:r>
      <w:r w:rsidRPr="00EE3399">
        <w:rPr>
          <w:sz w:val="21"/>
          <w:szCs w:val="21"/>
        </w:rPr>
        <w:t>.</w:t>
      </w:r>
      <w:bookmarkEnd w:id="38"/>
      <w:r>
        <w:rPr>
          <w:rStyle w:val="FootnoteReference"/>
          <w:sz w:val="21"/>
          <w:szCs w:val="21"/>
        </w:rPr>
        <w:footnoteReference w:id="21"/>
      </w:r>
    </w:p>
    <w:p w14:paraId="56B3EBAD" w14:textId="1EF294A7" w:rsidR="001A20CD" w:rsidRDefault="001A20CD" w:rsidP="001A20CD">
      <w:r>
        <w:t>Such material would be listed in the Regulations (and on the Department’s website). The starting point for the list would be an expanded version of the current Class A objects and the material which has already been refused export under the current Act. Everything currently protected under Class A would be included in the list of Declared Australian Protected Material.</w:t>
      </w:r>
    </w:p>
    <w:p w14:paraId="4F653DD0" w14:textId="64436FE2" w:rsidR="001A20CD" w:rsidRDefault="001A20CD" w:rsidP="00AB6407">
      <w:pPr>
        <w:keepNext/>
      </w:pPr>
      <w:r>
        <w:lastRenderedPageBreak/>
        <w:t xml:space="preserve">There would be three ways that additions could be made to the list of </w:t>
      </w:r>
      <w:r w:rsidRPr="00D5521B">
        <w:t xml:space="preserve">Declared Australian Protected </w:t>
      </w:r>
      <w:r>
        <w:t>Material:</w:t>
      </w:r>
    </w:p>
    <w:p w14:paraId="7A0138F7" w14:textId="77777777" w:rsidR="001A20CD" w:rsidRDefault="001A20CD" w:rsidP="00AB6407">
      <w:pPr>
        <w:pStyle w:val="ListParagraph"/>
        <w:keepNext/>
        <w:numPr>
          <w:ilvl w:val="0"/>
          <w:numId w:val="34"/>
        </w:numPr>
        <w:spacing w:before="120" w:after="320"/>
        <w:ind w:left="567" w:hanging="567"/>
      </w:pPr>
      <w:r>
        <w:t>if the Minister declares it to be Australian Protected Material;</w:t>
      </w:r>
      <w:r>
        <w:rPr>
          <w:rStyle w:val="FootnoteReference"/>
        </w:rPr>
        <w:footnoteReference w:id="22"/>
      </w:r>
      <w:r>
        <w:t xml:space="preserve"> or</w:t>
      </w:r>
    </w:p>
    <w:p w14:paraId="1BF344DB" w14:textId="77777777" w:rsidR="001A20CD" w:rsidRDefault="001A20CD" w:rsidP="00AB6407">
      <w:pPr>
        <w:pStyle w:val="ListParagraph"/>
        <w:numPr>
          <w:ilvl w:val="0"/>
          <w:numId w:val="34"/>
        </w:numPr>
        <w:spacing w:before="120" w:after="320"/>
        <w:ind w:left="567" w:hanging="567"/>
      </w:pPr>
      <w:r>
        <w:t>if Australian Heritage Material is denied a permanent export permit; or</w:t>
      </w:r>
    </w:p>
    <w:p w14:paraId="53592EBD" w14:textId="77777777" w:rsidR="00AA7153" w:rsidRDefault="001A20CD" w:rsidP="00AB6407">
      <w:pPr>
        <w:pStyle w:val="ListParagraph"/>
        <w:numPr>
          <w:ilvl w:val="0"/>
          <w:numId w:val="34"/>
        </w:numPr>
        <w:spacing w:before="120" w:after="320"/>
        <w:ind w:left="567" w:hanging="567"/>
      </w:pPr>
      <w:proofErr w:type="gramStart"/>
      <w:r>
        <w:t>if</w:t>
      </w:r>
      <w:proofErr w:type="gramEnd"/>
      <w:r>
        <w:t xml:space="preserve"> an owner applies for declared status.</w:t>
      </w:r>
      <w:r>
        <w:rPr>
          <w:rStyle w:val="FootnoteReference"/>
        </w:rPr>
        <w:footnoteReference w:id="23"/>
      </w:r>
      <w:r>
        <w:t xml:space="preserve"> </w:t>
      </w:r>
      <w:r w:rsidRPr="00AC0D57">
        <w:t>In this case, an application would be assessed for significance and representation.</w:t>
      </w:r>
    </w:p>
    <w:p w14:paraId="2EFA0149" w14:textId="77777777" w:rsidR="00AA7153" w:rsidRDefault="001A20CD" w:rsidP="001B5D3A">
      <w:r>
        <w:t>The ability of the Minister to place an object on the list, without reference to the thresholds in the Control List, represents an important safety net. While necessary as a filter, objective criteria such as age and value cannot ever hope to capture adequately all significant Australian heritage material. This provision will provide a mechanism for the Minister to intervene and protect material outside of those blunt instruments.</w:t>
      </w:r>
    </w:p>
    <w:p w14:paraId="63F803BF" w14:textId="1F62DE61" w:rsidR="001A20CD" w:rsidRPr="00E84122" w:rsidRDefault="001A20CD" w:rsidP="00E84122">
      <w:pPr>
        <w:pStyle w:val="Heading4"/>
      </w:pPr>
      <w:bookmarkStart w:id="39" w:name="_Toc419455511"/>
      <w:r w:rsidRPr="00E84122">
        <w:t>Temporary permits for Declared Australian Protected Material</w:t>
      </w:r>
    </w:p>
    <w:p w14:paraId="3CB49373" w14:textId="2E736224" w:rsidR="001A20CD" w:rsidRDefault="001A20CD" w:rsidP="001A20CD">
      <w:r>
        <w:t xml:space="preserve">While </w:t>
      </w:r>
      <w:r w:rsidRPr="00D5521B">
        <w:t xml:space="preserve">Declared Australian Protected </w:t>
      </w:r>
      <w:r>
        <w:t>Material cannot be exported permanently under the proposed model, a permit for temporary export may be granted under strict conditions. It is important that Australia’s finest cultural material be available for international display to the international community</w:t>
      </w:r>
      <w:r w:rsidR="00801A32">
        <w:t>—</w:t>
      </w:r>
      <w:r>
        <w:t>provided that it is done with appropriate safeguards.</w:t>
      </w:r>
    </w:p>
    <w:p w14:paraId="76896D2E" w14:textId="77777777" w:rsidR="001A20CD" w:rsidRDefault="001A20CD" w:rsidP="001A20CD">
      <w:r>
        <w:t>Temporary export would only be permitted in restricted circumstances:</w:t>
      </w:r>
    </w:p>
    <w:p w14:paraId="112E65B7" w14:textId="77777777" w:rsidR="001A20CD" w:rsidRDefault="001A20CD" w:rsidP="00AB6407">
      <w:pPr>
        <w:pStyle w:val="ListParagraph"/>
        <w:numPr>
          <w:ilvl w:val="0"/>
          <w:numId w:val="33"/>
        </w:numPr>
        <w:spacing w:before="120" w:after="320"/>
        <w:ind w:left="567" w:hanging="567"/>
      </w:pPr>
      <w:r>
        <w:t>where the export is for public exhibition, scientific examination and research, conservation or ceremonial purposes; and</w:t>
      </w:r>
    </w:p>
    <w:p w14:paraId="3C00D574" w14:textId="73F06E5B" w:rsidR="001A20CD" w:rsidRDefault="001A20CD" w:rsidP="00AB6407">
      <w:pPr>
        <w:pStyle w:val="ListParagraph"/>
        <w:numPr>
          <w:ilvl w:val="0"/>
          <w:numId w:val="33"/>
        </w:numPr>
        <w:spacing w:before="120" w:after="320"/>
        <w:ind w:left="567" w:hanging="567"/>
      </w:pPr>
      <w:r>
        <w:t>where the decision is made in consultation with experts;</w:t>
      </w:r>
      <w:r w:rsidR="00FB5D99">
        <w:t xml:space="preserve"> and</w:t>
      </w:r>
    </w:p>
    <w:p w14:paraId="2E2A6CF3" w14:textId="77777777" w:rsidR="00AA7153" w:rsidRDefault="001A20CD" w:rsidP="00AB6407">
      <w:pPr>
        <w:pStyle w:val="ListParagraph"/>
        <w:numPr>
          <w:ilvl w:val="0"/>
          <w:numId w:val="33"/>
        </w:numPr>
        <w:spacing w:before="120" w:after="320"/>
        <w:ind w:left="567" w:hanging="567"/>
      </w:pPr>
      <w:r>
        <w:t>when the material is Aboriginal or Torres Strait Islander cultural material, with the consent of relevant owners and community; and</w:t>
      </w:r>
    </w:p>
    <w:p w14:paraId="6F4545A6" w14:textId="77777777" w:rsidR="00AA7153" w:rsidRDefault="001A20CD" w:rsidP="00AB6407">
      <w:pPr>
        <w:pStyle w:val="ListParagraph"/>
        <w:numPr>
          <w:ilvl w:val="0"/>
          <w:numId w:val="33"/>
        </w:numPr>
        <w:spacing w:before="120" w:after="320"/>
        <w:ind w:left="567" w:hanging="567"/>
      </w:pPr>
      <w:proofErr w:type="gramStart"/>
      <w:r>
        <w:t>where</w:t>
      </w:r>
      <w:proofErr w:type="gramEnd"/>
      <w:r>
        <w:t xml:space="preserve"> the permit issued is subject to a range of strict conditions.</w:t>
      </w:r>
    </w:p>
    <w:p w14:paraId="10941B23" w14:textId="77777777" w:rsidR="00AA7153" w:rsidRDefault="001A20CD" w:rsidP="001A20CD">
      <w:r>
        <w:t xml:space="preserve">The temporary export permits would be granted for the period required for the approved purpose and generally for no longer than one year. Other conditions placed </w:t>
      </w:r>
      <w:r>
        <w:lastRenderedPageBreak/>
        <w:t>on the permit may include the requirement of appropriate security, insurance and environmental conditions.</w:t>
      </w:r>
    </w:p>
    <w:p w14:paraId="0FE3F3DC" w14:textId="4F8DDE40" w:rsidR="001A20CD" w:rsidRDefault="001A20CD">
      <w:r>
        <w:t>For example, assume that a temporary export was sought by a private owner in respect of a painting that is on the list by virtue of having had permanent export refused. The circumstances considered by the decision-maker in this case may include:</w:t>
      </w:r>
    </w:p>
    <w:p w14:paraId="1F29FF08" w14:textId="77777777" w:rsidR="00AA7153" w:rsidRDefault="001A20CD" w:rsidP="00AB6407">
      <w:pPr>
        <w:pStyle w:val="ListParagraph"/>
        <w:numPr>
          <w:ilvl w:val="0"/>
          <w:numId w:val="73"/>
        </w:numPr>
        <w:spacing w:before="120" w:after="320"/>
        <w:ind w:left="568" w:hanging="568"/>
      </w:pPr>
      <w:r>
        <w:t>the reasons for export (e.g. exhibition, conservation treatment, research); and</w:t>
      </w:r>
    </w:p>
    <w:p w14:paraId="55D48970" w14:textId="1CE1D80C" w:rsidR="001A20CD" w:rsidRDefault="001A20CD" w:rsidP="00AB6407">
      <w:pPr>
        <w:pStyle w:val="ListParagraph"/>
        <w:numPr>
          <w:ilvl w:val="0"/>
          <w:numId w:val="73"/>
        </w:numPr>
        <w:spacing w:before="120" w:after="320"/>
        <w:ind w:left="568" w:hanging="568"/>
      </w:pPr>
      <w:proofErr w:type="gramStart"/>
      <w:r>
        <w:t>the</w:t>
      </w:r>
      <w:proofErr w:type="gramEnd"/>
      <w:r>
        <w:t xml:space="preserve"> destination country (e.g. a</w:t>
      </w:r>
      <w:r w:rsidR="00FB5D99">
        <w:t xml:space="preserve">re they a signatory to the </w:t>
      </w:r>
      <w:r>
        <w:t>UNESCO Convention</w:t>
      </w:r>
      <w:r w:rsidR="00FB5D99">
        <w:t xml:space="preserve"> 1970</w:t>
      </w:r>
      <w:r>
        <w:t>? Do they have immunity from seizure laws?).</w:t>
      </w:r>
    </w:p>
    <w:p w14:paraId="55A973E4" w14:textId="77777777" w:rsidR="001A20CD" w:rsidRPr="00E84122" w:rsidRDefault="001A20CD" w:rsidP="00E84122">
      <w:pPr>
        <w:pStyle w:val="Heading4"/>
      </w:pPr>
      <w:r w:rsidRPr="00E84122">
        <w:t>Permits for permanent export in exceptional circumstances</w:t>
      </w:r>
    </w:p>
    <w:p w14:paraId="3AD2D767" w14:textId="379E3876" w:rsidR="00AA7153" w:rsidRDefault="001A20CD" w:rsidP="001B5D3A">
      <w:pPr>
        <w:rPr>
          <w:szCs w:val="24"/>
        </w:rPr>
      </w:pPr>
      <w:r w:rsidRPr="00B714B0">
        <w:t>The one exception to the prohibition of permanent export for Australian Protected Material and Declared Australian Protected Material is for appropriate destructive scientific testing of samples overseas. Ap</w:t>
      </w:r>
      <w:r w:rsidR="00855992">
        <w:t xml:space="preserve">proval will be required and </w:t>
      </w:r>
      <w:r w:rsidRPr="00B714B0">
        <w:t>application</w:t>
      </w:r>
      <w:r w:rsidR="00855992">
        <w:t>s</w:t>
      </w:r>
      <w:r w:rsidRPr="00B714B0">
        <w:t xml:space="preserve"> will be considered on a case by case basis. Where relevant the decision will be </w:t>
      </w:r>
      <w:r w:rsidRPr="00B51AD0">
        <w:rPr>
          <w:szCs w:val="24"/>
        </w:rPr>
        <w:t>made:</w:t>
      </w:r>
    </w:p>
    <w:p w14:paraId="665F81D5" w14:textId="77777777" w:rsidR="00AA7153" w:rsidRDefault="001A20CD" w:rsidP="00AB6407">
      <w:pPr>
        <w:pStyle w:val="ListParagraph"/>
        <w:numPr>
          <w:ilvl w:val="0"/>
          <w:numId w:val="73"/>
        </w:numPr>
        <w:spacing w:before="120" w:after="320"/>
        <w:ind w:left="568" w:hanging="568"/>
      </w:pPr>
      <w:bookmarkStart w:id="40" w:name="_Toc431223006"/>
      <w:bookmarkStart w:id="41" w:name="_Toc431303153"/>
      <w:bookmarkStart w:id="42" w:name="_Toc431307801"/>
      <w:r w:rsidRPr="00B51AD0">
        <w:t>on the basis of demonstrated need;</w:t>
      </w:r>
      <w:bookmarkEnd w:id="40"/>
      <w:bookmarkEnd w:id="41"/>
      <w:bookmarkEnd w:id="42"/>
    </w:p>
    <w:p w14:paraId="320B0D83" w14:textId="4BE8D17F" w:rsidR="00730880" w:rsidRPr="00B51AD0" w:rsidRDefault="001A20CD" w:rsidP="00AB6407">
      <w:pPr>
        <w:pStyle w:val="ListParagraph"/>
        <w:numPr>
          <w:ilvl w:val="0"/>
          <w:numId w:val="73"/>
        </w:numPr>
        <w:spacing w:before="120" w:after="320"/>
        <w:ind w:left="568" w:hanging="568"/>
      </w:pPr>
      <w:bookmarkStart w:id="43" w:name="_Toc431223007"/>
      <w:bookmarkStart w:id="44" w:name="_Toc431303154"/>
      <w:bookmarkStart w:id="45" w:name="_Toc431307802"/>
      <w:r w:rsidRPr="00B51AD0">
        <w:t>in consultation with experts;</w:t>
      </w:r>
      <w:bookmarkEnd w:id="43"/>
      <w:bookmarkEnd w:id="44"/>
      <w:bookmarkEnd w:id="45"/>
      <w:r w:rsidR="00855992">
        <w:t xml:space="preserve"> and</w:t>
      </w:r>
    </w:p>
    <w:p w14:paraId="42402AF9" w14:textId="77777777" w:rsidR="00AA7153" w:rsidRDefault="001A20CD" w:rsidP="00AB6407">
      <w:pPr>
        <w:pStyle w:val="ListParagraph"/>
        <w:numPr>
          <w:ilvl w:val="0"/>
          <w:numId w:val="73"/>
        </w:numPr>
        <w:spacing w:before="120" w:after="320"/>
        <w:ind w:left="568" w:hanging="568"/>
      </w:pPr>
      <w:bookmarkStart w:id="46" w:name="_Toc431223008"/>
      <w:bookmarkStart w:id="47" w:name="_Toc431303155"/>
      <w:bookmarkStart w:id="48" w:name="_Toc431307803"/>
      <w:proofErr w:type="gramStart"/>
      <w:r w:rsidRPr="00B51AD0">
        <w:t>when</w:t>
      </w:r>
      <w:proofErr w:type="gramEnd"/>
      <w:r w:rsidRPr="00B51AD0">
        <w:t xml:space="preserve"> the material is Aboriginal or Torres Strait Islander cultural material</w:t>
      </w:r>
      <w:r w:rsidR="00FB5D99" w:rsidRPr="00B51AD0">
        <w:t xml:space="preserve"> or Ancestral remains</w:t>
      </w:r>
      <w:r w:rsidRPr="00B51AD0">
        <w:t xml:space="preserve">, with the consent of relevant </w:t>
      </w:r>
      <w:r w:rsidR="00FB5D99" w:rsidRPr="00B51AD0">
        <w:t xml:space="preserve">descendants, </w:t>
      </w:r>
      <w:r w:rsidRPr="00B51AD0">
        <w:t>owners and community.</w:t>
      </w:r>
      <w:bookmarkEnd w:id="46"/>
      <w:bookmarkEnd w:id="47"/>
      <w:bookmarkEnd w:id="48"/>
    </w:p>
    <w:p w14:paraId="61E3108C" w14:textId="7904A523" w:rsidR="001A20CD" w:rsidRPr="00E84122" w:rsidRDefault="001A20CD" w:rsidP="00E84122">
      <w:pPr>
        <w:pStyle w:val="Heading4"/>
      </w:pPr>
      <w:r w:rsidRPr="00E84122">
        <w:t>Removal from the list</w:t>
      </w:r>
    </w:p>
    <w:p w14:paraId="26CB3E79" w14:textId="77777777" w:rsidR="00AA7153" w:rsidRDefault="001A20CD" w:rsidP="001A20CD">
      <w:r>
        <w:t>Just as material may go onto the list, it may be removed from the list. Acknowledging that significance and representation can change over time, the model includes a mechanism to ensure that objects and categories on the list are still appropriate for the highest level of protection and whether, therefore, they should be retained on the list. Owners who have been refused permanent export permission may reapply for reassessment after a period of five years.</w:t>
      </w:r>
    </w:p>
    <w:p w14:paraId="3671B2E7" w14:textId="77777777" w:rsidR="0041491F" w:rsidRDefault="0041491F" w:rsidP="00C06615">
      <w:pPr>
        <w:pStyle w:val="Subtitle"/>
        <w:keepNext/>
      </w:pPr>
      <w:r>
        <w:lastRenderedPageBreak/>
        <w:t>Survey Response</w:t>
      </w:r>
    </w:p>
    <w:p w14:paraId="7D7F8AC7" w14:textId="1AFED490" w:rsidR="001A20CD" w:rsidRDefault="0041491F" w:rsidP="00C06615">
      <w:pPr>
        <w:keepNext/>
        <w:jc w:val="both"/>
      </w:pPr>
      <w:r w:rsidRPr="0041491F">
        <w:t>78% of respondents agreed to a very large extent or to a large extent that the classification approach accurately reflects the types of Australian cultural objects which should receive protection</w:t>
      </w:r>
    </w:p>
    <w:p w14:paraId="787EE0A1" w14:textId="35E297AD" w:rsidR="0041491F" w:rsidRDefault="0041491F" w:rsidP="00C06615">
      <w:pPr>
        <w:keepNext/>
        <w:spacing w:after="360"/>
      </w:pPr>
      <w:r w:rsidRPr="00876513">
        <w:rPr>
          <w:noProof/>
          <w:lang w:eastAsia="en-AU"/>
        </w:rPr>
        <w:drawing>
          <wp:inline distT="0" distB="0" distL="0" distR="0" wp14:anchorId="50E19F5D" wp14:editId="7AAB929D">
            <wp:extent cx="3733200" cy="2127600"/>
            <wp:effectExtent l="0" t="0" r="635" b="6350"/>
            <wp:docPr id="15" name="Picture 15" descr="The extent to which respondents believe the classification approach accurately reflects the types of Australian cultural objects which should receive protection:&#10;&#10;32% To a very large extent&#10;46% To a large extent&#10;11% To a moderate extent&#10;6% To a small extent&#10;3% Not at all&#10;3% Unsure&#10; &#10;" title="Figure 4 - The extent to which respondents believe the classification approach accurat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733200" cy="2127600"/>
                    </a:xfrm>
                    <a:prstGeom prst="rect">
                      <a:avLst/>
                    </a:prstGeom>
                    <a:noFill/>
                    <a:ln>
                      <a:noFill/>
                    </a:ln>
                  </pic:spPr>
                </pic:pic>
              </a:graphicData>
            </a:graphic>
          </wp:inline>
        </w:drawing>
      </w:r>
    </w:p>
    <w:p w14:paraId="45A675F1" w14:textId="3B7FF7F5" w:rsidR="0041491F" w:rsidRPr="00855992" w:rsidRDefault="0041491F" w:rsidP="007D671A">
      <w:pPr>
        <w:rPr>
          <w:i/>
          <w:sz w:val="20"/>
          <w:szCs w:val="20"/>
        </w:rPr>
      </w:pPr>
      <w:r w:rsidRPr="00855992">
        <w:rPr>
          <w:i/>
          <w:sz w:val="20"/>
          <w:szCs w:val="20"/>
        </w:rPr>
        <w:t>Figure 4</w:t>
      </w:r>
      <w:r w:rsidR="00AA7153" w:rsidRPr="00855992">
        <w:rPr>
          <w:i/>
          <w:sz w:val="20"/>
          <w:szCs w:val="20"/>
        </w:rPr>
        <w:t>—</w:t>
      </w:r>
      <w:proofErr w:type="gramStart"/>
      <w:r w:rsidRPr="00855992">
        <w:rPr>
          <w:i/>
          <w:sz w:val="20"/>
          <w:szCs w:val="20"/>
        </w:rPr>
        <w:t>The</w:t>
      </w:r>
      <w:proofErr w:type="gramEnd"/>
      <w:r w:rsidRPr="00855992">
        <w:rPr>
          <w:i/>
          <w:sz w:val="20"/>
          <w:szCs w:val="20"/>
        </w:rPr>
        <w:t xml:space="preserve"> extent to which respondents believe the classification approach accurately reflects the types of Australian cultural objects which should receive protection</w:t>
      </w:r>
      <w:r w:rsidR="00855992">
        <w:rPr>
          <w:i/>
          <w:sz w:val="20"/>
          <w:szCs w:val="20"/>
        </w:rPr>
        <w:t>.</w:t>
      </w:r>
      <w:r w:rsidRPr="00855992">
        <w:rPr>
          <w:rStyle w:val="FootnoteReference"/>
        </w:rPr>
        <w:footnoteReference w:id="24"/>
      </w:r>
    </w:p>
    <w:p w14:paraId="47BDE4F8" w14:textId="7BBE1800" w:rsidR="001A20CD" w:rsidRPr="001D3FB2" w:rsidRDefault="001A20CD" w:rsidP="001D3FB2">
      <w:pPr>
        <w:pStyle w:val="Heading3"/>
      </w:pPr>
      <w:bookmarkStart w:id="49" w:name="_Toc419448718"/>
      <w:bookmarkStart w:id="50" w:name="_Toc419455538"/>
      <w:bookmarkEnd w:id="39"/>
      <w:r w:rsidRPr="001D3FB2">
        <w:t>National register of significant objects</w:t>
      </w:r>
      <w:bookmarkEnd w:id="49"/>
      <w:bookmarkEnd w:id="50"/>
    </w:p>
    <w:p w14:paraId="52B7C467" w14:textId="77777777" w:rsidR="00AA7153" w:rsidRDefault="001A20CD" w:rsidP="001A20CD">
      <w:bookmarkStart w:id="51" w:name="_Toc419455539"/>
      <w:r>
        <w:t>Previous reviews have canvassed the possibility of creating a National Register of Significant Objects. While the submissions made for and against such a mechanism have been considered, the proposed model does not include a National Register. The task of compiling the list across national, state, territory and local governments, heritage organisations and private collections would take significant resourcing and time. It would also require a high level of ongoing administration to remain effective.</w:t>
      </w:r>
    </w:p>
    <w:p w14:paraId="09A4443A" w14:textId="5E287FB2" w:rsidR="001A20CD" w:rsidRDefault="001A20CD" w:rsidP="001A20CD">
      <w:r>
        <w:t>Many</w:t>
      </w:r>
      <w:r w:rsidRPr="00086842">
        <w:t xml:space="preserve"> advantages </w:t>
      </w:r>
      <w:r>
        <w:t xml:space="preserve">of a National Register </w:t>
      </w:r>
      <w:r w:rsidRPr="00086842">
        <w:t>can be achieved by the D</w:t>
      </w:r>
      <w:r>
        <w:t>eclared Australian Protected Material</w:t>
      </w:r>
      <w:r w:rsidRPr="00086842">
        <w:t xml:space="preserve"> system.</w:t>
      </w:r>
      <w:r>
        <w:t xml:space="preserve"> Through it, a version (if not an equivalent) of a National Register will organically emerge.</w:t>
      </w:r>
      <w:r>
        <w:rPr>
          <w:rStyle w:val="FootnoteReference"/>
        </w:rPr>
        <w:footnoteReference w:id="25"/>
      </w:r>
    </w:p>
    <w:p w14:paraId="7DDA0835" w14:textId="77777777" w:rsidR="001A20CD" w:rsidRPr="0029575A" w:rsidRDefault="001A20CD" w:rsidP="001A20CD">
      <w:r>
        <w:t xml:space="preserve">It is not the purpose of this Act, nor should it be, to list material that is in no danger of being lost for future generations. Material already preserved by our public institutions is already protected. What would be much more valuable is to provide a system by </w:t>
      </w:r>
      <w:r>
        <w:lastRenderedPageBreak/>
        <w:t>which both the public and the collection community could better determine what material was already held in the disparate public collections throughout Australia. The undoubted public interest in such an initiative is for others to articulate and argue.</w:t>
      </w:r>
      <w:bookmarkEnd w:id="51"/>
    </w:p>
    <w:p w14:paraId="3079E0BA" w14:textId="77777777" w:rsidR="001A20CD" w:rsidRPr="00070287" w:rsidRDefault="001A20CD" w:rsidP="00052178">
      <w:pPr>
        <w:pStyle w:val="Heading2"/>
      </w:pPr>
      <w:bookmarkStart w:id="52" w:name="_Toc430867341"/>
      <w:bookmarkStart w:id="53" w:name="_Toc433906582"/>
      <w:bookmarkStart w:id="54" w:name="_Toc423334277"/>
      <w:bookmarkStart w:id="55" w:name="_Toc419455579"/>
      <w:r w:rsidRPr="00070287">
        <w:t>National Cultural Heritage Control List</w:t>
      </w:r>
      <w:bookmarkEnd w:id="52"/>
      <w:bookmarkEnd w:id="53"/>
    </w:p>
    <w:p w14:paraId="012A5EE9" w14:textId="77777777" w:rsidR="00AA7153" w:rsidRDefault="001A20CD" w:rsidP="001A20CD">
      <w:r>
        <w:t xml:space="preserve">It is essential to question </w:t>
      </w:r>
      <w:r w:rsidRPr="00FB0D3A">
        <w:t xml:space="preserve">whether the current Control List is the most appropriate formulation with which to capture </w:t>
      </w:r>
      <w:r>
        <w:t xml:space="preserve">the diverse range of </w:t>
      </w:r>
      <w:r w:rsidRPr="00FB0D3A">
        <w:t xml:space="preserve">cultural heritage material. </w:t>
      </w:r>
      <w:r>
        <w:t>It is an odd assortment that requires recasting and simplification to give it greater coherence.</w:t>
      </w:r>
    </w:p>
    <w:p w14:paraId="61A69D7C" w14:textId="77777777" w:rsidR="00AA7153" w:rsidRDefault="001A20CD" w:rsidP="001A20CD">
      <w:r>
        <w:t xml:space="preserve">Presently the assessment of whether a particular item falls within the definitions of the Control List may require an owner to consider multiple parts of the list, consider the significance of the material, research </w:t>
      </w:r>
      <w:r w:rsidRPr="00FB0D3A">
        <w:t>the contents of public collecting institutions</w:t>
      </w:r>
      <w:r>
        <w:rPr>
          <w:rStyle w:val="FootnoteReference"/>
        </w:rPr>
        <w:footnoteReference w:id="26"/>
      </w:r>
      <w:r w:rsidRPr="00FB0D3A">
        <w:t xml:space="preserve"> and </w:t>
      </w:r>
      <w:r>
        <w:t>apply the subtly different</w:t>
      </w:r>
      <w:r w:rsidRPr="00FB0D3A">
        <w:t xml:space="preserve"> definition</w:t>
      </w:r>
      <w:r>
        <w:t>s</w:t>
      </w:r>
      <w:r w:rsidRPr="00FB0D3A">
        <w:t xml:space="preserve"> within the Act. </w:t>
      </w:r>
      <w:r>
        <w:t>Given these complexities, the present model makes it unreasonably difficult for an owner (or other decision-maker) to navigate the Control List and to arrive at a correct assessment.</w:t>
      </w:r>
    </w:p>
    <w:p w14:paraId="71CB468D" w14:textId="5187CBE9" w:rsidR="003716E1" w:rsidRDefault="001A20CD" w:rsidP="001A20CD">
      <w:r>
        <w:t xml:space="preserve">The new model seeks to provide a greater degree of clarity and simplicity so that it is easier to arrive at the correct decision as </w:t>
      </w:r>
      <w:r w:rsidRPr="009B6358">
        <w:t xml:space="preserve">to </w:t>
      </w:r>
      <w:r>
        <w:t xml:space="preserve">(a) </w:t>
      </w:r>
      <w:r w:rsidRPr="009B6358">
        <w:t xml:space="preserve">whether </w:t>
      </w:r>
      <w:r>
        <w:t>material</w:t>
      </w:r>
      <w:r w:rsidRPr="009B6358">
        <w:t xml:space="preserve"> meets the threshold criteria</w:t>
      </w:r>
      <w:r>
        <w:t>,</w:t>
      </w:r>
      <w:r w:rsidRPr="009B6358">
        <w:t xml:space="preserve"> and </w:t>
      </w:r>
      <w:r>
        <w:t>if so, by</w:t>
      </w:r>
      <w:r w:rsidRPr="009B6358">
        <w:t xml:space="preserve"> subsequent assessment</w:t>
      </w:r>
      <w:r>
        <w:t>,</w:t>
      </w:r>
      <w:r w:rsidRPr="009B6358">
        <w:t xml:space="preserve"> </w:t>
      </w:r>
      <w:r>
        <w:t>(b)</w:t>
      </w:r>
      <w:r w:rsidRPr="009B6358">
        <w:t xml:space="preserve"> </w:t>
      </w:r>
      <w:r>
        <w:t>the material’s</w:t>
      </w:r>
      <w:r w:rsidRPr="009B6358">
        <w:t xml:space="preserve"> significance.</w:t>
      </w:r>
    </w:p>
    <w:p w14:paraId="1E5E8503" w14:textId="77777777" w:rsidR="001A20CD" w:rsidRPr="001D3FB2" w:rsidRDefault="001A20CD" w:rsidP="001D3FB2">
      <w:pPr>
        <w:pStyle w:val="Heading3"/>
      </w:pPr>
      <w:r w:rsidRPr="001D3FB2">
        <w:t>The current Control List</w:t>
      </w:r>
    </w:p>
    <w:p w14:paraId="2B218C3F" w14:textId="4E0A3569" w:rsidR="001A20CD" w:rsidRDefault="001A20CD" w:rsidP="001A20CD">
      <w:r>
        <w:t>T</w:t>
      </w:r>
      <w:r w:rsidRPr="00FB0D3A">
        <w:t>he current Control Lis</w:t>
      </w:r>
      <w:r>
        <w:t xml:space="preserve">t </w:t>
      </w:r>
      <w:r w:rsidR="00E64026">
        <w:t>(</w:t>
      </w:r>
      <w:r>
        <w:t>set out in the Regulations</w:t>
      </w:r>
      <w:r w:rsidR="00E64026">
        <w:t>)</w:t>
      </w:r>
      <w:r>
        <w:t xml:space="preserve"> </w:t>
      </w:r>
      <w:r w:rsidRPr="00FB0D3A">
        <w:t xml:space="preserve">divides heritage material into nine </w:t>
      </w:r>
      <w:r w:rsidRPr="00A3516C">
        <w:t>categories:</w:t>
      </w:r>
    </w:p>
    <w:p w14:paraId="410E23A7" w14:textId="77777777" w:rsidR="001A20CD" w:rsidRPr="00265686" w:rsidRDefault="001A20CD" w:rsidP="00AB6407">
      <w:pPr>
        <w:pStyle w:val="ListParagraph"/>
        <w:numPr>
          <w:ilvl w:val="0"/>
          <w:numId w:val="25"/>
        </w:numPr>
        <w:ind w:left="567" w:hanging="567"/>
        <w:rPr>
          <w:szCs w:val="24"/>
        </w:rPr>
      </w:pPr>
      <w:r w:rsidRPr="00265686">
        <w:rPr>
          <w:rFonts w:eastAsia="Times New Roman" w:cs="Arial"/>
          <w:iCs/>
          <w:szCs w:val="24"/>
          <w:lang w:eastAsia="en-AU"/>
        </w:rPr>
        <w:t>Part 1: Objects of Australian Aboriginal and Torres Strait Islander Heritage</w:t>
      </w:r>
    </w:p>
    <w:p w14:paraId="567AA48B" w14:textId="77777777" w:rsidR="001A20CD" w:rsidRPr="00265686" w:rsidRDefault="001A20CD" w:rsidP="00AB6407">
      <w:pPr>
        <w:pStyle w:val="ListParagraph"/>
        <w:numPr>
          <w:ilvl w:val="0"/>
          <w:numId w:val="25"/>
        </w:numPr>
        <w:ind w:left="567" w:hanging="567"/>
        <w:rPr>
          <w:szCs w:val="24"/>
        </w:rPr>
      </w:pPr>
      <w:r w:rsidRPr="00265686">
        <w:rPr>
          <w:rFonts w:eastAsia="Times New Roman" w:cs="Arial"/>
          <w:iCs/>
          <w:szCs w:val="24"/>
          <w:lang w:eastAsia="en-AU"/>
        </w:rPr>
        <w:t>Part 2: Archaeological Objects</w:t>
      </w:r>
    </w:p>
    <w:p w14:paraId="3A075165" w14:textId="77777777" w:rsidR="001A20CD" w:rsidRPr="00265686" w:rsidRDefault="001A20CD" w:rsidP="00AB6407">
      <w:pPr>
        <w:pStyle w:val="ListParagraph"/>
        <w:numPr>
          <w:ilvl w:val="0"/>
          <w:numId w:val="25"/>
        </w:numPr>
        <w:ind w:left="567" w:hanging="567"/>
        <w:rPr>
          <w:szCs w:val="24"/>
        </w:rPr>
      </w:pPr>
      <w:r w:rsidRPr="00265686">
        <w:rPr>
          <w:rFonts w:eastAsia="Times New Roman" w:cs="Arial"/>
          <w:iCs/>
          <w:szCs w:val="24"/>
          <w:lang w:eastAsia="en-AU"/>
        </w:rPr>
        <w:t>Part 3: Natural Science Objects</w:t>
      </w:r>
    </w:p>
    <w:p w14:paraId="45CA74EB" w14:textId="77777777" w:rsidR="001A20CD" w:rsidRPr="00265686" w:rsidRDefault="001A20CD" w:rsidP="00AB6407">
      <w:pPr>
        <w:pStyle w:val="ListParagraph"/>
        <w:numPr>
          <w:ilvl w:val="0"/>
          <w:numId w:val="25"/>
        </w:numPr>
        <w:ind w:left="567" w:hanging="567"/>
        <w:rPr>
          <w:szCs w:val="24"/>
        </w:rPr>
      </w:pPr>
      <w:r w:rsidRPr="00265686">
        <w:rPr>
          <w:rFonts w:eastAsia="Times New Roman" w:cs="Arial"/>
          <w:iCs/>
          <w:szCs w:val="24"/>
          <w:lang w:eastAsia="en-AU"/>
        </w:rPr>
        <w:t>Part 4: Objects of Applied Science or Technology</w:t>
      </w:r>
    </w:p>
    <w:p w14:paraId="02F4446D" w14:textId="77777777" w:rsidR="001A20CD" w:rsidRPr="00265686" w:rsidRDefault="001A20CD" w:rsidP="00AB6407">
      <w:pPr>
        <w:pStyle w:val="ListParagraph"/>
        <w:numPr>
          <w:ilvl w:val="0"/>
          <w:numId w:val="25"/>
        </w:numPr>
        <w:ind w:left="567" w:hanging="567"/>
        <w:rPr>
          <w:szCs w:val="24"/>
        </w:rPr>
      </w:pPr>
      <w:r w:rsidRPr="00265686">
        <w:rPr>
          <w:rFonts w:eastAsia="Times New Roman" w:cs="Arial"/>
          <w:iCs/>
          <w:szCs w:val="24"/>
          <w:lang w:eastAsia="en-AU"/>
        </w:rPr>
        <w:t>Part 5: Objects of Fine or Decorative Art</w:t>
      </w:r>
    </w:p>
    <w:p w14:paraId="6FF1B009" w14:textId="77777777" w:rsidR="001A20CD" w:rsidRPr="00265686" w:rsidRDefault="001A20CD" w:rsidP="00AB6407">
      <w:pPr>
        <w:pStyle w:val="ListParagraph"/>
        <w:numPr>
          <w:ilvl w:val="0"/>
          <w:numId w:val="25"/>
        </w:numPr>
        <w:ind w:left="567" w:hanging="567"/>
        <w:rPr>
          <w:szCs w:val="24"/>
        </w:rPr>
      </w:pPr>
      <w:r w:rsidRPr="00265686">
        <w:rPr>
          <w:rFonts w:eastAsia="Times New Roman" w:cs="Arial"/>
          <w:iCs/>
          <w:szCs w:val="24"/>
          <w:lang w:eastAsia="en-AU"/>
        </w:rPr>
        <w:t>Part 6: Objects of Documentary Heritage</w:t>
      </w:r>
    </w:p>
    <w:p w14:paraId="25FB2A15" w14:textId="77777777" w:rsidR="001A20CD" w:rsidRPr="00265686" w:rsidRDefault="001A20CD" w:rsidP="00AB6407">
      <w:pPr>
        <w:pStyle w:val="ListParagraph"/>
        <w:numPr>
          <w:ilvl w:val="0"/>
          <w:numId w:val="25"/>
        </w:numPr>
        <w:ind w:left="567" w:hanging="567"/>
        <w:rPr>
          <w:szCs w:val="24"/>
        </w:rPr>
      </w:pPr>
      <w:r w:rsidRPr="00265686">
        <w:rPr>
          <w:rFonts w:eastAsia="Times New Roman" w:cs="Arial"/>
          <w:iCs/>
          <w:szCs w:val="24"/>
          <w:lang w:eastAsia="en-AU"/>
        </w:rPr>
        <w:t>Part 7: Numismatic Objects</w:t>
      </w:r>
    </w:p>
    <w:p w14:paraId="2F8A25BF" w14:textId="77777777" w:rsidR="001A20CD" w:rsidRPr="00265686" w:rsidRDefault="001A20CD" w:rsidP="00AB6407">
      <w:pPr>
        <w:pStyle w:val="ListParagraph"/>
        <w:numPr>
          <w:ilvl w:val="0"/>
          <w:numId w:val="25"/>
        </w:numPr>
        <w:ind w:left="567" w:hanging="567"/>
        <w:rPr>
          <w:szCs w:val="24"/>
        </w:rPr>
      </w:pPr>
      <w:r w:rsidRPr="00265686">
        <w:rPr>
          <w:rFonts w:eastAsia="Times New Roman" w:cs="Arial"/>
          <w:iCs/>
          <w:szCs w:val="24"/>
          <w:lang w:eastAsia="en-AU"/>
        </w:rPr>
        <w:t>Part 8: Philatelic Objects</w:t>
      </w:r>
    </w:p>
    <w:p w14:paraId="7151A981" w14:textId="0D782C5B" w:rsidR="00AA7153" w:rsidRDefault="001A20CD" w:rsidP="00AB6407">
      <w:pPr>
        <w:pStyle w:val="ListParagraph"/>
        <w:numPr>
          <w:ilvl w:val="0"/>
          <w:numId w:val="25"/>
        </w:numPr>
        <w:ind w:left="567" w:hanging="567"/>
        <w:rPr>
          <w:rFonts w:eastAsia="Times New Roman" w:cs="Arial"/>
          <w:iCs/>
          <w:szCs w:val="24"/>
          <w:lang w:eastAsia="en-AU"/>
        </w:rPr>
      </w:pPr>
      <w:r w:rsidRPr="00265686">
        <w:rPr>
          <w:rFonts w:eastAsia="Times New Roman" w:cs="Arial"/>
          <w:iCs/>
          <w:szCs w:val="24"/>
          <w:lang w:eastAsia="en-AU"/>
        </w:rPr>
        <w:lastRenderedPageBreak/>
        <w:t>Part 9: Objects of Historical Significance</w:t>
      </w:r>
      <w:r w:rsidR="00AB6407">
        <w:rPr>
          <w:rFonts w:eastAsia="Times New Roman" w:cs="Arial"/>
          <w:iCs/>
          <w:szCs w:val="24"/>
          <w:lang w:eastAsia="en-AU"/>
        </w:rPr>
        <w:t>.</w:t>
      </w:r>
    </w:p>
    <w:p w14:paraId="0A7A808D" w14:textId="4FF47C4E" w:rsidR="001A20CD" w:rsidRPr="00FB0D3A" w:rsidRDefault="001A20CD" w:rsidP="001A20CD">
      <w:r>
        <w:t>Within each P</w:t>
      </w:r>
      <w:r w:rsidRPr="00FB0D3A">
        <w:t>art of the current Control List, significance and some form</w:t>
      </w:r>
      <w:r>
        <w:t>ulation</w:t>
      </w:r>
      <w:r w:rsidRPr="00FB0D3A">
        <w:t xml:space="preserve"> of </w:t>
      </w:r>
      <w:r>
        <w:t>‘</w:t>
      </w:r>
      <w:r w:rsidRPr="00FB0D3A">
        <w:t xml:space="preserve">representation </w:t>
      </w:r>
      <w:r w:rsidRPr="00FB0D3A">
        <w:rPr>
          <w:color w:val="000000"/>
        </w:rPr>
        <w:t>in public collections</w:t>
      </w:r>
      <w:r>
        <w:rPr>
          <w:color w:val="000000"/>
        </w:rPr>
        <w:t>’</w:t>
      </w:r>
      <w:r w:rsidRPr="00FB0D3A">
        <w:rPr>
          <w:color w:val="000000"/>
        </w:rPr>
        <w:t xml:space="preserve"> </w:t>
      </w:r>
      <w:r w:rsidRPr="00FB0D3A">
        <w:t xml:space="preserve">form part of the definition of whether an object is subject to export </w:t>
      </w:r>
      <w:r>
        <w:t xml:space="preserve">control. The unintended consequence of this is that </w:t>
      </w:r>
      <w:r w:rsidRPr="00FB0D3A">
        <w:t xml:space="preserve">applicants </w:t>
      </w:r>
      <w:r>
        <w:t xml:space="preserve">are required </w:t>
      </w:r>
      <w:r w:rsidRPr="00FB0D3A">
        <w:t xml:space="preserve">to </w:t>
      </w:r>
      <w:r>
        <w:t>have the skills</w:t>
      </w:r>
      <w:r w:rsidRPr="00FB0D3A">
        <w:t xml:space="preserve"> to undertake a significance assessment and have a broad knowledge of the holdings of public collecting institutions, in order to determine whether their object requires a permit</w:t>
      </w:r>
      <w:r>
        <w:t xml:space="preserve"> application</w:t>
      </w:r>
      <w:r w:rsidRPr="00FB0D3A">
        <w:t xml:space="preserve">. </w:t>
      </w:r>
      <w:r>
        <w:t>It does not make it easy for owners to be law-abiding and it makes it very difficult for the officials and courts responsible for enforcing the legislation.</w:t>
      </w:r>
    </w:p>
    <w:p w14:paraId="1A4C6700" w14:textId="77777777" w:rsidR="00AA7153" w:rsidRDefault="001A20CD" w:rsidP="001A20CD">
      <w:r w:rsidRPr="00FB0D3A">
        <w:t>Determinations as to significance and representation should be ma</w:t>
      </w:r>
      <w:r>
        <w:t xml:space="preserve">de later in the decision tree, </w:t>
      </w:r>
      <w:r w:rsidRPr="00FB0D3A">
        <w:t>by appropriately qualified experts. This would alleviate the burden on applicants and ensure that the more objective questions are asked of the applicant</w:t>
      </w:r>
      <w:r w:rsidR="00EB39D3">
        <w:t>,</w:t>
      </w:r>
      <w:r w:rsidRPr="00FB0D3A">
        <w:t xml:space="preserve"> and the more subjective questions as to significan</w:t>
      </w:r>
      <w:r w:rsidR="00EB39D3">
        <w:t xml:space="preserve">ce and adequate representation </w:t>
      </w:r>
      <w:r w:rsidRPr="00FB0D3A">
        <w:t>are asked of e</w:t>
      </w:r>
      <w:r>
        <w:t>xperts in a position to provide the necessary</w:t>
      </w:r>
      <w:r w:rsidRPr="00FB0D3A">
        <w:t xml:space="preserve"> independent analysis.</w:t>
      </w:r>
    </w:p>
    <w:p w14:paraId="2713C324" w14:textId="64E0ACA7" w:rsidR="001A20CD" w:rsidRPr="001D3FB2" w:rsidRDefault="001A20CD" w:rsidP="001D3FB2">
      <w:pPr>
        <w:pStyle w:val="Heading3"/>
      </w:pPr>
      <w:r w:rsidRPr="001D3FB2">
        <w:t>Proposed new Control List</w:t>
      </w:r>
    </w:p>
    <w:p w14:paraId="3C31FDB7" w14:textId="77777777" w:rsidR="001A20CD" w:rsidRDefault="001A20CD" w:rsidP="001A20CD">
      <w:r>
        <w:t>To provide a simpler, less opaque paradigm by which export control is determined the</w:t>
      </w:r>
      <w:r w:rsidRPr="00FB0D3A">
        <w:t xml:space="preserve"> C</w:t>
      </w:r>
      <w:r>
        <w:t>ontrol List should be recast so that:</w:t>
      </w:r>
    </w:p>
    <w:p w14:paraId="399511A3" w14:textId="77777777" w:rsidR="00AA7153" w:rsidRDefault="001A20CD" w:rsidP="00AB6407">
      <w:pPr>
        <w:pStyle w:val="ListParagraph"/>
        <w:numPr>
          <w:ilvl w:val="0"/>
          <w:numId w:val="3"/>
        </w:numPr>
        <w:ind w:left="567" w:hanging="567"/>
      </w:pPr>
      <w:r>
        <w:t xml:space="preserve">it has </w:t>
      </w:r>
      <w:r w:rsidRPr="00FB0D3A">
        <w:t>greater coherence</w:t>
      </w:r>
      <w:r>
        <w:t>;</w:t>
      </w:r>
    </w:p>
    <w:p w14:paraId="61D3A6B3" w14:textId="001826CC" w:rsidR="001A20CD" w:rsidRDefault="001A20CD" w:rsidP="00AB6407">
      <w:pPr>
        <w:pStyle w:val="ListParagraph"/>
        <w:numPr>
          <w:ilvl w:val="0"/>
          <w:numId w:val="3"/>
        </w:numPr>
        <w:ind w:left="567" w:hanging="567"/>
      </w:pPr>
      <w:r>
        <w:t>it allows</w:t>
      </w:r>
      <w:r w:rsidRPr="00FB0D3A">
        <w:t xml:space="preserve"> the objective criteria of age and </w:t>
      </w:r>
      <w:r>
        <w:t>value</w:t>
      </w:r>
      <w:r w:rsidRPr="00FB0D3A">
        <w:t xml:space="preserve"> threshold</w:t>
      </w:r>
      <w:r w:rsidR="00EB39D3">
        <w:t>s</w:t>
      </w:r>
      <w:r w:rsidRPr="00FB0D3A">
        <w:t xml:space="preserve"> </w:t>
      </w:r>
      <w:r>
        <w:t>to</w:t>
      </w:r>
      <w:r w:rsidRPr="00FB0D3A">
        <w:t xml:space="preserve"> be the initial thresholds to determine whether or not </w:t>
      </w:r>
      <w:r>
        <w:t xml:space="preserve">material </w:t>
      </w:r>
      <w:r w:rsidRPr="00FB0D3A">
        <w:t>is subject to export control; and</w:t>
      </w:r>
    </w:p>
    <w:p w14:paraId="7319F820" w14:textId="77777777" w:rsidR="00AA7153" w:rsidRDefault="001A20CD" w:rsidP="00AB6407">
      <w:pPr>
        <w:pStyle w:val="ListParagraph"/>
        <w:numPr>
          <w:ilvl w:val="0"/>
          <w:numId w:val="3"/>
        </w:numPr>
        <w:ind w:left="567" w:hanging="567"/>
      </w:pPr>
      <w:proofErr w:type="gramStart"/>
      <w:r>
        <w:t>it</w:t>
      </w:r>
      <w:proofErr w:type="gramEnd"/>
      <w:r>
        <w:t xml:space="preserve"> reformulates </w:t>
      </w:r>
      <w:r w:rsidRPr="00FB0D3A">
        <w:t>the definitions</w:t>
      </w:r>
      <w:r>
        <w:t xml:space="preserve"> and the methodology by which ‘significance’ and ‘</w:t>
      </w:r>
      <w:r w:rsidRPr="00FB0D3A">
        <w:t>adequate representation</w:t>
      </w:r>
      <w:r>
        <w:t>’</w:t>
      </w:r>
      <w:r w:rsidRPr="00FB0D3A">
        <w:t xml:space="preserve"> </w:t>
      </w:r>
      <w:r>
        <w:t>are determined.</w:t>
      </w:r>
    </w:p>
    <w:p w14:paraId="49FA045E" w14:textId="26D27688" w:rsidR="001A20CD" w:rsidRDefault="001A20CD" w:rsidP="001A20CD">
      <w:r w:rsidRPr="00FB0D3A">
        <w:t xml:space="preserve">It is </w:t>
      </w:r>
      <w:r>
        <w:t>proposed</w:t>
      </w:r>
      <w:r w:rsidRPr="00FB0D3A">
        <w:t xml:space="preserve"> that the Control List be reduced t</w:t>
      </w:r>
      <w:r>
        <w:t>o just four principal headings:</w:t>
      </w:r>
    </w:p>
    <w:p w14:paraId="178668C9" w14:textId="77777777" w:rsidR="001A20CD" w:rsidRDefault="001A20CD" w:rsidP="00AB6407">
      <w:pPr>
        <w:pStyle w:val="ListParagraph"/>
        <w:numPr>
          <w:ilvl w:val="0"/>
          <w:numId w:val="4"/>
        </w:numPr>
        <w:ind w:left="567" w:hanging="567"/>
      </w:pPr>
      <w:r>
        <w:t xml:space="preserve">Part 1: </w:t>
      </w:r>
      <w:r w:rsidRPr="00FB0D3A">
        <w:t xml:space="preserve">Aboriginal </w:t>
      </w:r>
      <w:r>
        <w:t>or</w:t>
      </w:r>
      <w:r w:rsidRPr="00FB0D3A">
        <w:t xml:space="preserve"> Torres Strait Islander </w:t>
      </w:r>
      <w:r>
        <w:t>M</w:t>
      </w:r>
      <w:r w:rsidRPr="00FB0D3A">
        <w:t>aterial</w:t>
      </w:r>
      <w:r>
        <w:t xml:space="preserve"> and Ancestral Remains</w:t>
      </w:r>
    </w:p>
    <w:p w14:paraId="1A6EAA4F" w14:textId="77777777" w:rsidR="001A20CD" w:rsidRDefault="001A20CD" w:rsidP="00AB6407">
      <w:pPr>
        <w:pStyle w:val="ListParagraph"/>
        <w:numPr>
          <w:ilvl w:val="0"/>
          <w:numId w:val="4"/>
        </w:numPr>
        <w:ind w:left="567" w:hanging="567"/>
      </w:pPr>
      <w:r>
        <w:t>Part 2: Natural S</w:t>
      </w:r>
      <w:r w:rsidRPr="00FB0D3A">
        <w:t>cience</w:t>
      </w:r>
      <w:r>
        <w:t xml:space="preserve"> Material</w:t>
      </w:r>
    </w:p>
    <w:p w14:paraId="22885086" w14:textId="77777777" w:rsidR="001A20CD" w:rsidRDefault="001A20CD" w:rsidP="00AB6407">
      <w:pPr>
        <w:pStyle w:val="ListParagraph"/>
        <w:numPr>
          <w:ilvl w:val="0"/>
          <w:numId w:val="4"/>
        </w:numPr>
        <w:ind w:left="567" w:hanging="567"/>
      </w:pPr>
      <w:r>
        <w:t>Part 3: Visual A</w:t>
      </w:r>
      <w:r w:rsidRPr="00FB0D3A">
        <w:t xml:space="preserve">rts, </w:t>
      </w:r>
      <w:r>
        <w:t>Craft and D</w:t>
      </w:r>
      <w:r w:rsidRPr="00FB0D3A">
        <w:t>esign</w:t>
      </w:r>
      <w:r>
        <w:t xml:space="preserve"> Material</w:t>
      </w:r>
    </w:p>
    <w:p w14:paraId="6285E484" w14:textId="564A5036" w:rsidR="001A20CD" w:rsidRPr="00FB0D3A" w:rsidRDefault="001A20CD" w:rsidP="00AB6407">
      <w:pPr>
        <w:pStyle w:val="ListParagraph"/>
        <w:numPr>
          <w:ilvl w:val="0"/>
          <w:numId w:val="4"/>
        </w:numPr>
        <w:ind w:left="567" w:hanging="567"/>
      </w:pPr>
      <w:r>
        <w:t>Part 4: Historically Significant M</w:t>
      </w:r>
      <w:r w:rsidRPr="00FB0D3A">
        <w:t>aterial</w:t>
      </w:r>
      <w:r w:rsidR="00AB6407">
        <w:t>.</w:t>
      </w:r>
    </w:p>
    <w:p w14:paraId="25640EAB" w14:textId="77777777" w:rsidR="00AA7153" w:rsidRDefault="001A20CD" w:rsidP="001A20CD">
      <w:r>
        <w:t>This revised Control List</w:t>
      </w:r>
      <w:r w:rsidRPr="00FB0D3A">
        <w:t xml:space="preserve"> </w:t>
      </w:r>
      <w:r>
        <w:t>divides the Parts</w:t>
      </w:r>
      <w:r w:rsidRPr="00FB0D3A">
        <w:t xml:space="preserve"> into coherent and over-arching themes. At once, it is easy to see where one should look to find the </w:t>
      </w:r>
      <w:r>
        <w:t xml:space="preserve">controls relating to a particular </w:t>
      </w:r>
      <w:r>
        <w:lastRenderedPageBreak/>
        <w:t>type of subject matter. Some of t</w:t>
      </w:r>
      <w:r w:rsidRPr="00FB0D3A">
        <w:t xml:space="preserve">he thematic headings </w:t>
      </w:r>
      <w:r>
        <w:t>are then broken down into</w:t>
      </w:r>
      <w:r w:rsidRPr="00FB0D3A">
        <w:t xml:space="preserve"> more detailed subject descriptions</w:t>
      </w:r>
      <w:r>
        <w:t xml:space="preserve"> and sub-categories</w:t>
      </w:r>
      <w:r w:rsidRPr="00FB0D3A">
        <w:t>.</w:t>
      </w:r>
    </w:p>
    <w:p w14:paraId="56776B09" w14:textId="77777777" w:rsidR="00AA7153" w:rsidRDefault="001A20CD" w:rsidP="001A20CD">
      <w:r>
        <w:t>For example, ‘Part 4: Historically Significant Material’ would be broken down into sub-categories:</w:t>
      </w:r>
    </w:p>
    <w:p w14:paraId="7CD165D6" w14:textId="0A937836" w:rsidR="001A20CD" w:rsidRDefault="001A20CD" w:rsidP="00AB6407">
      <w:pPr>
        <w:pStyle w:val="ListParagraph"/>
        <w:numPr>
          <w:ilvl w:val="0"/>
          <w:numId w:val="21"/>
        </w:numPr>
        <w:tabs>
          <w:tab w:val="left" w:pos="1560"/>
        </w:tabs>
        <w:ind w:left="567" w:hanging="567"/>
      </w:pPr>
      <w:r>
        <w:t>Part 4.1: Archaeological Material</w:t>
      </w:r>
    </w:p>
    <w:p w14:paraId="083CAF3E" w14:textId="77777777" w:rsidR="001A20CD" w:rsidRDefault="001A20CD" w:rsidP="00AB6407">
      <w:pPr>
        <w:pStyle w:val="ListParagraph"/>
        <w:numPr>
          <w:ilvl w:val="0"/>
          <w:numId w:val="21"/>
        </w:numPr>
        <w:tabs>
          <w:tab w:val="left" w:pos="1560"/>
        </w:tabs>
        <w:ind w:left="567" w:hanging="567"/>
      </w:pPr>
      <w:r>
        <w:t xml:space="preserve">Part 4.2: </w:t>
      </w:r>
      <w:r w:rsidRPr="00643937">
        <w:t>Document</w:t>
      </w:r>
      <w:r>
        <w:t>ary Heritage</w:t>
      </w:r>
      <w:r w:rsidRPr="00643937">
        <w:t xml:space="preserve"> </w:t>
      </w:r>
      <w:r>
        <w:t>Material</w:t>
      </w:r>
    </w:p>
    <w:p w14:paraId="1B1B919A" w14:textId="77777777" w:rsidR="001A20CD" w:rsidRDefault="001A20CD" w:rsidP="00AB6407">
      <w:pPr>
        <w:pStyle w:val="ListParagraph"/>
        <w:numPr>
          <w:ilvl w:val="0"/>
          <w:numId w:val="21"/>
        </w:numPr>
        <w:tabs>
          <w:tab w:val="left" w:pos="1560"/>
        </w:tabs>
        <w:ind w:left="567" w:hanging="567"/>
      </w:pPr>
      <w:r>
        <w:t>Part 4.3: Applied Science and T</w:t>
      </w:r>
      <w:r w:rsidRPr="00643937">
        <w:t>echnology</w:t>
      </w:r>
      <w:r>
        <w:t xml:space="preserve"> Material</w:t>
      </w:r>
    </w:p>
    <w:p w14:paraId="0BAD7DA4" w14:textId="77777777" w:rsidR="001A20CD" w:rsidRDefault="001A20CD" w:rsidP="00AB6407">
      <w:pPr>
        <w:pStyle w:val="ListParagraph"/>
        <w:numPr>
          <w:ilvl w:val="0"/>
          <w:numId w:val="21"/>
        </w:numPr>
        <w:tabs>
          <w:tab w:val="left" w:pos="1560"/>
        </w:tabs>
        <w:ind w:left="567" w:hanging="567"/>
      </w:pPr>
      <w:r>
        <w:t>Part 4.4: Numismatic Material</w:t>
      </w:r>
    </w:p>
    <w:p w14:paraId="19B9B500" w14:textId="77777777" w:rsidR="001A20CD" w:rsidRDefault="001A20CD" w:rsidP="00AB6407">
      <w:pPr>
        <w:pStyle w:val="ListParagraph"/>
        <w:numPr>
          <w:ilvl w:val="0"/>
          <w:numId w:val="21"/>
        </w:numPr>
        <w:tabs>
          <w:tab w:val="left" w:pos="1560"/>
        </w:tabs>
        <w:ind w:left="567" w:hanging="567"/>
      </w:pPr>
      <w:r>
        <w:t>Part 4.5: Philatelic Material</w:t>
      </w:r>
    </w:p>
    <w:p w14:paraId="0461923A" w14:textId="37583EE2" w:rsidR="001A20CD" w:rsidRPr="00E661D3" w:rsidRDefault="001A20CD" w:rsidP="00AB6407">
      <w:pPr>
        <w:pStyle w:val="ListParagraph"/>
        <w:numPr>
          <w:ilvl w:val="0"/>
          <w:numId w:val="21"/>
        </w:numPr>
        <w:tabs>
          <w:tab w:val="left" w:pos="567"/>
        </w:tabs>
        <w:ind w:left="567" w:hanging="567"/>
        <w:rPr>
          <w:vanish/>
        </w:rPr>
      </w:pPr>
      <w:r>
        <w:t>Part 4.6: Social, C</w:t>
      </w:r>
      <w:r w:rsidRPr="00643937">
        <w:t xml:space="preserve">ultural, </w:t>
      </w:r>
      <w:r>
        <w:t>Spiritual, Sporting, Political and Military H</w:t>
      </w:r>
      <w:r w:rsidRPr="00643937">
        <w:t>istory</w:t>
      </w:r>
      <w:r>
        <w:t xml:space="preserve"> and Other Material </w:t>
      </w:r>
    </w:p>
    <w:p w14:paraId="6DC9EB20" w14:textId="77777777" w:rsidR="00AA7153" w:rsidRDefault="001A20CD" w:rsidP="001A20CD">
      <w:pPr>
        <w:spacing w:after="240"/>
      </w:pPr>
      <w:r w:rsidRPr="00A121C4">
        <w:t>These</w:t>
      </w:r>
      <w:r>
        <w:t xml:space="preserve"> sub-categories each have their own ‘Part’ in the current Control List but this is to belie the feature that links them all: they are not necessarily important for their own characteristics: they tend to be important because of their association with a person, community, movement, event, period or story. Perhaps this can be said of all cultural property but it is very evident in these categories.</w:t>
      </w:r>
    </w:p>
    <w:p w14:paraId="023C9736" w14:textId="1C124223" w:rsidR="000B6292" w:rsidRDefault="001A20CD" w:rsidP="001A20CD">
      <w:pPr>
        <w:tabs>
          <w:tab w:val="left" w:pos="7920"/>
        </w:tabs>
        <w:spacing w:after="240"/>
      </w:pPr>
      <w:r w:rsidRPr="004F2FD0">
        <w:t>Under each of these categories it is proposed that there be a</w:t>
      </w:r>
      <w:r>
        <w:t xml:space="preserve"> </w:t>
      </w:r>
      <w:r w:rsidRPr="004F2FD0">
        <w:t xml:space="preserve">description of what material is included in that subpart; concise thresholds as to the material concerned; and the factors that need to be considered once an application for export is received. The proposed Control List can be found in the </w:t>
      </w:r>
      <w:r w:rsidRPr="00FB5D99">
        <w:t xml:space="preserve">model at </w:t>
      </w:r>
      <w:r w:rsidR="00FB5D99" w:rsidRPr="00FB5D99">
        <w:t xml:space="preserve">Part </w:t>
      </w:r>
      <w:r w:rsidR="007308AE">
        <w:t>E</w:t>
      </w:r>
      <w:r w:rsidRPr="00FB5D99">
        <w:t>.</w:t>
      </w:r>
    </w:p>
    <w:p w14:paraId="038008D1" w14:textId="77777777" w:rsidR="000B6292" w:rsidRDefault="000B6292">
      <w:pPr>
        <w:spacing w:line="276" w:lineRule="auto"/>
      </w:pPr>
      <w:r>
        <w:br w:type="page"/>
      </w:r>
    </w:p>
    <w:p w14:paraId="62339A10" w14:textId="764E208F" w:rsidR="0041491F" w:rsidRPr="0041491F" w:rsidRDefault="0041491F" w:rsidP="00AB6407">
      <w:pPr>
        <w:pStyle w:val="Subtitle"/>
        <w:keepNext/>
      </w:pPr>
      <w:r w:rsidRPr="0041491F">
        <w:lastRenderedPageBreak/>
        <w:t>Survey Response</w:t>
      </w:r>
    </w:p>
    <w:p w14:paraId="3D5398DE" w14:textId="46EC567D" w:rsidR="00172D73" w:rsidRDefault="0041491F" w:rsidP="001A20CD">
      <w:pPr>
        <w:tabs>
          <w:tab w:val="left" w:pos="7920"/>
        </w:tabs>
        <w:spacing w:after="240"/>
      </w:pPr>
      <w:r w:rsidRPr="0041491F">
        <w:t>75% of respondents suggested t</w:t>
      </w:r>
      <w:r w:rsidR="00855992">
        <w:t>hat the reconfiguration of the Control L</w:t>
      </w:r>
      <w:r w:rsidRPr="0041491F">
        <w:t>ist makes it easier to decide whether an object requires an export permit application</w:t>
      </w:r>
      <w:r>
        <w:t>.</w:t>
      </w:r>
      <w:r w:rsidRPr="0041491F">
        <w:rPr>
          <w:noProof/>
          <w:lang w:eastAsia="en-AU"/>
        </w:rPr>
        <w:t xml:space="preserve"> </w:t>
      </w:r>
      <w:r w:rsidRPr="00876513">
        <w:rPr>
          <w:noProof/>
          <w:lang w:eastAsia="en-AU"/>
        </w:rPr>
        <w:drawing>
          <wp:inline distT="0" distB="0" distL="0" distR="0" wp14:anchorId="5007C28E" wp14:editId="7BA5C1A5">
            <wp:extent cx="2224217" cy="1821845"/>
            <wp:effectExtent l="0" t="0" r="5080" b="6985"/>
            <wp:docPr id="25" name="Picture 25" descr="Proportion of respondents who found that the reconfiguration of the Control List makes it easier to decide whether an object requires an export permit application:&#10;&#10;75% Yes&#10;11% No&#10;14% Unsure&#10;" title="Figure 5 - Proportion of respondents who found that the reconfiguration of the Control List makes it easier to decide whether an object requires an export permi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224217" cy="1821845"/>
                    </a:xfrm>
                    <a:prstGeom prst="rect">
                      <a:avLst/>
                    </a:prstGeom>
                    <a:noFill/>
                    <a:ln>
                      <a:noFill/>
                    </a:ln>
                  </pic:spPr>
                </pic:pic>
              </a:graphicData>
            </a:graphic>
          </wp:inline>
        </w:drawing>
      </w:r>
    </w:p>
    <w:p w14:paraId="765AB7D2" w14:textId="4AA97E7F" w:rsidR="00730880" w:rsidRDefault="00730880" w:rsidP="00FB5D99">
      <w:pPr>
        <w:tabs>
          <w:tab w:val="left" w:pos="7920"/>
        </w:tabs>
        <w:spacing w:after="240" w:line="240" w:lineRule="auto"/>
        <w:ind w:left="284"/>
        <w:rPr>
          <w:rFonts w:eastAsia="Times New Roman" w:cs="Arial"/>
          <w:bCs/>
          <w:i/>
          <w:sz w:val="20"/>
          <w:szCs w:val="20"/>
          <w:lang w:eastAsia="en-AU"/>
        </w:rPr>
      </w:pPr>
      <w:r w:rsidRPr="001B5D3A">
        <w:rPr>
          <w:rFonts w:eastAsia="Times New Roman" w:cs="Arial"/>
          <w:bCs/>
          <w:i/>
          <w:sz w:val="20"/>
          <w:szCs w:val="20"/>
          <w:lang w:eastAsia="en-AU"/>
        </w:rPr>
        <w:t>Figure 5</w:t>
      </w:r>
      <w:r w:rsidR="00AA7153">
        <w:rPr>
          <w:rFonts w:eastAsia="Times New Roman" w:cs="Arial"/>
          <w:bCs/>
          <w:i/>
          <w:sz w:val="20"/>
          <w:szCs w:val="20"/>
          <w:lang w:eastAsia="en-AU"/>
        </w:rPr>
        <w:t>—</w:t>
      </w:r>
      <w:r w:rsidRPr="001B5D3A">
        <w:rPr>
          <w:rFonts w:eastAsia="Times New Roman" w:cs="Arial"/>
          <w:bCs/>
          <w:i/>
          <w:sz w:val="20"/>
          <w:szCs w:val="20"/>
          <w:lang w:eastAsia="en-AU"/>
        </w:rPr>
        <w:t>Proportion of respondents who found t</w:t>
      </w:r>
      <w:r w:rsidR="00FB5D99">
        <w:rPr>
          <w:rFonts w:eastAsia="Times New Roman" w:cs="Arial"/>
          <w:bCs/>
          <w:i/>
          <w:sz w:val="20"/>
          <w:szCs w:val="20"/>
          <w:lang w:eastAsia="en-AU"/>
        </w:rPr>
        <w:t>hat the reconfiguration of the Control L</w:t>
      </w:r>
      <w:r w:rsidRPr="001B5D3A">
        <w:rPr>
          <w:rFonts w:eastAsia="Times New Roman" w:cs="Arial"/>
          <w:bCs/>
          <w:i/>
          <w:sz w:val="20"/>
          <w:szCs w:val="20"/>
          <w:lang w:eastAsia="en-AU"/>
        </w:rPr>
        <w:t>ist makes it easier to decide whether an object requires an export permit application</w:t>
      </w:r>
      <w:r w:rsidRPr="001B5D3A">
        <w:rPr>
          <w:rStyle w:val="FootnoteReference"/>
          <w:i/>
          <w:sz w:val="20"/>
          <w:szCs w:val="20"/>
        </w:rPr>
        <w:footnoteReference w:id="27"/>
      </w:r>
    </w:p>
    <w:p w14:paraId="41552BC6" w14:textId="77777777" w:rsidR="00FB5D99" w:rsidRDefault="001A20CD" w:rsidP="00052178">
      <w:pPr>
        <w:pStyle w:val="Heading2"/>
      </w:pPr>
      <w:bookmarkStart w:id="56" w:name="_Toc433906583"/>
      <w:r w:rsidRPr="00EF0F8F">
        <w:t>New Part 1: Aborigi</w:t>
      </w:r>
      <w:r>
        <w:t>nal or Torres Strait Islander M</w:t>
      </w:r>
      <w:r w:rsidRPr="00EF0F8F">
        <w:t>aterial</w:t>
      </w:r>
      <w:r>
        <w:t xml:space="preserve"> and Ancestral Remains</w:t>
      </w:r>
      <w:bookmarkEnd w:id="56"/>
    </w:p>
    <w:p w14:paraId="68A023CE" w14:textId="27A6C764" w:rsidR="001A20CD" w:rsidRPr="001D3FB2" w:rsidRDefault="001A20CD" w:rsidP="001D3FB2">
      <w:pPr>
        <w:pStyle w:val="Heading3"/>
      </w:pPr>
      <w:r w:rsidRPr="001D3FB2">
        <w:t>Ancestral remains</w:t>
      </w:r>
    </w:p>
    <w:p w14:paraId="3011A5D5" w14:textId="77777777" w:rsidR="00AA7153" w:rsidRDefault="001A20CD" w:rsidP="001A20CD">
      <w:r>
        <w:t>The new model continues to give the highest level of protection to Aboriginal or Torres Strait Islander Ancestral remains. Ancestral remains are recognised as a separate category under the new model, ensuring they are afforded appropriate recognition and dignity</w:t>
      </w:r>
      <w:r w:rsidR="00EB39D3">
        <w:t>,</w:t>
      </w:r>
      <w:r>
        <w:t xml:space="preserve"> and not referred to as ‘objects’.</w:t>
      </w:r>
    </w:p>
    <w:p w14:paraId="7FD7E44A" w14:textId="6B44490F" w:rsidR="00AA7153" w:rsidRDefault="001A20CD" w:rsidP="001A20CD">
      <w:r>
        <w:t xml:space="preserve">Unlike the </w:t>
      </w:r>
      <w:r w:rsidR="00FB5D99">
        <w:t>current Act, the new model</w:t>
      </w:r>
      <w:r>
        <w:t xml:space="preserve"> include</w:t>
      </w:r>
      <w:r w:rsidR="00FB5D99">
        <w:t>s</w:t>
      </w:r>
      <w:r>
        <w:t xml:space="preserve"> a definition of Ancestral remains</w:t>
      </w:r>
      <w:r w:rsidR="00801A32">
        <w:t>—</w:t>
      </w:r>
      <w:r>
        <w:t>one that ensures protection for parts and samples (including bone, hair and samples such as DNA). This will require careful navigation in drafting. What is intended is to protect Ancestral remains from unregulated export for testing and research purposes where no (or unclear) consent has been given</w:t>
      </w:r>
      <w:r w:rsidR="00EB39D3">
        <w:t>,</w:t>
      </w:r>
      <w:r>
        <w:t xml:space="preserve"> and to ensure Ancestral remains are not used internationally for commercial gain. The Act should not inadvertently place restrictions on testing for which clear consent was obtained from individuals who have now passed</w:t>
      </w:r>
      <w:r w:rsidR="00E64026">
        <w:t>,</w:t>
      </w:r>
      <w:r>
        <w:t xml:space="preserve"> or their descendants. Nor should it inadvertently capture as Declared </w:t>
      </w:r>
      <w:r>
        <w:lastRenderedPageBreak/>
        <w:t>Australian Protected Material artworks containing human material (e.g. hair) placed there by the artist where there are no further sensitivities about that object.</w:t>
      </w:r>
    </w:p>
    <w:p w14:paraId="6704D1AB" w14:textId="7190E1FE" w:rsidR="00AA7153" w:rsidRDefault="001A20CD" w:rsidP="001A20CD">
      <w:r>
        <w:t>Informed consent is fundamental to the new model. For the first time it will explicitly require that the consent of a Traditional Owner or recognised representative of the relevant community is a pre-condition of any export of Ancestral remains</w:t>
      </w:r>
      <w:r w:rsidR="00FB5D99">
        <w:t>.</w:t>
      </w:r>
      <w:r>
        <w:rPr>
          <w:rStyle w:val="FootnoteReference"/>
        </w:rPr>
        <w:footnoteReference w:id="28"/>
      </w:r>
      <w:r>
        <w:t xml:space="preserve"> The complexities of consent will be elaborated in guidelines that conform to </w:t>
      </w:r>
      <w:r w:rsidR="00855992">
        <w:t xml:space="preserve">the </w:t>
      </w:r>
      <w:r>
        <w:t>Australian Institute for Aboriginal and Torres Strait Islander Studies’ protocols</w:t>
      </w:r>
      <w:r w:rsidR="00FB5D99">
        <w:t>.</w:t>
      </w:r>
      <w:r>
        <w:rPr>
          <w:rStyle w:val="FootnoteReference"/>
        </w:rPr>
        <w:footnoteReference w:id="29"/>
      </w:r>
    </w:p>
    <w:p w14:paraId="1324A445" w14:textId="77777777" w:rsidR="00AA7153" w:rsidRDefault="001A20CD" w:rsidP="001A20CD">
      <w:r>
        <w:t>Throughout the legislation the term ‘Aboriginal or Torres Strait Islander peoples’ should have</w:t>
      </w:r>
      <w:r w:rsidR="00FB5D99">
        <w:t xml:space="preserve"> a meaning consistent with</w:t>
      </w:r>
      <w:r>
        <w:t xml:space="preserve"> the </w:t>
      </w:r>
      <w:r w:rsidRPr="008C15D0">
        <w:rPr>
          <w:i/>
        </w:rPr>
        <w:t>Aboriginal and Torres Strait Islander Act 2005.</w:t>
      </w:r>
    </w:p>
    <w:p w14:paraId="59E09D8D" w14:textId="3EEC87DB" w:rsidR="001A20CD" w:rsidRPr="001D3FB2" w:rsidRDefault="001A20CD" w:rsidP="001D3FB2">
      <w:pPr>
        <w:pStyle w:val="Heading3"/>
      </w:pPr>
      <w:r w:rsidRPr="001D3FB2">
        <w:t>Artworks</w:t>
      </w:r>
    </w:p>
    <w:p w14:paraId="4DDAF76B" w14:textId="5E3ACD53" w:rsidR="00AA7153" w:rsidRDefault="001A20CD" w:rsidP="001A20CD">
      <w:r w:rsidRPr="00FB0D3A">
        <w:t xml:space="preserve">In the present Control List there is unnecessary confusion between Part 1 </w:t>
      </w:r>
      <w:r>
        <w:t xml:space="preserve">(Objects of </w:t>
      </w:r>
      <w:r w:rsidR="00855992">
        <w:t xml:space="preserve">Australian </w:t>
      </w:r>
      <w:r>
        <w:t xml:space="preserve">Aboriginal and Torres Strait Islander Heritage) </w:t>
      </w:r>
      <w:r w:rsidRPr="00FB0D3A">
        <w:t>and Part 5</w:t>
      </w:r>
      <w:r>
        <w:t xml:space="preserve"> (Objects of Fine and Decorative Art). There is misunderstanding </w:t>
      </w:r>
      <w:r w:rsidR="00FB5D99">
        <w:t xml:space="preserve">as to </w:t>
      </w:r>
      <w:r>
        <w:t>whether w</w:t>
      </w:r>
      <w:r w:rsidRPr="00FB0D3A">
        <w:t xml:space="preserve">orks of contemporary Indigenous art </w:t>
      </w:r>
      <w:r>
        <w:t>can</w:t>
      </w:r>
      <w:r w:rsidRPr="00FB0D3A">
        <w:t xml:space="preserve"> </w:t>
      </w:r>
      <w:r>
        <w:t>be considered</w:t>
      </w:r>
      <w:r w:rsidRPr="00FB0D3A">
        <w:t xml:space="preserve"> under either or both classifications. Given the sophistication of the </w:t>
      </w:r>
      <w:r w:rsidRPr="00233E01">
        <w:t>Indigenous</w:t>
      </w:r>
      <w:r w:rsidRPr="00FB0D3A">
        <w:t xml:space="preserve"> art market in contemporary Australia, there is no l</w:t>
      </w:r>
      <w:r>
        <w:t>onger any justification for this lack of clarity</w:t>
      </w:r>
      <w:r w:rsidRPr="00FB0D3A">
        <w:t>.</w:t>
      </w:r>
    </w:p>
    <w:p w14:paraId="0DECFD73" w14:textId="5A959041" w:rsidR="001A20CD" w:rsidRDefault="001A20CD" w:rsidP="001A20CD">
      <w:r>
        <w:t>In the new model,</w:t>
      </w:r>
      <w:r w:rsidRPr="00FB0D3A">
        <w:t xml:space="preserve"> all works of visual art, craft and design </w:t>
      </w:r>
      <w:r w:rsidRPr="00D926A2">
        <w:t xml:space="preserve">made with the intention to sell </w:t>
      </w:r>
      <w:r>
        <w:t>are assessed under the same Part</w:t>
      </w:r>
      <w:r w:rsidRPr="00D926A2">
        <w:t xml:space="preserve">, irrespective of the </w:t>
      </w:r>
      <w:r w:rsidRPr="00FB0D3A">
        <w:t>artist's race</w:t>
      </w:r>
      <w:r>
        <w:t xml:space="preserve"> or culture</w:t>
      </w:r>
      <w:r w:rsidRPr="00FB0D3A">
        <w:t>. Contemporary Indigenous art, craft and design is a vital part of the art, craft an</w:t>
      </w:r>
      <w:r>
        <w:t>d design practice of Australia</w:t>
      </w:r>
      <w:r w:rsidR="00801A32">
        <w:t>—</w:t>
      </w:r>
      <w:r w:rsidRPr="00FB0D3A">
        <w:t>it is not separate from it</w:t>
      </w:r>
      <w:r w:rsidR="00801A32">
        <w:t>—</w:t>
      </w:r>
      <w:r w:rsidRPr="00FB0D3A">
        <w:t>and this should be reflected in the Control List.</w:t>
      </w:r>
    </w:p>
    <w:p w14:paraId="52678A8B" w14:textId="77777777" w:rsidR="00AA7153" w:rsidRDefault="001A20CD" w:rsidP="001D3FB2">
      <w:pPr>
        <w:pStyle w:val="Heading3"/>
      </w:pPr>
      <w:r w:rsidRPr="001D3FB2">
        <w:t>Recognition of spiritual and cultural significance</w:t>
      </w:r>
    </w:p>
    <w:p w14:paraId="13486309" w14:textId="77777777" w:rsidR="00AA7153" w:rsidRDefault="001A20CD" w:rsidP="001A20CD">
      <w:r>
        <w:t xml:space="preserve">During consultation concern was raised that by confining the assessment of Indigenous artworks to the current Part 5 (Objects of Fine and Decorative Art), experts could not consider the spiritual and cultural significance of the works. The approach to significance assessment embedded in the new model makes clear that </w:t>
      </w:r>
      <w:r w:rsidRPr="00C36727">
        <w:rPr>
          <w:b/>
        </w:rPr>
        <w:t>all</w:t>
      </w:r>
      <w:r>
        <w:t xml:space="preserve"> elements of </w:t>
      </w:r>
      <w:r>
        <w:lastRenderedPageBreak/>
        <w:t>the material’s significance may be considered, regardless of the Part under which the material falls.</w:t>
      </w:r>
    </w:p>
    <w:p w14:paraId="72FE8F1F" w14:textId="693AE3F7" w:rsidR="001A20CD" w:rsidRPr="001D3FB2" w:rsidRDefault="001A20CD" w:rsidP="001D3FB2">
      <w:pPr>
        <w:pStyle w:val="Heading3"/>
      </w:pPr>
      <w:r w:rsidRPr="001D3FB2">
        <w:t>Maintaining and strengthening protection</w:t>
      </w:r>
    </w:p>
    <w:p w14:paraId="76129267" w14:textId="77777777" w:rsidR="00AA7153" w:rsidRDefault="001A20CD" w:rsidP="001A20CD">
      <w:r>
        <w:t>The</w:t>
      </w:r>
      <w:r w:rsidRPr="00FB0D3A">
        <w:t xml:space="preserve"> new approach </w:t>
      </w:r>
      <w:r>
        <w:t xml:space="preserve">to the classification of material will </w:t>
      </w:r>
      <w:r w:rsidRPr="00FB0D3A">
        <w:t>strength</w:t>
      </w:r>
      <w:r>
        <w:t xml:space="preserve">en the protection given to important </w:t>
      </w:r>
      <w:r w:rsidRPr="00FB0D3A">
        <w:t xml:space="preserve">material. </w:t>
      </w:r>
      <w:r>
        <w:t>All</w:t>
      </w:r>
      <w:r w:rsidRPr="00FB0D3A">
        <w:t xml:space="preserve"> the material currently described as Class A w</w:t>
      </w:r>
      <w:r>
        <w:t>ill</w:t>
      </w:r>
      <w:r w:rsidRPr="00FB0D3A">
        <w:t xml:space="preserve"> </w:t>
      </w:r>
      <w:r>
        <w:t>be classified as</w:t>
      </w:r>
      <w:r w:rsidRPr="008101CE">
        <w:rPr>
          <w:bCs/>
        </w:rPr>
        <w:t xml:space="preserve"> Declared Australian Protected </w:t>
      </w:r>
      <w:r>
        <w:rPr>
          <w:bCs/>
        </w:rPr>
        <w:t>Material</w:t>
      </w:r>
      <w:r w:rsidRPr="008101CE">
        <w:t>.</w:t>
      </w:r>
    </w:p>
    <w:p w14:paraId="02EA7630" w14:textId="77777777" w:rsidR="00AA7153" w:rsidRDefault="001A20CD" w:rsidP="001A20CD">
      <w:r w:rsidRPr="00FB0D3A">
        <w:t xml:space="preserve">It is clear from </w:t>
      </w:r>
      <w:r>
        <w:t xml:space="preserve">consultation and in the </w:t>
      </w:r>
      <w:r w:rsidRPr="00FB0D3A">
        <w:t xml:space="preserve">submissions to earlier reviews that the Aboriginal </w:t>
      </w:r>
      <w:r>
        <w:t>or Torres Strait Islander material</w:t>
      </w:r>
      <w:r w:rsidRPr="00FB0D3A">
        <w:t xml:space="preserve"> currently protected by Class A status </w:t>
      </w:r>
      <w:r>
        <w:t>remains</w:t>
      </w:r>
      <w:r w:rsidRPr="00FB0D3A">
        <w:t xml:space="preserve"> appropriate for maximum protection. That protection is retained in the new </w:t>
      </w:r>
      <w:r>
        <w:t>model</w:t>
      </w:r>
      <w:r w:rsidRPr="008F7EC9">
        <w:t>.</w:t>
      </w:r>
    </w:p>
    <w:p w14:paraId="535F3235" w14:textId="77777777" w:rsidR="00AA7153" w:rsidRDefault="001A20CD" w:rsidP="001A20CD">
      <w:r w:rsidRPr="00FB0D3A">
        <w:t>It is also clear that there are other items</w:t>
      </w:r>
      <w:r>
        <w:t xml:space="preserve"> and </w:t>
      </w:r>
      <w:r w:rsidRPr="00B1357C">
        <w:t xml:space="preserve">categories of Aboriginal </w:t>
      </w:r>
      <w:r>
        <w:t>or</w:t>
      </w:r>
      <w:r w:rsidRPr="00B1357C">
        <w:t xml:space="preserve"> Torres Strait Islander </w:t>
      </w:r>
      <w:r>
        <w:t>Material</w:t>
      </w:r>
      <w:r w:rsidRPr="00B1357C">
        <w:t xml:space="preserve"> </w:t>
      </w:r>
      <w:r>
        <w:t>that should be provided that high level of protection.</w:t>
      </w:r>
      <w:r w:rsidRPr="00B1357C">
        <w:t xml:space="preserve"> The</w:t>
      </w:r>
      <w:r w:rsidRPr="00FB0D3A">
        <w:t xml:space="preserve"> exp</w:t>
      </w:r>
      <w:r>
        <w:t xml:space="preserve">ress protection granted to a </w:t>
      </w:r>
      <w:r w:rsidRPr="00FB0D3A">
        <w:t>wider group of</w:t>
      </w:r>
      <w:r>
        <w:t xml:space="preserve"> such</w:t>
      </w:r>
      <w:r w:rsidRPr="00FB0D3A">
        <w:t xml:space="preserve"> heritage material </w:t>
      </w:r>
      <w:r>
        <w:t xml:space="preserve">will give greater certainty to </w:t>
      </w:r>
      <w:r w:rsidRPr="00FB0D3A">
        <w:t>communities, owners, purchasers, vendors and auction houses as to the protected status of the material.</w:t>
      </w:r>
    </w:p>
    <w:p w14:paraId="02E36285" w14:textId="486F73D2" w:rsidR="001A20CD" w:rsidRDefault="001A20CD" w:rsidP="001A20CD">
      <w:r w:rsidRPr="00FB0D3A">
        <w:t xml:space="preserve">The </w:t>
      </w:r>
      <w:r>
        <w:t>high degree of significance of the material</w:t>
      </w:r>
      <w:r w:rsidRPr="00FB0D3A">
        <w:t xml:space="preserve"> </w:t>
      </w:r>
      <w:r>
        <w:t>recommended for protection as Declared Australian Protected Material</w:t>
      </w:r>
      <w:r w:rsidRPr="00FB0D3A">
        <w:t xml:space="preserve"> </w:t>
      </w:r>
      <w:r>
        <w:t xml:space="preserve">is self-evident. They </w:t>
      </w:r>
      <w:r w:rsidRPr="00FB0D3A">
        <w:t>would not be granted a permit for permanent export</w:t>
      </w:r>
      <w:r>
        <w:t xml:space="preserve"> under the present system and, with their new status as Declared Australian Protected Material, will not be granted permanent export permits under the new system.</w:t>
      </w:r>
      <w:r w:rsidRPr="00FB0D3A">
        <w:t xml:space="preserve"> With this new approach, it would no longer be necessary to go through the cost and delay of significance assessment to end up with the same result</w:t>
      </w:r>
      <w:r w:rsidR="00801A32">
        <w:t>—</w:t>
      </w:r>
      <w:r w:rsidRPr="00FB0D3A">
        <w:t>prohibition of permanent export.</w:t>
      </w:r>
      <w:r>
        <w:rPr>
          <w:rStyle w:val="FootnoteReference"/>
        </w:rPr>
        <w:footnoteReference w:id="30"/>
      </w:r>
    </w:p>
    <w:p w14:paraId="684729BB" w14:textId="77777777" w:rsidR="001A20CD" w:rsidRPr="001D3FB2" w:rsidRDefault="001A20CD" w:rsidP="001D3FB2">
      <w:pPr>
        <w:pStyle w:val="Heading3"/>
      </w:pPr>
      <w:r w:rsidRPr="001D3FB2">
        <w:t>Consultation and consent requirement</w:t>
      </w:r>
    </w:p>
    <w:p w14:paraId="12C1B2E5" w14:textId="19165879" w:rsidR="00AA7153" w:rsidRDefault="001A20CD" w:rsidP="001A20CD">
      <w:r>
        <w:t xml:space="preserve">In line with Australia’s </w:t>
      </w:r>
      <w:r w:rsidR="00855992">
        <w:t>commitment to</w:t>
      </w:r>
      <w:r>
        <w:t xml:space="preserve"> the </w:t>
      </w:r>
      <w:r w:rsidRPr="00855992">
        <w:t>United Nations</w:t>
      </w:r>
      <w:r w:rsidRPr="00741C06">
        <w:rPr>
          <w:i/>
        </w:rPr>
        <w:t xml:space="preserve"> Declaration on the Rights of Indigenous People</w:t>
      </w:r>
      <w:r>
        <w:t>, the material regulated under this Part of the Control List is subject to specific consultation and consent provisions, acknowledging that Aboriginal and Torres Strait Islander peoples remain the ongoing custodians of their cultural material.</w:t>
      </w:r>
    </w:p>
    <w:p w14:paraId="7F93994E" w14:textId="77777777" w:rsidR="00AA7153" w:rsidRDefault="001A20CD" w:rsidP="001A20CD">
      <w:r>
        <w:lastRenderedPageBreak/>
        <w:t>The new model ensures that</w:t>
      </w:r>
      <w:r w:rsidR="00EB39D3">
        <w:t>,</w:t>
      </w:r>
      <w:r>
        <w:t xml:space="preserve"> for the first time</w:t>
      </w:r>
      <w:r w:rsidR="00EB39D3">
        <w:t>,</w:t>
      </w:r>
      <w:r>
        <w:t xml:space="preserve"> material that is being temporarily exported by a Traditional Owner in accordance with Aboriginal or Torres Strait Islander customs and traditions does not require a permit.</w:t>
      </w:r>
    </w:p>
    <w:p w14:paraId="66D253B9" w14:textId="77777777" w:rsidR="00AA7153" w:rsidRDefault="001A20CD" w:rsidP="001A20CD">
      <w:r>
        <w:t>All other exports of material under this Part will require consultation</w:t>
      </w:r>
      <w:r w:rsidR="00EB39D3">
        <w:t xml:space="preserve"> with and consent from</w:t>
      </w:r>
      <w:r>
        <w:t xml:space="preserve"> the Traditional Owner or relevant </w:t>
      </w:r>
      <w:r w:rsidR="00EB39D3">
        <w:t xml:space="preserve">family or </w:t>
      </w:r>
      <w:r>
        <w:t>community. Owners will be expected to have consulted and obtained consent prior to making the application, however the</w:t>
      </w:r>
      <w:r w:rsidRPr="00224B2B">
        <w:rPr>
          <w:highlight w:val="yellow"/>
        </w:rPr>
        <w:t xml:space="preserve"> </w:t>
      </w:r>
      <w:r w:rsidRPr="00A830CA">
        <w:t>Department will need to satisfy itself that respectful, informed, ethical and meaningful consultation has been carried out and consent given or withheld, before an export decision is made.</w:t>
      </w:r>
    </w:p>
    <w:p w14:paraId="7118ECB9" w14:textId="77777777" w:rsidR="00AA7153" w:rsidRDefault="001A20CD" w:rsidP="001A20CD">
      <w:r>
        <w:t>Where the appropriate Traditional Owners or representatives cannot be identified, the Department can have the significance assessment</w:t>
      </w:r>
      <w:r w:rsidR="00EB39D3">
        <w:t>s</w:t>
      </w:r>
      <w:r>
        <w:t xml:space="preserve"> undertaken by Aboriginal or Torres Strait Islander experts.</w:t>
      </w:r>
    </w:p>
    <w:p w14:paraId="4939C531" w14:textId="094CC6C5" w:rsidR="00AA7153" w:rsidRDefault="001A20CD" w:rsidP="001A20CD">
      <w:r>
        <w:t xml:space="preserve">In the case of </w:t>
      </w:r>
      <w:proofErr w:type="spellStart"/>
      <w:r>
        <w:t>unprovenanced</w:t>
      </w:r>
      <w:proofErr w:type="spellEnd"/>
      <w:r>
        <w:t xml:space="preserve"> Ancestral remains or other material, a panel of Aboriginal or Torres Strait Islander representatives/ experts should be convened to provide advice. In addition, there are several national advisory bodies or committees such as the Advisory Committee for Indigenous Repatriation and the National Centre for Indigenous Genomics, from which appropriate advice may be sought on issues of consultation, consent or the assessment of applications.</w:t>
      </w:r>
    </w:p>
    <w:p w14:paraId="0E185B93" w14:textId="77777777" w:rsidR="00AA7153" w:rsidRDefault="001A20CD" w:rsidP="001A20CD">
      <w:r>
        <w:t xml:space="preserve">In formulating the guidelines for consultation and consent, the Department should consider those already developed within the sector, such as the National Museum of Australia’s </w:t>
      </w:r>
      <w:r w:rsidRPr="009F1447">
        <w:rPr>
          <w:i/>
        </w:rPr>
        <w:t>Indigenous Cultural Rights and Engagement Policy</w:t>
      </w:r>
      <w:r>
        <w:rPr>
          <w:i/>
        </w:rPr>
        <w:t>.</w:t>
      </w:r>
    </w:p>
    <w:p w14:paraId="43C5DBC5" w14:textId="1AD4F08F" w:rsidR="00172D73" w:rsidRDefault="0041491F" w:rsidP="00AB6407">
      <w:pPr>
        <w:pStyle w:val="Subtitle"/>
        <w:keepNext/>
      </w:pPr>
      <w:r>
        <w:t>Survey Response</w:t>
      </w:r>
    </w:p>
    <w:p w14:paraId="33836F1B" w14:textId="754EA7FB" w:rsidR="0041491F" w:rsidRDefault="0041491F" w:rsidP="00AB6407">
      <w:pPr>
        <w:keepNext/>
        <w:rPr>
          <w:rFonts w:eastAsia="Cambria" w:cs="Arial"/>
          <w:sz w:val="20"/>
        </w:rPr>
      </w:pPr>
      <w:r w:rsidRPr="00997A1A">
        <w:rPr>
          <w:rFonts w:eastAsia="Cambria" w:cs="Arial"/>
          <w:sz w:val="20"/>
        </w:rPr>
        <w:t>60% of respondents agreed to a large extent or a very large extent that the ‘Declared Australian Protected Object’ approach provides enhanced export protection for Aboriginal and T</w:t>
      </w:r>
      <w:r>
        <w:rPr>
          <w:rFonts w:eastAsia="Cambria" w:cs="Arial"/>
          <w:sz w:val="20"/>
        </w:rPr>
        <w:t xml:space="preserve">orres Strait </w:t>
      </w:r>
      <w:r>
        <w:rPr>
          <w:rFonts w:eastAsia="Cambria" w:cs="Arial"/>
          <w:sz w:val="20"/>
        </w:rPr>
        <w:lastRenderedPageBreak/>
        <w:t xml:space="preserve">Islander material. </w:t>
      </w:r>
      <w:r w:rsidRPr="00997A1A">
        <w:rPr>
          <w:rFonts w:eastAsia="Cambria" w:cs="Arial"/>
          <w:sz w:val="20"/>
        </w:rPr>
        <w:t>A further 21% agreed to a moderate or small extent that the approach provides enhanced export protection.</w:t>
      </w:r>
    </w:p>
    <w:p w14:paraId="658F3BF2" w14:textId="7A140C7B" w:rsidR="0041491F" w:rsidRDefault="0041491F" w:rsidP="00AB6407">
      <w:pPr>
        <w:keepNext/>
      </w:pPr>
      <w:r w:rsidRPr="00C17362">
        <w:rPr>
          <w:noProof/>
          <w:lang w:eastAsia="en-AU"/>
        </w:rPr>
        <w:drawing>
          <wp:inline distT="0" distB="0" distL="0" distR="0" wp14:anchorId="6E2FD094" wp14:editId="3B61AE62">
            <wp:extent cx="3027680" cy="2026285"/>
            <wp:effectExtent l="0" t="0" r="1270" b="0"/>
            <wp:docPr id="26" name="Picture 26" descr="The extent to which respondents believe that the 'Declared Australian Protected Object' approach provides enhanced export protection for Aboriginal and Torres Strait Islander material:&#10;&#10;22% To a very large extent&#10;38% To a large extent&#10;17% To a moderate extent&#10;4% To a small extent&#10;4% Not at all&#10;15% Unsure&#10;" title="Figure 6 - The extent to which respondents believe that the 'Declared Australian Protected Object' approach provides enhanced export protection for Aboriginal and Torres Strait Islander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027680" cy="2026285"/>
                    </a:xfrm>
                    <a:prstGeom prst="rect">
                      <a:avLst/>
                    </a:prstGeom>
                    <a:noFill/>
                    <a:ln>
                      <a:noFill/>
                    </a:ln>
                  </pic:spPr>
                </pic:pic>
              </a:graphicData>
            </a:graphic>
          </wp:inline>
        </w:drawing>
      </w:r>
    </w:p>
    <w:p w14:paraId="179DB0B5" w14:textId="76E7953A" w:rsidR="00730880" w:rsidRDefault="00730880" w:rsidP="00FB5D99">
      <w:pPr>
        <w:spacing w:line="240" w:lineRule="auto"/>
      </w:pPr>
      <w:r w:rsidRPr="001B5D3A">
        <w:rPr>
          <w:rFonts w:eastAsia="Times New Roman" w:cs="Arial"/>
          <w:bCs/>
          <w:i/>
          <w:sz w:val="20"/>
          <w:szCs w:val="20"/>
          <w:lang w:eastAsia="en-AU"/>
        </w:rPr>
        <w:t>Figure 6</w:t>
      </w:r>
      <w:r w:rsidR="00AA7153">
        <w:rPr>
          <w:rFonts w:eastAsia="Times New Roman" w:cs="Arial"/>
          <w:bCs/>
          <w:i/>
          <w:sz w:val="20"/>
          <w:szCs w:val="20"/>
          <w:lang w:eastAsia="en-AU"/>
        </w:rPr>
        <w:t>—</w:t>
      </w:r>
      <w:proofErr w:type="gramStart"/>
      <w:r w:rsidRPr="001B5D3A">
        <w:rPr>
          <w:rFonts w:eastAsia="Times New Roman" w:cs="Arial"/>
          <w:bCs/>
          <w:i/>
          <w:sz w:val="20"/>
          <w:szCs w:val="20"/>
          <w:lang w:eastAsia="en-AU"/>
        </w:rPr>
        <w:t>The</w:t>
      </w:r>
      <w:proofErr w:type="gramEnd"/>
      <w:r w:rsidRPr="001B5D3A">
        <w:rPr>
          <w:rFonts w:eastAsia="Times New Roman" w:cs="Arial"/>
          <w:bCs/>
          <w:i/>
          <w:sz w:val="20"/>
          <w:szCs w:val="20"/>
          <w:lang w:eastAsia="en-AU"/>
        </w:rPr>
        <w:t xml:space="preserve"> extent to which respondents believe that the 'Declared Australian Protected Object' approach provides enhanced export protection for Aboriginal and Torres Strait Islander material</w:t>
      </w:r>
      <w:r w:rsidRPr="00997A1A">
        <w:rPr>
          <w:rStyle w:val="FootnoteReference"/>
          <w:sz w:val="16"/>
          <w:szCs w:val="16"/>
        </w:rPr>
        <w:footnoteReference w:id="31"/>
      </w:r>
    </w:p>
    <w:p w14:paraId="12AA8C67" w14:textId="77777777" w:rsidR="00AA7153" w:rsidRDefault="001A20CD" w:rsidP="00052178">
      <w:pPr>
        <w:pStyle w:val="Heading2"/>
        <w:rPr>
          <w:lang w:eastAsia="en-AU"/>
        </w:rPr>
      </w:pPr>
      <w:bookmarkStart w:id="57" w:name="_Toc433906584"/>
      <w:r>
        <w:rPr>
          <w:lang w:eastAsia="en-AU"/>
        </w:rPr>
        <w:t>New Part 2: Natural Science M</w:t>
      </w:r>
      <w:r w:rsidRPr="00FB0D3A">
        <w:rPr>
          <w:lang w:eastAsia="en-AU"/>
        </w:rPr>
        <w:t>aterial</w:t>
      </w:r>
      <w:bookmarkEnd w:id="57"/>
    </w:p>
    <w:p w14:paraId="25335A53" w14:textId="77777777" w:rsidR="00AA7153" w:rsidRDefault="001A20CD" w:rsidP="001A20CD">
      <w:r>
        <w:t>The consultation process confirmed</w:t>
      </w:r>
      <w:r w:rsidRPr="00FB0D3A">
        <w:t xml:space="preserve"> </w:t>
      </w:r>
      <w:r>
        <w:t>that the natural science material which is currently captured by the Act</w:t>
      </w:r>
      <w:r w:rsidRPr="00FB0D3A">
        <w:t xml:space="preserve"> </w:t>
      </w:r>
      <w:r>
        <w:t>remains the most important. In general, consultation also indicated that this material is adequately described. Therefore, in terms of the material captured,</w:t>
      </w:r>
      <w:r w:rsidRPr="00FB0D3A">
        <w:t xml:space="preserve"> the proposed formulation</w:t>
      </w:r>
      <w:r>
        <w:t xml:space="preserve"> of this Part remains for the most part unchanged.</w:t>
      </w:r>
    </w:p>
    <w:p w14:paraId="760DD2B2" w14:textId="77777777" w:rsidR="00AA7153" w:rsidRDefault="001A20CD" w:rsidP="001A20CD">
      <w:r>
        <w:t>That said, value thresholds for this Part have been reassessed and ‘significance’ and ‘representation’ aspects have been standardised and streamlined in accordance with the new model.</w:t>
      </w:r>
    </w:p>
    <w:p w14:paraId="2D382B6C" w14:textId="3E1CE86F" w:rsidR="001A20CD" w:rsidRDefault="001A20CD" w:rsidP="001A20CD">
      <w:r>
        <w:t>For example, f</w:t>
      </w:r>
      <w:r w:rsidRPr="00FB0D3A">
        <w:t>ossils pr</w:t>
      </w:r>
      <w:r>
        <w:t>ovide particular difficulties. T</w:t>
      </w:r>
      <w:r w:rsidRPr="00FB0D3A">
        <w:t>hey are covered under the general heading</w:t>
      </w:r>
      <w:r>
        <w:t xml:space="preserve"> of 'paleontological objects' and a</w:t>
      </w:r>
      <w:r w:rsidRPr="00FB0D3A">
        <w:t>c</w:t>
      </w:r>
      <w:r>
        <w:t>cording to the current decision</w:t>
      </w:r>
      <w:r>
        <w:noBreakHyphen/>
      </w:r>
      <w:r w:rsidRPr="00FB0D3A">
        <w:t>tree an owner has to assess whether the fossil is 'of significance to Australia' before knowing whether an export permit is required. Often this cannot be determined w</w:t>
      </w:r>
      <w:r>
        <w:t xml:space="preserve">ithout extensive study. Indeed, </w:t>
      </w:r>
      <w:r w:rsidRPr="00FB0D3A">
        <w:t xml:space="preserve">the purpose of the intended export </w:t>
      </w:r>
      <w:r>
        <w:t>may be</w:t>
      </w:r>
      <w:r w:rsidRPr="00FB0D3A">
        <w:t xml:space="preserve"> to perform this study. </w:t>
      </w:r>
      <w:r>
        <w:t xml:space="preserve">Currently there is an administrative process by which owners can be issued a Letter of Clearance for material that has been assessed as not meeting the significance and representative thresholds in the Act. This process has no statutory basis. As such, these letters are limited in the way in which they can be utilised by exporters and the Department. In particular, it is not possible to place enforceable </w:t>
      </w:r>
      <w:r>
        <w:lastRenderedPageBreak/>
        <w:t>conditions on the export such as the return of significant material which is discovered during overseas study or processing.</w:t>
      </w:r>
    </w:p>
    <w:p w14:paraId="5EE6AB12" w14:textId="77777777" w:rsidR="001A20CD" w:rsidRPr="00FB0D3A" w:rsidRDefault="001A20CD" w:rsidP="001A20CD">
      <w:r w:rsidRPr="00233E01">
        <w:t xml:space="preserve">Accordingly, it would be more straightforward if fossils were all Australian Heritage </w:t>
      </w:r>
      <w:r w:rsidRPr="008677DA">
        <w:t xml:space="preserve">Material and thus required an </w:t>
      </w:r>
      <w:r>
        <w:t xml:space="preserve">application for </w:t>
      </w:r>
      <w:r w:rsidRPr="008677DA">
        <w:t xml:space="preserve">export permit. Then it would be a comparatively simple matter to grant an export permit with conditions that fit the particular purpose of the intended export. This would </w:t>
      </w:r>
      <w:r>
        <w:t>allow</w:t>
      </w:r>
      <w:r w:rsidRPr="008677DA">
        <w:t xml:space="preserve"> greater certainty as to which objects are subject to export control and greater flexibility as to the export approval process.</w:t>
      </w:r>
      <w:r w:rsidRPr="00FB0D3A">
        <w:t xml:space="preserve"> </w:t>
      </w:r>
      <w:r>
        <w:t>This is the approach taken in the model.</w:t>
      </w:r>
    </w:p>
    <w:p w14:paraId="523DAD66" w14:textId="188CE1AC" w:rsidR="001A20CD" w:rsidRPr="00FB0D3A" w:rsidRDefault="001A20CD" w:rsidP="00052178">
      <w:pPr>
        <w:pStyle w:val="Heading2"/>
        <w:rPr>
          <w:lang w:eastAsia="en-AU"/>
        </w:rPr>
      </w:pPr>
      <w:bookmarkStart w:id="58" w:name="_Toc433906585"/>
      <w:r w:rsidRPr="00224B2B">
        <w:rPr>
          <w:lang w:eastAsia="en-AU"/>
        </w:rPr>
        <w:t>New Part 3: Visual Arts, Craft and Design Material</w:t>
      </w:r>
      <w:bookmarkEnd w:id="58"/>
    </w:p>
    <w:p w14:paraId="6F28D2A3" w14:textId="77777777" w:rsidR="00AA7153" w:rsidRDefault="001A20CD" w:rsidP="001A20CD">
      <w:r w:rsidRPr="00FB0D3A">
        <w:t xml:space="preserve">The UNESCO Convention </w:t>
      </w:r>
      <w:r>
        <w:t xml:space="preserve">1970 </w:t>
      </w:r>
      <w:r w:rsidRPr="00FB0D3A">
        <w:t>(and the current Control List) refer</w:t>
      </w:r>
      <w:r w:rsidRPr="004144CC">
        <w:t>s</w:t>
      </w:r>
      <w:r w:rsidRPr="00FB0D3A">
        <w:t xml:space="preserve"> to this classification as 'Objects of Fine or Decorative Art'. It is proposed that this category be renamed </w:t>
      </w:r>
      <w:r>
        <w:t>‘Visual Arts, Craft and Design Material’</w:t>
      </w:r>
      <w:r w:rsidRPr="00FB0D3A">
        <w:t>. This reflects a more current and inclusive description for such materia</w:t>
      </w:r>
      <w:r>
        <w:t>l. The meaning remains the same</w:t>
      </w:r>
      <w:r w:rsidRPr="00FB0D3A">
        <w:t xml:space="preserve"> but the language is more appropriate.</w:t>
      </w:r>
    </w:p>
    <w:p w14:paraId="5392E415" w14:textId="0B58F7D8" w:rsidR="001A20CD" w:rsidRDefault="001A20CD" w:rsidP="001A20CD">
      <w:r>
        <w:t xml:space="preserve">Unlike the existing Act, </w:t>
      </w:r>
      <w:r w:rsidRPr="00FB0D3A">
        <w:t xml:space="preserve">the </w:t>
      </w:r>
      <w:r>
        <w:t>new model</w:t>
      </w:r>
      <w:r w:rsidRPr="00FB0D3A">
        <w:t xml:space="preserve"> </w:t>
      </w:r>
      <w:r>
        <w:t xml:space="preserve">does not differentiate between visual </w:t>
      </w:r>
      <w:r w:rsidRPr="00FB0D3A">
        <w:t xml:space="preserve">art, craft or design </w:t>
      </w:r>
      <w:r>
        <w:t xml:space="preserve">created by Indigenous or non-Indigenous artists. </w:t>
      </w:r>
      <w:r w:rsidRPr="00FB0D3A">
        <w:t>While there may have been a justification for this distinction in the past, those days are gone. Indigenous art is</w:t>
      </w:r>
      <w:r>
        <w:t xml:space="preserve"> now central to</w:t>
      </w:r>
      <w:r w:rsidRPr="00FB0D3A">
        <w:t xml:space="preserve"> the Australian contemporary art market. </w:t>
      </w:r>
      <w:r>
        <w:t>The new model has redefined the categories of visual arts, crafts and design material and included monetary thresholds that reflect the market conditions.</w:t>
      </w:r>
    </w:p>
    <w:p w14:paraId="1BA19093" w14:textId="77777777" w:rsidR="00AA7153" w:rsidRDefault="001A20CD" w:rsidP="001A20CD">
      <w:r>
        <w:t>During consultation, stakeholders repeatedly expressed the need for the monetary thresholds in this Part to be frequently re-assessed and revised in order to be responsive to market conditions. In particular, I received substantial feedback about the threshold set for paintings, which for the first time sought to cover both Indigenous and non-Indigenous works. The figure of $150,000</w:t>
      </w:r>
      <w:r w:rsidRPr="008C4A67">
        <w:t xml:space="preserve"> </w:t>
      </w:r>
      <w:r>
        <w:t>tested in the Position Paper was an attempt to find where the current criterion of $10,000 for Indigenous art and $250,000 for non-Indigenous art might find a meeting-place. It would be no solution if lowering the non-Indigenous art figure meant that a swathe of unnecessary application</w:t>
      </w:r>
      <w:r w:rsidR="00776E5D">
        <w:t>s</w:t>
      </w:r>
      <w:r>
        <w:t xml:space="preserve"> had to be made and processed and conversely, it was no answer if the figure was so high that no Indigenous art was protected.</w:t>
      </w:r>
    </w:p>
    <w:p w14:paraId="7C37F6D9" w14:textId="0C25A7C3" w:rsidR="001A20CD" w:rsidRDefault="001A20CD" w:rsidP="001A20CD">
      <w:r>
        <w:lastRenderedPageBreak/>
        <w:t>The system is not designed to inhibit the international trade in Indigenous art; nor is it to keep all significant works in Australia. It is to ensure the protection of works that are significant but not adequately represented in public collections.</w:t>
      </w:r>
    </w:p>
    <w:p w14:paraId="0A18EE51" w14:textId="77777777" w:rsidR="00AA7153" w:rsidRDefault="001A20CD" w:rsidP="001A20CD">
      <w:r>
        <w:t>Following feedback from consultation</w:t>
      </w:r>
      <w:r w:rsidR="00776E5D">
        <w:t>,</w:t>
      </w:r>
      <w:r>
        <w:t xml:space="preserve"> I commissioned further research and analysis into the Indigenous art market and also a comparison with non-Indigenous sales.</w:t>
      </w:r>
    </w:p>
    <w:p w14:paraId="0A05E848" w14:textId="20341BBD" w:rsidR="001A20CD" w:rsidRDefault="001A20CD" w:rsidP="001A20CD">
      <w:r>
        <w:t>This confirmed two main concerns:</w:t>
      </w:r>
    </w:p>
    <w:p w14:paraId="0936B79F" w14:textId="77777777" w:rsidR="00AA7153" w:rsidRDefault="001A20CD" w:rsidP="0035682E">
      <w:pPr>
        <w:pStyle w:val="ListParagraph"/>
        <w:numPr>
          <w:ilvl w:val="0"/>
          <w:numId w:val="86"/>
        </w:numPr>
        <w:spacing w:before="120" w:after="320"/>
        <w:ind w:left="567" w:hanging="283"/>
      </w:pPr>
      <w:r>
        <w:t>that there</w:t>
      </w:r>
      <w:r w:rsidR="00776E5D">
        <w:t xml:space="preserve"> are</w:t>
      </w:r>
      <w:r>
        <w:t xml:space="preserve"> highly significant works in traditional Aboriginal or Torres Strait Islander styles that would not meet the 50 year threshold</w:t>
      </w:r>
      <w:r w:rsidR="00776E5D">
        <w:t xml:space="preserve"> proposed in the Position Paper</w:t>
      </w:r>
      <w:r>
        <w:t>; and</w:t>
      </w:r>
    </w:p>
    <w:p w14:paraId="0D58F121" w14:textId="77777777" w:rsidR="00AA7153" w:rsidRDefault="001A20CD" w:rsidP="0035682E">
      <w:pPr>
        <w:pStyle w:val="ListParagraph"/>
        <w:numPr>
          <w:ilvl w:val="0"/>
          <w:numId w:val="86"/>
        </w:numPr>
        <w:spacing w:before="120" w:after="320"/>
        <w:ind w:left="567" w:hanging="283"/>
      </w:pPr>
      <w:proofErr w:type="gramStart"/>
      <w:r>
        <w:t>the</w:t>
      </w:r>
      <w:proofErr w:type="gramEnd"/>
      <w:r>
        <w:t xml:space="preserve"> proposed $150,000 threshold would be too low for non-Indigenous paintings but may be too high for some significant Indigenous works.</w:t>
      </w:r>
    </w:p>
    <w:p w14:paraId="0323CCC5" w14:textId="7F999297" w:rsidR="00AA7153" w:rsidRDefault="001A20CD" w:rsidP="001A20CD">
      <w:r>
        <w:t xml:space="preserve">In light of this, </w:t>
      </w:r>
      <w:r w:rsidR="00855992">
        <w:t xml:space="preserve">I have decided to retain the 30 </w:t>
      </w:r>
      <w:r>
        <w:t>year age threshold for all material under Part 3</w:t>
      </w:r>
      <w:r w:rsidR="00855992">
        <w:t>:</w:t>
      </w:r>
      <w:r>
        <w:t xml:space="preserve"> Visual Arts, Craft and Design Material and settled on a higher general threshold figure of $300,000. So that Aboriginal works are dealt with appropriately</w:t>
      </w:r>
      <w:r w:rsidR="001E3F04">
        <w:t>,</w:t>
      </w:r>
      <w:r>
        <w:t xml:space="preserve"> there are </w:t>
      </w:r>
      <w:r w:rsidR="00855992">
        <w:t xml:space="preserve">also </w:t>
      </w:r>
      <w:r>
        <w:t>carve-outs that act as exceptions to the general $300,000 threshold:</w:t>
      </w:r>
    </w:p>
    <w:p w14:paraId="3E627C14" w14:textId="282734DD" w:rsidR="001A20CD" w:rsidRDefault="001A20CD" w:rsidP="0035682E">
      <w:pPr>
        <w:pStyle w:val="List4"/>
        <w:numPr>
          <w:ilvl w:val="6"/>
          <w:numId w:val="85"/>
        </w:numPr>
        <w:ind w:left="567" w:hanging="283"/>
      </w:pPr>
      <w:r>
        <w:t>Aboriginal desert paintings having a current market value of at least $100,000;</w:t>
      </w:r>
      <w:r>
        <w:rPr>
          <w:rStyle w:val="FootnoteReference"/>
        </w:rPr>
        <w:footnoteReference w:id="32"/>
      </w:r>
    </w:p>
    <w:p w14:paraId="633EE328" w14:textId="77777777" w:rsidR="001A20CD" w:rsidRDefault="001A20CD" w:rsidP="0035682E">
      <w:pPr>
        <w:pStyle w:val="List4"/>
        <w:numPr>
          <w:ilvl w:val="6"/>
          <w:numId w:val="85"/>
        </w:numPr>
        <w:ind w:left="567" w:hanging="283"/>
      </w:pPr>
      <w:r>
        <w:t>Aboriginal Kimberley paintings on canvas having a current market value of at least $100,000;</w:t>
      </w:r>
    </w:p>
    <w:p w14:paraId="7E9D68D8" w14:textId="511E486F" w:rsidR="001A20CD" w:rsidRDefault="00855992" w:rsidP="0035682E">
      <w:pPr>
        <w:pStyle w:val="List4"/>
        <w:numPr>
          <w:ilvl w:val="6"/>
          <w:numId w:val="85"/>
        </w:numPr>
        <w:ind w:left="567" w:hanging="283"/>
      </w:pPr>
      <w:r>
        <w:t>Aboriginal or</w:t>
      </w:r>
      <w:r w:rsidR="001A20CD">
        <w:t xml:space="preserve"> Torres Strait Islander </w:t>
      </w:r>
      <w:r w:rsidR="001A20CD" w:rsidRPr="00F238FE">
        <w:t>ochre paintings on bark</w:t>
      </w:r>
      <w:r w:rsidR="001A20CD">
        <w:t>, composition board, wood, cardboard, stone</w:t>
      </w:r>
      <w:r w:rsidR="001A20CD" w:rsidRPr="00F238FE">
        <w:t xml:space="preserve"> and other similar </w:t>
      </w:r>
      <w:r w:rsidR="001A20CD">
        <w:t>supports</w:t>
      </w:r>
      <w:r w:rsidR="001A20CD" w:rsidRPr="00F238FE">
        <w:t xml:space="preserve"> having a current market value of at least $</w:t>
      </w:r>
      <w:r w:rsidR="001A20CD">
        <w:t>20,000.</w:t>
      </w:r>
      <w:r w:rsidR="001A20CD">
        <w:rPr>
          <w:rStyle w:val="FootnoteReference"/>
        </w:rPr>
        <w:footnoteReference w:id="33"/>
      </w:r>
    </w:p>
    <w:p w14:paraId="77CC1536" w14:textId="52E9FAB3" w:rsidR="001A20CD" w:rsidRDefault="001A20CD" w:rsidP="001A20CD">
      <w:r>
        <w:t>A view was expressed during consultation that, even where an assessment indicates that a work is significant, public collecting institutions have been such voracious collectors of Indigenous art that there are very few works that would not pass the represe</w:t>
      </w:r>
      <w:r w:rsidR="00855992">
        <w:t>ntation test. With perhaps some</w:t>
      </w:r>
      <w:r>
        <w:t xml:space="preserve"> early exceptions, as Indigenous communities have emerged as art producers, the public collections have been collecting from the beginning. This may well be true</w:t>
      </w:r>
      <w:r w:rsidR="00801A32">
        <w:t>—</w:t>
      </w:r>
      <w:r>
        <w:t xml:space="preserve">but it does not invalidate the significance of the </w:t>
      </w:r>
      <w:r>
        <w:lastRenderedPageBreak/>
        <w:t>work and the need to assess it against the criteria. Collections might hold a number of works by a particular artist but the test of representation under the new model is not merely a matter of numbers.</w:t>
      </w:r>
    </w:p>
    <w:p w14:paraId="53FD366A" w14:textId="77777777" w:rsidR="00AA7153" w:rsidRDefault="001A20CD" w:rsidP="001A20CD">
      <w:r>
        <w:t>In the Position Paper I proposed prohibitin</w:t>
      </w:r>
      <w:r w:rsidR="00FB5D99">
        <w:t xml:space="preserve">g the permanent export of some </w:t>
      </w:r>
      <w:r>
        <w:t>categories of Indigenous artworks by listing them as Declared Australian Protected Material. However, in light of the data and research I have decided that most of those categories proposed in the Position Paper should be classified as Australian Heritage Material. This approach will ensure that Aboriginal and Torres Strait Islander art works that meet the thresholds will require a permit application but those that are significant but adequately represented can be exported.</w:t>
      </w:r>
    </w:p>
    <w:p w14:paraId="4DE2AC4F" w14:textId="0F7343D0" w:rsidR="003737D8" w:rsidRDefault="003737D8" w:rsidP="001A20CD">
      <w:r>
        <w:t>The categories</w:t>
      </w:r>
      <w:r w:rsidR="001A20CD">
        <w:t xml:space="preserve"> that will remain in the Declared Australian Protected Material category under Part </w:t>
      </w:r>
      <w:r>
        <w:t>3 are:</w:t>
      </w:r>
    </w:p>
    <w:p w14:paraId="75E98578" w14:textId="787B2B5E" w:rsidR="001A20CD" w:rsidRDefault="003737D8" w:rsidP="00E5299D">
      <w:pPr>
        <w:pStyle w:val="ListParagraph"/>
        <w:numPr>
          <w:ilvl w:val="0"/>
          <w:numId w:val="91"/>
        </w:numPr>
        <w:ind w:left="567" w:hanging="567"/>
      </w:pPr>
      <w:r>
        <w:t xml:space="preserve">pre 1901 </w:t>
      </w:r>
      <w:r w:rsidR="001A20CD">
        <w:t>Aboriginal artwo</w:t>
      </w:r>
      <w:r>
        <w:t xml:space="preserve">rks </w:t>
      </w:r>
      <w:r w:rsidR="008C32C8">
        <w:t>with a current market value of at least</w:t>
      </w:r>
      <w:r>
        <w:t xml:space="preserve"> $25,000; and</w:t>
      </w:r>
    </w:p>
    <w:p w14:paraId="66D1E679" w14:textId="79E16A81" w:rsidR="00AA7153" w:rsidRDefault="008C32C8" w:rsidP="00E5299D">
      <w:pPr>
        <w:pStyle w:val="ListParagraph"/>
        <w:numPr>
          <w:ilvl w:val="0"/>
          <w:numId w:val="91"/>
        </w:numPr>
        <w:ind w:left="567" w:hanging="567"/>
      </w:pPr>
      <w:proofErr w:type="gramStart"/>
      <w:r>
        <w:t>pre</w:t>
      </w:r>
      <w:proofErr w:type="gramEnd"/>
      <w:r>
        <w:t xml:space="preserve"> 1960 </w:t>
      </w:r>
      <w:r w:rsidR="00855992">
        <w:t>Aboriginal or</w:t>
      </w:r>
      <w:r w:rsidR="003737D8">
        <w:t xml:space="preserve"> Torres Strait Islander bark pai</w:t>
      </w:r>
      <w:r w:rsidR="00FB5D99">
        <w:t>ntings and sculpture</w:t>
      </w:r>
      <w:r w:rsidR="003737D8">
        <w:t xml:space="preserve">, </w:t>
      </w:r>
      <w:r>
        <w:t xml:space="preserve">with a current market value of at least </w:t>
      </w:r>
      <w:r w:rsidR="003737D8">
        <w:t>$25,000.</w:t>
      </w:r>
    </w:p>
    <w:p w14:paraId="1AB23DAA" w14:textId="341D65A9" w:rsidR="001A20CD" w:rsidRPr="00FB0D3A" w:rsidRDefault="001E3F04" w:rsidP="001A20CD">
      <w:r>
        <w:t>Because</w:t>
      </w:r>
      <w:r w:rsidR="001A20CD">
        <w:t xml:space="preserve"> this is an area of considerable market fluctuation, I recommend that the monetary thresholds be reconsidered every five years to ensure currency.</w:t>
      </w:r>
    </w:p>
    <w:p w14:paraId="42F459FB" w14:textId="77777777" w:rsidR="001A20CD" w:rsidRPr="00FB0D3A" w:rsidRDefault="001A20CD" w:rsidP="00052178">
      <w:pPr>
        <w:pStyle w:val="Heading2"/>
        <w:rPr>
          <w:lang w:eastAsia="en-AU"/>
        </w:rPr>
      </w:pPr>
      <w:bookmarkStart w:id="59" w:name="_Toc433906586"/>
      <w:r>
        <w:rPr>
          <w:lang w:eastAsia="en-AU"/>
        </w:rPr>
        <w:t>New Part 4: Historically S</w:t>
      </w:r>
      <w:r w:rsidRPr="00FB0D3A">
        <w:rPr>
          <w:lang w:eastAsia="en-AU"/>
        </w:rPr>
        <w:t xml:space="preserve">ignificant </w:t>
      </w:r>
      <w:r>
        <w:rPr>
          <w:lang w:eastAsia="en-AU"/>
        </w:rPr>
        <w:t>M</w:t>
      </w:r>
      <w:r w:rsidRPr="00FB0D3A">
        <w:rPr>
          <w:lang w:eastAsia="en-AU"/>
        </w:rPr>
        <w:t>aterial</w:t>
      </w:r>
      <w:bookmarkEnd w:id="59"/>
    </w:p>
    <w:p w14:paraId="332CC701" w14:textId="24E98251" w:rsidR="001A20CD" w:rsidRDefault="001A20CD" w:rsidP="001A20CD">
      <w:r w:rsidRPr="00FB0D3A">
        <w:t>This large category should be broken down into sub-categories</w:t>
      </w:r>
      <w:r w:rsidR="00801A32">
        <w:t>—</w:t>
      </w:r>
      <w:r w:rsidRPr="00FB0D3A">
        <w:t xml:space="preserve">those </w:t>
      </w:r>
      <w:r>
        <w:t xml:space="preserve">already </w:t>
      </w:r>
      <w:r w:rsidRPr="00FB0D3A">
        <w:t>familiar</w:t>
      </w:r>
      <w:r>
        <w:t xml:space="preserve"> under the current Regulations:</w:t>
      </w:r>
    </w:p>
    <w:p w14:paraId="5EB3D5F4" w14:textId="77777777" w:rsidR="00AA7153" w:rsidRDefault="001A20CD" w:rsidP="00AB6407">
      <w:pPr>
        <w:pStyle w:val="ListParagraph"/>
        <w:numPr>
          <w:ilvl w:val="0"/>
          <w:numId w:val="21"/>
        </w:numPr>
        <w:ind w:left="567" w:hanging="567"/>
      </w:pPr>
      <w:r w:rsidRPr="00643937">
        <w:t xml:space="preserve">Part 4.1: </w:t>
      </w:r>
      <w:r>
        <w:t>Archaeological Material</w:t>
      </w:r>
    </w:p>
    <w:p w14:paraId="10AD74EA" w14:textId="1D83A73F" w:rsidR="001A20CD" w:rsidRDefault="009E2346" w:rsidP="00AB6407">
      <w:pPr>
        <w:pStyle w:val="ListParagraph"/>
        <w:numPr>
          <w:ilvl w:val="0"/>
          <w:numId w:val="21"/>
        </w:numPr>
        <w:ind w:left="567" w:hanging="567"/>
      </w:pPr>
      <w:r>
        <w:t xml:space="preserve">Part 4.2: </w:t>
      </w:r>
      <w:r w:rsidR="001A20CD" w:rsidRPr="00643937">
        <w:t>Document</w:t>
      </w:r>
      <w:r w:rsidR="001A20CD">
        <w:t>ary Heritage Material</w:t>
      </w:r>
    </w:p>
    <w:p w14:paraId="696AEA21" w14:textId="6C9FF464" w:rsidR="001A20CD" w:rsidRDefault="009E2346" w:rsidP="00AB6407">
      <w:pPr>
        <w:pStyle w:val="ListParagraph"/>
        <w:numPr>
          <w:ilvl w:val="0"/>
          <w:numId w:val="21"/>
        </w:numPr>
        <w:ind w:left="567" w:hanging="567"/>
      </w:pPr>
      <w:r>
        <w:t xml:space="preserve">Part 4.3: </w:t>
      </w:r>
      <w:r w:rsidR="001A20CD" w:rsidRPr="00643937">
        <w:t xml:space="preserve">Applied </w:t>
      </w:r>
      <w:r w:rsidR="001A20CD">
        <w:t>Science and T</w:t>
      </w:r>
      <w:r w:rsidR="001A20CD" w:rsidRPr="00643937">
        <w:t>echnology</w:t>
      </w:r>
      <w:r w:rsidR="001A20CD">
        <w:t xml:space="preserve"> Material</w:t>
      </w:r>
    </w:p>
    <w:p w14:paraId="45A4EBE0" w14:textId="0427245B" w:rsidR="001A20CD" w:rsidRDefault="009E2346" w:rsidP="00AB6407">
      <w:pPr>
        <w:pStyle w:val="ListParagraph"/>
        <w:numPr>
          <w:ilvl w:val="0"/>
          <w:numId w:val="21"/>
        </w:numPr>
        <w:ind w:left="567" w:hanging="567"/>
      </w:pPr>
      <w:r>
        <w:t xml:space="preserve">Part 4.4: </w:t>
      </w:r>
      <w:r w:rsidR="001A20CD">
        <w:t>Numismatic Material</w:t>
      </w:r>
    </w:p>
    <w:p w14:paraId="62F9BBD3" w14:textId="604A4100" w:rsidR="001A20CD" w:rsidRDefault="009E2346" w:rsidP="00AB6407">
      <w:pPr>
        <w:pStyle w:val="ListParagraph"/>
        <w:numPr>
          <w:ilvl w:val="0"/>
          <w:numId w:val="21"/>
        </w:numPr>
        <w:ind w:left="567" w:hanging="567"/>
      </w:pPr>
      <w:r>
        <w:t xml:space="preserve">Part 4.5: </w:t>
      </w:r>
      <w:r w:rsidR="001A20CD">
        <w:t>Philatelic Material</w:t>
      </w:r>
    </w:p>
    <w:p w14:paraId="21A78A7C" w14:textId="45D8BF6D" w:rsidR="001A20CD" w:rsidRPr="002D23C0" w:rsidRDefault="009E2346" w:rsidP="00AB6407">
      <w:pPr>
        <w:pStyle w:val="ListParagraph"/>
        <w:numPr>
          <w:ilvl w:val="0"/>
          <w:numId w:val="21"/>
        </w:numPr>
        <w:ind w:left="567" w:hanging="567"/>
      </w:pPr>
      <w:r>
        <w:t xml:space="preserve">Part 4.6: </w:t>
      </w:r>
      <w:r w:rsidR="001A20CD" w:rsidRPr="00224B2B">
        <w:t>Social, Cultural, Spiritual, Sporting, Political, Military History</w:t>
      </w:r>
      <w:r w:rsidR="001A20CD">
        <w:t xml:space="preserve"> and O</w:t>
      </w:r>
      <w:r w:rsidR="001A20CD" w:rsidRPr="00224B2B">
        <w:t>ther</w:t>
      </w:r>
      <w:r w:rsidR="001A20CD">
        <w:t xml:space="preserve"> Material</w:t>
      </w:r>
    </w:p>
    <w:p w14:paraId="3378820D" w14:textId="77777777" w:rsidR="001A20CD" w:rsidRPr="001D3FB2" w:rsidRDefault="001A20CD" w:rsidP="001D3FB2">
      <w:pPr>
        <w:pStyle w:val="Heading3"/>
      </w:pPr>
      <w:r w:rsidRPr="001D3FB2">
        <w:lastRenderedPageBreak/>
        <w:t>New Part 4.1: Archaeological Material</w:t>
      </w:r>
    </w:p>
    <w:p w14:paraId="60B16C45" w14:textId="77777777" w:rsidR="00AA7153" w:rsidRDefault="001A20CD" w:rsidP="001A20CD">
      <w:r w:rsidRPr="00FB0D3A">
        <w:t xml:space="preserve">This Part will now sit as a sub-part within the broader category of </w:t>
      </w:r>
      <w:r>
        <w:t>H</w:t>
      </w:r>
      <w:r w:rsidRPr="00FB0D3A">
        <w:t xml:space="preserve">istorically </w:t>
      </w:r>
      <w:r>
        <w:t>Significant M</w:t>
      </w:r>
      <w:r w:rsidRPr="00FB0D3A">
        <w:t>aterial</w:t>
      </w:r>
      <w:r>
        <w:t>.</w:t>
      </w:r>
    </w:p>
    <w:p w14:paraId="62F90D18" w14:textId="77777777" w:rsidR="00AA7153" w:rsidRDefault="001A20CD" w:rsidP="001A20CD">
      <w:r w:rsidRPr="00B3624C">
        <w:t>The following examples of Archaeological Material from the current Act can be placed within guidelines:</w:t>
      </w:r>
    </w:p>
    <w:p w14:paraId="2A50E5EC" w14:textId="77777777" w:rsidR="00AA7153" w:rsidRDefault="001A20CD" w:rsidP="00AB6407">
      <w:pPr>
        <w:pStyle w:val="List2"/>
        <w:numPr>
          <w:ilvl w:val="4"/>
          <w:numId w:val="87"/>
        </w:numPr>
        <w:ind w:left="567" w:hanging="567"/>
      </w:pPr>
      <w:r w:rsidRPr="00B3624C">
        <w:t>objects relating to seagoing exploration, transportation, supply and commerce, including ordnance, coins, ship’s gear, anchors, cargo and personal items from shipwrecks, su</w:t>
      </w:r>
      <w:r w:rsidR="001E3F04">
        <w:t>nken ships and landfalls, ship’s</w:t>
      </w:r>
      <w:r w:rsidRPr="00B3624C">
        <w:t xml:space="preserve"> logbooks, diaries and other documentation;</w:t>
      </w:r>
    </w:p>
    <w:p w14:paraId="6E5AA41E" w14:textId="77777777" w:rsidR="00AA7153" w:rsidRDefault="001A20CD" w:rsidP="00AB6407">
      <w:pPr>
        <w:pStyle w:val="List2"/>
        <w:numPr>
          <w:ilvl w:val="4"/>
          <w:numId w:val="87"/>
        </w:numPr>
        <w:ind w:left="567" w:hanging="567"/>
      </w:pPr>
      <w:r w:rsidRPr="00B3624C">
        <w:t>objects relating to military activity;</w:t>
      </w:r>
    </w:p>
    <w:p w14:paraId="761A1777" w14:textId="73CC49EF" w:rsidR="00AA7153" w:rsidRDefault="001A20CD" w:rsidP="00AB6407">
      <w:pPr>
        <w:pStyle w:val="List2"/>
        <w:numPr>
          <w:ilvl w:val="4"/>
          <w:numId w:val="87"/>
        </w:numPr>
        <w:ind w:left="567" w:hanging="567"/>
      </w:pPr>
      <w:r w:rsidRPr="00B3624C">
        <w:t>objects relating to the exploration of Australia and to the colonisation and d</w:t>
      </w:r>
      <w:r w:rsidR="00855992">
        <w:t>evelopment of Australia by non-I</w:t>
      </w:r>
      <w:r w:rsidRPr="00B3624C">
        <w:t>ndigenous peoples;</w:t>
      </w:r>
    </w:p>
    <w:p w14:paraId="2D019F8B" w14:textId="77777777" w:rsidR="00AA7153" w:rsidRDefault="001A20CD" w:rsidP="00AB6407">
      <w:pPr>
        <w:pStyle w:val="List2"/>
        <w:numPr>
          <w:ilvl w:val="4"/>
          <w:numId w:val="87"/>
        </w:numPr>
        <w:ind w:left="567" w:hanging="567"/>
      </w:pPr>
      <w:r w:rsidRPr="00B3624C">
        <w:t>objects relating to convict transportation and settlement;</w:t>
      </w:r>
    </w:p>
    <w:p w14:paraId="1F122A95" w14:textId="6EDC3195" w:rsidR="00AA7153" w:rsidRDefault="001A20CD" w:rsidP="00AB6407">
      <w:pPr>
        <w:pStyle w:val="List2"/>
        <w:numPr>
          <w:ilvl w:val="4"/>
          <w:numId w:val="87"/>
        </w:numPr>
        <w:ind w:left="567" w:hanging="567"/>
      </w:pPr>
      <w:r w:rsidRPr="00B3624C">
        <w:t>objects</w:t>
      </w:r>
      <w:r w:rsidR="00855992">
        <w:t xml:space="preserve"> relating to relations between Indigenous and non-I</w:t>
      </w:r>
      <w:r w:rsidRPr="00B3624C">
        <w:t>ndigenous peoples;</w:t>
      </w:r>
    </w:p>
    <w:p w14:paraId="4F3DA4B2" w14:textId="77777777" w:rsidR="00AA7153" w:rsidRDefault="001A20CD" w:rsidP="00AB6407">
      <w:pPr>
        <w:pStyle w:val="List2"/>
        <w:numPr>
          <w:ilvl w:val="4"/>
          <w:numId w:val="87"/>
        </w:numPr>
        <w:ind w:left="567" w:hanging="567"/>
      </w:pPr>
      <w:r w:rsidRPr="00B3624C">
        <w:t>objects relating to missionary activity;</w:t>
      </w:r>
    </w:p>
    <w:p w14:paraId="6A9A86E3" w14:textId="77777777" w:rsidR="00AA7153" w:rsidRDefault="001A20CD" w:rsidP="00AB6407">
      <w:pPr>
        <w:pStyle w:val="List2"/>
        <w:numPr>
          <w:ilvl w:val="4"/>
          <w:numId w:val="87"/>
        </w:numPr>
        <w:ind w:left="567" w:hanging="567"/>
      </w:pPr>
      <w:r w:rsidRPr="00B3624C">
        <w:t>objects (including documentation) relating to the history of mining, processing, industry, technology and manufacture in Australia;</w:t>
      </w:r>
    </w:p>
    <w:p w14:paraId="3792C19D" w14:textId="77777777" w:rsidR="00AA7153" w:rsidRDefault="001A20CD" w:rsidP="00AB6407">
      <w:pPr>
        <w:pStyle w:val="List2"/>
        <w:numPr>
          <w:ilvl w:val="4"/>
          <w:numId w:val="87"/>
        </w:numPr>
        <w:ind w:left="567" w:hanging="567"/>
      </w:pPr>
      <w:r w:rsidRPr="00B3624C">
        <w:t>objects relating to the development of the pastoral industry and other land industries;</w:t>
      </w:r>
    </w:p>
    <w:p w14:paraId="565637D1" w14:textId="77777777" w:rsidR="00AA7153" w:rsidRDefault="001A20CD" w:rsidP="00AB6407">
      <w:pPr>
        <w:pStyle w:val="List2"/>
        <w:numPr>
          <w:ilvl w:val="4"/>
          <w:numId w:val="87"/>
        </w:numPr>
        <w:ind w:left="567" w:hanging="567"/>
      </w:pPr>
      <w:r w:rsidRPr="00B3624C">
        <w:t>objects relating to whaling and sealing;</w:t>
      </w:r>
    </w:p>
    <w:p w14:paraId="00882E87" w14:textId="77777777" w:rsidR="00AA7153" w:rsidRDefault="001A20CD" w:rsidP="00AB6407">
      <w:pPr>
        <w:pStyle w:val="List2"/>
        <w:numPr>
          <w:ilvl w:val="4"/>
          <w:numId w:val="87"/>
        </w:numPr>
        <w:ind w:left="567" w:hanging="567"/>
      </w:pPr>
      <w:r w:rsidRPr="00B3624C">
        <w:t>objects relating to visits to, or settlement in, Australia of identifiable cultural minorities;</w:t>
      </w:r>
    </w:p>
    <w:p w14:paraId="203934E6" w14:textId="77777777" w:rsidR="00AA7153" w:rsidRDefault="001A20CD" w:rsidP="00AB6407">
      <w:pPr>
        <w:pStyle w:val="List2"/>
        <w:numPr>
          <w:ilvl w:val="4"/>
          <w:numId w:val="87"/>
        </w:numPr>
        <w:ind w:left="567" w:hanging="567"/>
      </w:pPr>
      <w:r w:rsidRPr="00B3624C">
        <w:t>biological or ethnographic objects or collections;</w:t>
      </w:r>
    </w:p>
    <w:p w14:paraId="501B64ED" w14:textId="77777777" w:rsidR="00AA7153" w:rsidRDefault="001A20CD" w:rsidP="00AB6407">
      <w:pPr>
        <w:pStyle w:val="List2"/>
        <w:numPr>
          <w:ilvl w:val="4"/>
          <w:numId w:val="87"/>
        </w:numPr>
        <w:ind w:left="567" w:hanging="567"/>
      </w:pPr>
      <w:r w:rsidRPr="00B3624C">
        <w:t>human remains, other than Aboriginal or Torres Strait Island</w:t>
      </w:r>
      <w:r w:rsidR="001E3F04">
        <w:t>er</w:t>
      </w:r>
      <w:r w:rsidRPr="00B3624C">
        <w:t xml:space="preserve"> remains;</w:t>
      </w:r>
    </w:p>
    <w:p w14:paraId="658CA2D9" w14:textId="77777777" w:rsidR="00AA7153" w:rsidRDefault="001A20CD" w:rsidP="00AB6407">
      <w:pPr>
        <w:pStyle w:val="List2"/>
        <w:numPr>
          <w:ilvl w:val="4"/>
          <w:numId w:val="87"/>
        </w:numPr>
        <w:ind w:left="567" w:hanging="567"/>
      </w:pPr>
      <w:r w:rsidRPr="00B3624C">
        <w:t>organic remains associated with, or representative of, a prehistoric or historic culture;</w:t>
      </w:r>
    </w:p>
    <w:p w14:paraId="24BD4319" w14:textId="77777777" w:rsidR="00AA7153" w:rsidRDefault="001A20CD" w:rsidP="00AB6407">
      <w:pPr>
        <w:pStyle w:val="List2"/>
        <w:numPr>
          <w:ilvl w:val="4"/>
          <w:numId w:val="87"/>
        </w:numPr>
        <w:ind w:left="567" w:hanging="567"/>
      </w:pPr>
      <w:r w:rsidRPr="00B3624C">
        <w:t>archaeological objects not mentioned in this item relating to persons, places or events significant in the history of Australia;</w:t>
      </w:r>
    </w:p>
    <w:p w14:paraId="71E45B70" w14:textId="77777777" w:rsidR="00AA7153" w:rsidRDefault="001A20CD" w:rsidP="00AB6407">
      <w:pPr>
        <w:pStyle w:val="List2"/>
        <w:numPr>
          <w:ilvl w:val="4"/>
          <w:numId w:val="87"/>
        </w:numPr>
        <w:ind w:left="567" w:hanging="567"/>
      </w:pPr>
      <w:r w:rsidRPr="00B3624C">
        <w:t>unclassified material recovered for archaeological study;</w:t>
      </w:r>
    </w:p>
    <w:p w14:paraId="457F21CA" w14:textId="77777777" w:rsidR="00AA7153" w:rsidRDefault="001A20CD" w:rsidP="00AB6407">
      <w:pPr>
        <w:pStyle w:val="List2"/>
        <w:numPr>
          <w:ilvl w:val="4"/>
          <w:numId w:val="87"/>
        </w:numPr>
        <w:ind w:left="567" w:hanging="567"/>
      </w:pPr>
      <w:r w:rsidRPr="00B3624C">
        <w:t>objects forming part of, discovered on or otherwise associated with any place listed on:</w:t>
      </w:r>
    </w:p>
    <w:p w14:paraId="37E2756F" w14:textId="6094BF63" w:rsidR="009E2346" w:rsidRDefault="001A20CD" w:rsidP="00E5299D">
      <w:pPr>
        <w:pStyle w:val="List5"/>
        <w:numPr>
          <w:ilvl w:val="0"/>
          <w:numId w:val="93"/>
        </w:numPr>
        <w:ind w:left="1134" w:hanging="567"/>
      </w:pPr>
      <w:r w:rsidRPr="00B3624C">
        <w:t xml:space="preserve">the Australian National Heritage List; </w:t>
      </w:r>
      <w:r>
        <w:t>or</w:t>
      </w:r>
    </w:p>
    <w:p w14:paraId="49384490" w14:textId="05BFEB42" w:rsidR="001A20CD" w:rsidRPr="00B3624C" w:rsidRDefault="001A20CD" w:rsidP="00E5299D">
      <w:pPr>
        <w:pStyle w:val="List5"/>
        <w:numPr>
          <w:ilvl w:val="0"/>
          <w:numId w:val="93"/>
        </w:numPr>
        <w:ind w:left="1134" w:hanging="567"/>
      </w:pPr>
      <w:r w:rsidRPr="00B3624C">
        <w:lastRenderedPageBreak/>
        <w:t xml:space="preserve">the World Heritage list (provided </w:t>
      </w:r>
      <w:r>
        <w:t>that the place is in Australia);</w:t>
      </w:r>
      <w:r w:rsidRPr="00B3624C">
        <w:t xml:space="preserve"> and</w:t>
      </w:r>
    </w:p>
    <w:p w14:paraId="0EAB23CE" w14:textId="77777777" w:rsidR="001A20CD" w:rsidRPr="00530BE5" w:rsidRDefault="001A20CD" w:rsidP="00AB6407">
      <w:pPr>
        <w:pStyle w:val="List2"/>
        <w:numPr>
          <w:ilvl w:val="4"/>
          <w:numId w:val="87"/>
        </w:numPr>
        <w:ind w:left="567" w:hanging="567"/>
      </w:pPr>
      <w:proofErr w:type="gramStart"/>
      <w:r w:rsidRPr="00B3624C">
        <w:t>material</w:t>
      </w:r>
      <w:proofErr w:type="gramEnd"/>
      <w:r w:rsidRPr="00B3624C">
        <w:t xml:space="preserve"> related to any object mentioned in this item that adds</w:t>
      </w:r>
      <w:r w:rsidRPr="00B3624C">
        <w:rPr>
          <w:rFonts w:cs="Arial"/>
          <w:szCs w:val="24"/>
          <w:lang w:val="en-GB"/>
        </w:rPr>
        <w:t xml:space="preserve"> significantly to Australian historical or scientific information.</w:t>
      </w:r>
    </w:p>
    <w:p w14:paraId="568940FE" w14:textId="060A28E4" w:rsidR="001A20CD" w:rsidRPr="00FB0D3A" w:rsidRDefault="001A20CD" w:rsidP="001D3FB2">
      <w:pPr>
        <w:pStyle w:val="Heading3"/>
        <w:rPr>
          <w:lang w:eastAsia="en-AU"/>
        </w:rPr>
      </w:pPr>
      <w:r>
        <w:rPr>
          <w:lang w:eastAsia="en-AU"/>
        </w:rPr>
        <w:t>New Part 4.2</w:t>
      </w:r>
      <w:r w:rsidR="00801A32">
        <w:rPr>
          <w:lang w:eastAsia="en-AU"/>
        </w:rPr>
        <w:t>—</w:t>
      </w:r>
      <w:r w:rsidRPr="00FB0D3A">
        <w:rPr>
          <w:lang w:eastAsia="en-AU"/>
        </w:rPr>
        <w:t>Documentary Heritage</w:t>
      </w:r>
      <w:r>
        <w:rPr>
          <w:lang w:eastAsia="en-AU"/>
        </w:rPr>
        <w:t xml:space="preserve"> Material</w:t>
      </w:r>
    </w:p>
    <w:p w14:paraId="6C3120BF" w14:textId="77777777" w:rsidR="00AA7153" w:rsidRDefault="001A20CD" w:rsidP="001A20CD">
      <w:r w:rsidRPr="00FB0D3A">
        <w:t xml:space="preserve">This Part will now sit as a sub-part </w:t>
      </w:r>
      <w:r>
        <w:t>within the broader category of H</w:t>
      </w:r>
      <w:r w:rsidRPr="00FB0D3A">
        <w:t xml:space="preserve">istorically </w:t>
      </w:r>
      <w:r>
        <w:t>Significant M</w:t>
      </w:r>
      <w:r w:rsidRPr="00FB0D3A">
        <w:t>aterial</w:t>
      </w:r>
      <w:r>
        <w:t xml:space="preserve"> with wording from the current Act brought in to make it clear what the Part is intended to cover.</w:t>
      </w:r>
    </w:p>
    <w:p w14:paraId="3C0BCCAD" w14:textId="29392302" w:rsidR="00AA7153" w:rsidRDefault="001A20CD" w:rsidP="001A20CD">
      <w:r>
        <w:t>During consultation, a number of stakeholders raised a concern that the Act only regulates tangible forms of documentary heritage. While the model (and the current Act) can cover all types of documents with a physical aspect (including for example film), the extension of the Act to non-physical documents (specifically, born-digital material) is problematic for legislation based on border control. While it is acknowledged that the contents of digital material may well have heritage value (either now or in the future) legislation regulating the physical export of material is not the appropriate place to protect it. Indeed, any attempt by this Act to regulate the storage of digital material is likely to have unintended consequences which go far beyond the objectives of the Act</w:t>
      </w:r>
      <w:r w:rsidR="00AA7153">
        <w:t>—</w:t>
      </w:r>
      <w:r>
        <w:t>such as restricting the ability to select competitive information technology service providers offering storage in the ‘cloud’. While digital records are not explicitly excluded from the Control List</w:t>
      </w:r>
      <w:r w:rsidR="001E3F04">
        <w:t>,</w:t>
      </w:r>
      <w:r>
        <w:t xml:space="preserve"> and acknowledging that the future preservation and integrity of digital records is undoubtedly an issue, they are not included under the new model.</w:t>
      </w:r>
    </w:p>
    <w:p w14:paraId="06FB63A9" w14:textId="02FC8DE3" w:rsidR="001A20CD" w:rsidRPr="001D3FB2" w:rsidRDefault="001A20CD" w:rsidP="001D3FB2">
      <w:pPr>
        <w:pStyle w:val="Heading3"/>
      </w:pPr>
      <w:r w:rsidRPr="001D3FB2">
        <w:t>New Part 4.3</w:t>
      </w:r>
      <w:r w:rsidR="00801A32">
        <w:t>—</w:t>
      </w:r>
      <w:r w:rsidRPr="001D3FB2">
        <w:t>Applied Science and Technology Material</w:t>
      </w:r>
    </w:p>
    <w:p w14:paraId="752AF70D" w14:textId="77777777" w:rsidR="001A20CD" w:rsidRPr="001D3FB2" w:rsidRDefault="001A20CD" w:rsidP="001D3FB2">
      <w:pPr>
        <w:pStyle w:val="Heading4"/>
      </w:pPr>
      <w:r w:rsidRPr="001D3FB2">
        <w:t>Preliminary</w:t>
      </w:r>
    </w:p>
    <w:p w14:paraId="49BF5D41" w14:textId="79C4DFE5" w:rsidR="00AA7153" w:rsidRDefault="001A20CD" w:rsidP="001A20CD">
      <w:r>
        <w:t>In responding to the Position Paper the special interest groups for material in this category have been some of the most helpful, vocal and passionate and, for their input and enrichment of the model, I thank them. As some organisations (particularl</w:t>
      </w:r>
      <w:r w:rsidR="00855992">
        <w:t xml:space="preserve">y in relation to cars) use a 30 </w:t>
      </w:r>
      <w:r>
        <w:t xml:space="preserve">year benchmark for determining heritage, some stakeholders advocated against the change in age threshold. While acknowledging that there may be particular models of cars which are very significant without being 50 years old, I believe it is better to target these highly significant exceptions through inclusion on the </w:t>
      </w:r>
      <w:r>
        <w:lastRenderedPageBreak/>
        <w:t>Declared Australian Protected Material list rather than expand the pool of Australian Heritage Material and thus unnecessarily increase the number of permit applications.</w:t>
      </w:r>
    </w:p>
    <w:p w14:paraId="235CDFFE" w14:textId="2BB7EB01" w:rsidR="001A20CD" w:rsidRPr="001D3FB2" w:rsidRDefault="001A20CD" w:rsidP="001D3FB2">
      <w:pPr>
        <w:pStyle w:val="Heading4"/>
      </w:pPr>
      <w:r w:rsidRPr="001D3FB2">
        <w:t>Simplification of the list</w:t>
      </w:r>
    </w:p>
    <w:p w14:paraId="3D09C660" w14:textId="18F27C64" w:rsidR="001A20CD" w:rsidRDefault="001A20CD" w:rsidP="001A20CD">
      <w:r w:rsidRPr="00FB0D3A">
        <w:t>This heading covers an enormously</w:t>
      </w:r>
      <w:r>
        <w:t xml:space="preserve"> </w:t>
      </w:r>
      <w:r w:rsidRPr="00FB0D3A">
        <w:t>w</w:t>
      </w:r>
      <w:r>
        <w:t xml:space="preserve">ide range of material such as: </w:t>
      </w:r>
      <w:r w:rsidRPr="00FB0D3A">
        <w:t>military technology</w:t>
      </w:r>
      <w:r>
        <w:t>;</w:t>
      </w:r>
      <w:r w:rsidRPr="00FB0D3A">
        <w:t xml:space="preserve"> communication and inform</w:t>
      </w:r>
      <w:r>
        <w:t>ation technology; medical innovations;</w:t>
      </w:r>
      <w:r w:rsidRPr="00FB0D3A">
        <w:t xml:space="preserve"> optical</w:t>
      </w:r>
      <w:r w:rsidR="001E3F04">
        <w:t xml:space="preserve">, </w:t>
      </w:r>
      <w:r w:rsidRPr="00FB0D3A">
        <w:t>photog</w:t>
      </w:r>
      <w:r>
        <w:t>raphic and electronic equipment;</w:t>
      </w:r>
      <w:r w:rsidRPr="00FB0D3A">
        <w:t xml:space="preserve"> alternat</w:t>
      </w:r>
      <w:r>
        <w:t>ive/renewable energy technology;</w:t>
      </w:r>
      <w:r w:rsidRPr="00FB0D3A">
        <w:t xml:space="preserve"> steam road vehicles (road locomotives, steam wagons</w:t>
      </w:r>
      <w:r>
        <w:t>, road rollers, and steam cars);</w:t>
      </w:r>
      <w:r w:rsidRPr="00FB0D3A">
        <w:t xml:space="preserve"> agricultural equipment (traction engines, ploughing, portable and stationary engines)</w:t>
      </w:r>
      <w:r>
        <w:t>;</w:t>
      </w:r>
      <w:r w:rsidRPr="00FB0D3A">
        <w:t xml:space="preserve"> motor vehicles (racing and motor cars, trucks, tractors, oil and gas engines)</w:t>
      </w:r>
      <w:r>
        <w:t>;</w:t>
      </w:r>
      <w:r w:rsidRPr="00FB0D3A">
        <w:t xml:space="preserve"> and space technology.</w:t>
      </w:r>
    </w:p>
    <w:p w14:paraId="3B0C2612" w14:textId="6894CC49" w:rsidR="001A20CD" w:rsidRPr="00664A7B" w:rsidRDefault="001A20CD" w:rsidP="001A20CD">
      <w:r w:rsidRPr="00FB0D3A">
        <w:t xml:space="preserve">Notwithstanding that </w:t>
      </w:r>
      <w:r>
        <w:t>the current Part</w:t>
      </w:r>
      <w:r w:rsidRPr="00FB0D3A">
        <w:t xml:space="preserve"> is expressed to be inclusive, it has been interpreted over the years by users almost as a codification. Many submissions to previous reviews have argued for the inclusion of </w:t>
      </w:r>
      <w:r>
        <w:t xml:space="preserve">particular </w:t>
      </w:r>
      <w:r w:rsidRPr="00FB0D3A">
        <w:t>technologies on the basi</w:t>
      </w:r>
      <w:r>
        <w:t>s that they are not protected</w:t>
      </w:r>
      <w:r w:rsidR="00801A32">
        <w:t>—</w:t>
      </w:r>
      <w:r w:rsidRPr="00FB0D3A">
        <w:t xml:space="preserve">because they are not on the list. </w:t>
      </w:r>
      <w:r>
        <w:t>However the intention was not</w:t>
      </w:r>
      <w:r w:rsidRPr="00FB0D3A">
        <w:t xml:space="preserve"> to exclude technologies or objects of applied science</w:t>
      </w:r>
      <w:r>
        <w:t xml:space="preserve"> which were</w:t>
      </w:r>
      <w:r w:rsidRPr="00FB0D3A">
        <w:t xml:space="preserve"> not</w:t>
      </w:r>
      <w:r>
        <w:t xml:space="preserve"> expressly listed in the Part. After all, n</w:t>
      </w:r>
      <w:r w:rsidRPr="00FB0D3A">
        <w:t>o legislation can predict the developments of technology and applied science and, therefore, none can ever be expected to provide an exhaustive list.</w:t>
      </w:r>
    </w:p>
    <w:p w14:paraId="5C1D482B" w14:textId="77777777" w:rsidR="001A20CD" w:rsidRDefault="001A20CD" w:rsidP="001A20CD">
      <w:r>
        <w:t>The reformulated P</w:t>
      </w:r>
      <w:r w:rsidRPr="00FB0D3A">
        <w:t xml:space="preserve">art seeks to address this misconception by only listing </w:t>
      </w:r>
      <w:r>
        <w:t>types of material</w:t>
      </w:r>
      <w:r w:rsidRPr="00FB0D3A">
        <w:t xml:space="preserve">, not itemising individual </w:t>
      </w:r>
      <w:r>
        <w:t>object</w:t>
      </w:r>
      <w:r w:rsidRPr="00FB0D3A">
        <w:t xml:space="preserve"> types. More detailed examples can be provided in explana</w:t>
      </w:r>
      <w:r>
        <w:t>tory guidelines and on the Department’</w:t>
      </w:r>
      <w:r w:rsidRPr="00FB0D3A">
        <w:t>s website. They do not need to be in the Regulations.</w:t>
      </w:r>
    </w:p>
    <w:p w14:paraId="5F04EF8B" w14:textId="77777777" w:rsidR="00AA7153" w:rsidRDefault="001A20CD" w:rsidP="001D3FB2">
      <w:pPr>
        <w:pStyle w:val="Heading4"/>
      </w:pPr>
      <w:r w:rsidRPr="001D3FB2">
        <w:t>I</w:t>
      </w:r>
      <w:r w:rsidR="00FB5D99" w:rsidRPr="001D3FB2">
        <w:t xml:space="preserve">nclusion as </w:t>
      </w:r>
      <w:r w:rsidRPr="001D3FB2">
        <w:t>Declared Australian Protected Material</w:t>
      </w:r>
    </w:p>
    <w:p w14:paraId="09091490" w14:textId="77777777" w:rsidR="00AA7153" w:rsidRDefault="001A20CD" w:rsidP="001A20CD">
      <w:r>
        <w:t>Some material in this category is so scarce that it ha</w:t>
      </w:r>
      <w:r w:rsidR="00FB5D99">
        <w:t>s been included on the list of</w:t>
      </w:r>
      <w:r>
        <w:t xml:space="preserve"> Declared Australian Protected Material. Some of the earliest examples of transport and agricultural machinery are examples of this.</w:t>
      </w:r>
    </w:p>
    <w:p w14:paraId="42C6104F" w14:textId="77777777" w:rsidR="00AA7153" w:rsidRDefault="001A20CD" w:rsidP="001A20CD">
      <w:r>
        <w:t>This has been loudly applauded in consultation. A few have said that this will send the exporters underground; that they will dis</w:t>
      </w:r>
      <w:r w:rsidR="001E3F04">
        <w:t>as</w:t>
      </w:r>
      <w:r>
        <w:t xml:space="preserve">semble engines and take them out as scrap metal or simply </w:t>
      </w:r>
      <w:proofErr w:type="spellStart"/>
      <w:r>
        <w:t>mis</w:t>
      </w:r>
      <w:proofErr w:type="spellEnd"/>
      <w:r>
        <w:t xml:space="preserve">-describe the material in customs documentation. Just as pedestrian crossings do not stop pedestrians from being hit by vehicles, mere legislation cannot stop those who are determined to break the law. That said, the </w:t>
      </w:r>
      <w:r>
        <w:lastRenderedPageBreak/>
        <w:t>current sanctions regime provides little disincentive to those who do not comply with the Act: that will change under the new model.</w:t>
      </w:r>
    </w:p>
    <w:p w14:paraId="6270FC03" w14:textId="28AF0C20" w:rsidR="001A20CD" w:rsidRPr="00FB0D3A" w:rsidRDefault="001A20CD" w:rsidP="001D3FB2">
      <w:pPr>
        <w:pStyle w:val="Heading3"/>
      </w:pPr>
      <w:r w:rsidRPr="00FB0D3A">
        <w:t>New Part 4.4</w:t>
      </w:r>
      <w:r w:rsidR="00801A32">
        <w:t>—</w:t>
      </w:r>
      <w:r w:rsidRPr="00FB0D3A">
        <w:t>Numismatic</w:t>
      </w:r>
      <w:r>
        <w:t xml:space="preserve"> Material</w:t>
      </w:r>
    </w:p>
    <w:p w14:paraId="335E2D63" w14:textId="77777777" w:rsidR="00AA7153" w:rsidRDefault="001A20CD" w:rsidP="001A20CD">
      <w:r w:rsidRPr="00FB0D3A">
        <w:t>The only medals currently given the highest level of protection are Victoria Crosses awarded to named recipients. These are included as Class A objects</w:t>
      </w:r>
      <w:r>
        <w:t>.</w:t>
      </w:r>
    </w:p>
    <w:p w14:paraId="7B28A900" w14:textId="77777777" w:rsidR="00AA7153" w:rsidRDefault="001A20CD" w:rsidP="001A20CD">
      <w:r w:rsidRPr="00FB0D3A">
        <w:t xml:space="preserve">In the proposed scheme, Victoria Crosses with significance to Australia (either awarded to Australian citizens or to soldiers fighting in or with an Australian force) would </w:t>
      </w:r>
      <w:r>
        <w:t xml:space="preserve">continue to </w:t>
      </w:r>
      <w:r w:rsidRPr="00FB0D3A">
        <w:t xml:space="preserve">receive maximum protection as Declared Australian Protected </w:t>
      </w:r>
      <w:r>
        <w:t>Material</w:t>
      </w:r>
      <w:r w:rsidRPr="00FB0D3A">
        <w:t>.</w:t>
      </w:r>
    </w:p>
    <w:p w14:paraId="2D0EDB96" w14:textId="77777777" w:rsidR="00AA7153" w:rsidRDefault="001A20CD" w:rsidP="001A20CD">
      <w:r w:rsidRPr="00FB0D3A">
        <w:t xml:space="preserve">It is suggested that this </w:t>
      </w:r>
      <w:r>
        <w:t xml:space="preserve">level of protection </w:t>
      </w:r>
      <w:r w:rsidRPr="00FB0D3A">
        <w:t>should also be</w:t>
      </w:r>
      <w:r>
        <w:t xml:space="preserve"> explicitly</w:t>
      </w:r>
      <w:r w:rsidRPr="00FB0D3A">
        <w:t xml:space="preserve"> extended to</w:t>
      </w:r>
      <w:r>
        <w:t xml:space="preserve"> the Australian-only medals that replaced the imperial honours system, and also extended to </w:t>
      </w:r>
      <w:r w:rsidRPr="00FB0D3A">
        <w:t xml:space="preserve">other </w:t>
      </w:r>
      <w:r>
        <w:t>medals</w:t>
      </w:r>
      <w:r w:rsidRPr="00FB0D3A">
        <w:t xml:space="preserve"> </w:t>
      </w:r>
      <w:r>
        <w:t xml:space="preserve">and decorations </w:t>
      </w:r>
      <w:r w:rsidRPr="00FB0D3A">
        <w:t>of extraordinary significance:</w:t>
      </w:r>
    </w:p>
    <w:p w14:paraId="731361CC" w14:textId="77777777" w:rsidR="00AA7153" w:rsidRDefault="001A20CD" w:rsidP="00AB6407">
      <w:pPr>
        <w:pStyle w:val="ListParagraph"/>
        <w:numPr>
          <w:ilvl w:val="0"/>
          <w:numId w:val="22"/>
        </w:numPr>
        <w:ind w:left="567" w:hanging="567"/>
      </w:pPr>
      <w:r>
        <w:t>the Victoria Cross for Australia;</w:t>
      </w:r>
    </w:p>
    <w:p w14:paraId="78B22A23" w14:textId="77777777" w:rsidR="00AA7153" w:rsidRDefault="001A20CD" w:rsidP="00AB6407">
      <w:pPr>
        <w:pStyle w:val="ListParagraph"/>
        <w:numPr>
          <w:ilvl w:val="0"/>
          <w:numId w:val="22"/>
        </w:numPr>
        <w:ind w:left="567" w:hanging="567"/>
      </w:pPr>
      <w:r w:rsidRPr="00FB0D3A">
        <w:t xml:space="preserve">the George </w:t>
      </w:r>
      <w:r>
        <w:t>Cross;</w:t>
      </w:r>
    </w:p>
    <w:p w14:paraId="48BE6AFC" w14:textId="77777777" w:rsidR="00AA7153" w:rsidRDefault="001A20CD" w:rsidP="00AB6407">
      <w:pPr>
        <w:pStyle w:val="ListParagraph"/>
        <w:numPr>
          <w:ilvl w:val="0"/>
          <w:numId w:val="22"/>
        </w:numPr>
        <w:ind w:left="567" w:hanging="567"/>
      </w:pPr>
      <w:r>
        <w:t xml:space="preserve">the Cross of Valour; </w:t>
      </w:r>
      <w:r w:rsidRPr="00FB0D3A">
        <w:t>and</w:t>
      </w:r>
    </w:p>
    <w:p w14:paraId="4542A526" w14:textId="77777777" w:rsidR="00AA7153" w:rsidRDefault="001A20CD" w:rsidP="00AB6407">
      <w:pPr>
        <w:pStyle w:val="ListParagraph"/>
        <w:numPr>
          <w:ilvl w:val="0"/>
          <w:numId w:val="22"/>
        </w:numPr>
        <w:ind w:left="567" w:hanging="567"/>
      </w:pPr>
      <w:proofErr w:type="gramStart"/>
      <w:r w:rsidRPr="00FB0D3A">
        <w:t>the</w:t>
      </w:r>
      <w:proofErr w:type="gramEnd"/>
      <w:r w:rsidRPr="00FB0D3A">
        <w:t xml:space="preserve"> </w:t>
      </w:r>
      <w:r>
        <w:t>insignia</w:t>
      </w:r>
      <w:r w:rsidRPr="00FB0D3A">
        <w:t xml:space="preserve"> of the </w:t>
      </w:r>
      <w:r>
        <w:t xml:space="preserve">Dames and Knights of the Order of Australia and the </w:t>
      </w:r>
      <w:r w:rsidRPr="00FB0D3A">
        <w:t>Companion of the Order of Australia.</w:t>
      </w:r>
    </w:p>
    <w:p w14:paraId="61B6F6F7" w14:textId="77777777" w:rsidR="00AA7153" w:rsidRDefault="001A20CD" w:rsidP="001A20CD">
      <w:r w:rsidRPr="00FB0D3A">
        <w:t>It is right and proper that Australia should give the same level of protection and significance to its highest civil award</w:t>
      </w:r>
      <w:r>
        <w:t>s</w:t>
      </w:r>
      <w:r w:rsidRPr="00FB0D3A">
        <w:t xml:space="preserve"> as it does to its highest military award</w:t>
      </w:r>
      <w:r>
        <w:t>s</w:t>
      </w:r>
      <w:r w:rsidRPr="00FB0D3A">
        <w:t>. Both honours are given in recognition of an extraordinary contribution to the nation.</w:t>
      </w:r>
    </w:p>
    <w:p w14:paraId="4B8EDC2F" w14:textId="2FE4C8D1" w:rsidR="001A20CD" w:rsidRPr="00FB0D3A" w:rsidRDefault="001A20CD" w:rsidP="001D3FB2">
      <w:pPr>
        <w:pStyle w:val="Heading3"/>
        <w:rPr>
          <w:lang w:eastAsia="en-AU"/>
        </w:rPr>
      </w:pPr>
      <w:r w:rsidRPr="00FB0D3A">
        <w:rPr>
          <w:lang w:eastAsia="en-AU"/>
        </w:rPr>
        <w:t>New Part 4.5</w:t>
      </w:r>
      <w:r w:rsidR="00801A32">
        <w:rPr>
          <w:lang w:eastAsia="en-AU"/>
        </w:rPr>
        <w:t>—</w:t>
      </w:r>
      <w:r w:rsidRPr="00FB0D3A">
        <w:rPr>
          <w:lang w:eastAsia="en-AU"/>
        </w:rPr>
        <w:t>Philatelic</w:t>
      </w:r>
      <w:r>
        <w:rPr>
          <w:lang w:eastAsia="en-AU"/>
        </w:rPr>
        <w:t xml:space="preserve"> Material</w:t>
      </w:r>
    </w:p>
    <w:p w14:paraId="42A1C740" w14:textId="43485338" w:rsidR="001A20CD" w:rsidRPr="00FB0D3A" w:rsidRDefault="001A20CD" w:rsidP="001A20CD">
      <w:r w:rsidRPr="00FB0D3A">
        <w:t>Over the life of the Act, there has</w:t>
      </w:r>
      <w:r>
        <w:t xml:space="preserve"> been discussion as to whether philatelic material</w:t>
      </w:r>
      <w:r w:rsidRPr="00FB0D3A">
        <w:t xml:space="preserve"> shou</w:t>
      </w:r>
      <w:r>
        <w:t>ld be combined with numismatic material</w:t>
      </w:r>
      <w:r w:rsidRPr="00FB0D3A">
        <w:t>. As the stakeholder groups for each are quite distinct, it is difficult to see what practical advantage would be obtained by doing this. It may make the Control List slightly shorter, but the detail of each type would still have to be articulated separately. Accordingly, it is proposed that they remain separate</w:t>
      </w:r>
      <w:r w:rsidR="00801A32">
        <w:t>—</w:t>
      </w:r>
      <w:r w:rsidRPr="00FB0D3A">
        <w:t>but with</w:t>
      </w:r>
      <w:r>
        <w:t xml:space="preserve">in the overarching category of </w:t>
      </w:r>
      <w:r w:rsidRPr="00FB0D3A">
        <w:t>H</w:t>
      </w:r>
      <w:r>
        <w:t>istorically Significant Material</w:t>
      </w:r>
      <w:r w:rsidRPr="00FB0D3A">
        <w:t>.</w:t>
      </w:r>
    </w:p>
    <w:p w14:paraId="3BEB23D6" w14:textId="77777777" w:rsidR="00AA7153" w:rsidRDefault="001A20CD" w:rsidP="001A20CD">
      <w:r w:rsidRPr="00FB0D3A">
        <w:t>In its submission to the 20</w:t>
      </w:r>
      <w:r w:rsidRPr="00201991">
        <w:t>09 Review, the Australian Philatelic Traders Association argued that it was inappropriate</w:t>
      </w:r>
      <w:r w:rsidRPr="00FB0D3A">
        <w:t xml:space="preserve"> for stamps </w:t>
      </w:r>
      <w:r>
        <w:t>to be covered at all by the Act</w:t>
      </w:r>
      <w:r w:rsidRPr="00FB0D3A">
        <w:t xml:space="preserve"> because </w:t>
      </w:r>
      <w:r w:rsidRPr="00FB0D3A">
        <w:lastRenderedPageBreak/>
        <w:t>they could easily be digitised and retained in that form. This was not a view shared by collectors, who saw philatelic objects as more than mere commodities.</w:t>
      </w:r>
    </w:p>
    <w:p w14:paraId="7EF0C6EA" w14:textId="3FC1C5BA" w:rsidR="001A20CD" w:rsidRPr="00FB0D3A" w:rsidRDefault="001A20CD" w:rsidP="001D3FB2">
      <w:pPr>
        <w:pStyle w:val="Heading3"/>
        <w:rPr>
          <w:lang w:eastAsia="en-AU"/>
        </w:rPr>
      </w:pPr>
      <w:r w:rsidRPr="00FB0D3A">
        <w:rPr>
          <w:lang w:eastAsia="en-AU"/>
        </w:rPr>
        <w:t>New Part 4.6</w:t>
      </w:r>
      <w:r w:rsidR="00801A32">
        <w:rPr>
          <w:lang w:eastAsia="en-AU"/>
        </w:rPr>
        <w:t>—</w:t>
      </w:r>
      <w:r>
        <w:t>Social, C</w:t>
      </w:r>
      <w:r w:rsidRPr="00643937">
        <w:t xml:space="preserve">ultural, </w:t>
      </w:r>
      <w:r>
        <w:t>Spiritual, Sporting, Political, Military H</w:t>
      </w:r>
      <w:r w:rsidRPr="00643937">
        <w:t>istory</w:t>
      </w:r>
      <w:r w:rsidR="00B23B74">
        <w:t xml:space="preserve"> and O</w:t>
      </w:r>
      <w:r>
        <w:t>ther Material</w:t>
      </w:r>
    </w:p>
    <w:p w14:paraId="67CBD44A" w14:textId="25404CB3" w:rsidR="00AA7153" w:rsidRDefault="001A20CD" w:rsidP="001A20CD">
      <w:r w:rsidRPr="00FB0D3A">
        <w:t xml:space="preserve">The proposed section for </w:t>
      </w:r>
      <w:r>
        <w:t>material</w:t>
      </w:r>
      <w:r w:rsidRPr="00FB0D3A">
        <w:t xml:space="preserve"> that relate</w:t>
      </w:r>
      <w:r>
        <w:t>s</w:t>
      </w:r>
      <w:r w:rsidRPr="00FB0D3A">
        <w:t xml:space="preserve"> to the social, cultural, </w:t>
      </w:r>
      <w:r>
        <w:t>spiritual, sporting, political or</w:t>
      </w:r>
      <w:r w:rsidRPr="00FB0D3A">
        <w:t xml:space="preserve"> military history of Australia subsumes much of the material that </w:t>
      </w:r>
      <w:r w:rsidR="00855992">
        <w:t>is currently included in Part 9:</w:t>
      </w:r>
      <w:r w:rsidRPr="00FB0D3A">
        <w:t xml:space="preserve"> Objects of Historical Significance.</w:t>
      </w:r>
    </w:p>
    <w:p w14:paraId="297DB28F" w14:textId="1ED55A18" w:rsidR="00AA7153" w:rsidRDefault="001A20CD" w:rsidP="00504E08">
      <w:r w:rsidRPr="00FB0D3A">
        <w:t>In the new scheme, Class A objects under that Part (items of Kelly armour) would</w:t>
      </w:r>
      <w:r w:rsidR="001E3F04">
        <w:t xml:space="preserve"> now</w:t>
      </w:r>
      <w:r w:rsidRPr="00FB0D3A">
        <w:t xml:space="preserve"> be </w:t>
      </w:r>
      <w:r w:rsidR="001E3F04">
        <w:t>listed</w:t>
      </w:r>
      <w:r w:rsidRPr="00FB0D3A">
        <w:t xml:space="preserve"> as Declar</w:t>
      </w:r>
      <w:r>
        <w:t>ed Australian Protected Material</w:t>
      </w:r>
      <w:r w:rsidR="00801A32">
        <w:t>—</w:t>
      </w:r>
      <w:r w:rsidRPr="00FB0D3A">
        <w:t>together with the armour worn by other members of the Kelly gang.</w:t>
      </w:r>
    </w:p>
    <w:p w14:paraId="382D279F" w14:textId="77777777" w:rsidR="00AA7153" w:rsidRDefault="001A20CD" w:rsidP="001D3FB2">
      <w:pPr>
        <w:pStyle w:val="Heading4"/>
      </w:pPr>
      <w:r w:rsidRPr="001D3FB2">
        <w:t>Recognition of particular material</w:t>
      </w:r>
    </w:p>
    <w:p w14:paraId="70AE9CC8" w14:textId="70DCD95F" w:rsidR="00AA7153" w:rsidRDefault="001A20CD" w:rsidP="001A20CD">
      <w:r w:rsidRPr="00FB0D3A">
        <w:t>The biggest issue with the current formu</w:t>
      </w:r>
      <w:r>
        <w:t>lation is that like other Parts it is overly long</w:t>
      </w:r>
      <w:r w:rsidRPr="00FB0D3A">
        <w:t xml:space="preserve"> and</w:t>
      </w:r>
      <w:r>
        <w:t>,</w:t>
      </w:r>
      <w:r w:rsidRPr="00FB0D3A">
        <w:t xml:space="preserve"> while expressed as inclusive</w:t>
      </w:r>
      <w:r>
        <w:t>,</w:t>
      </w:r>
      <w:r w:rsidRPr="00FB0D3A">
        <w:t xml:space="preserve"> it is read as a codification. </w:t>
      </w:r>
      <w:r>
        <w:t xml:space="preserve">In the </w:t>
      </w:r>
      <w:r w:rsidR="00244279">
        <w:t>P</w:t>
      </w:r>
      <w:r>
        <w:t xml:space="preserve">osition </w:t>
      </w:r>
      <w:r w:rsidR="00244279">
        <w:t>P</w:t>
      </w:r>
      <w:r>
        <w:t xml:space="preserve">aper, I sought to elevate the description that would appear in the Control List, and envisaged </w:t>
      </w:r>
      <w:r w:rsidRPr="00FB0D3A">
        <w:t>leaving the detail to explanatory notes and examples in guideline documents.</w:t>
      </w:r>
    </w:p>
    <w:p w14:paraId="202945BE" w14:textId="77777777" w:rsidR="00AA7153" w:rsidRDefault="001A20CD" w:rsidP="001A20CD">
      <w:r>
        <w:t>While I still believe this is the best approach, a number of stakeholders expressed alarm that they could no longer see their particular area of interest explicitly listed. While acknowledging that this is a change, as long as the material itself continues to be protected in the legislation (and I believe that to be the case in relation to all of the cases raised with me) the explicit recognition in the Control List is not necessary. In avoiding a prescriptive ‘laundry-list’ of material, I am aiming to actually make the model more responsive to emerging and evolving types of material.</w:t>
      </w:r>
    </w:p>
    <w:p w14:paraId="4D5076FE" w14:textId="638C11C9" w:rsidR="00AA7153" w:rsidRDefault="001A20CD" w:rsidP="00B138C4">
      <w:r>
        <w:t>While the proposed title of this new Part includes reference to some types of material it is</w:t>
      </w:r>
      <w:r w:rsidR="001E3F04">
        <w:t xml:space="preserve"> not</w:t>
      </w:r>
      <w:r>
        <w:t xml:space="preserve"> intended to be</w:t>
      </w:r>
      <w:r w:rsidR="001E3F04">
        <w:t xml:space="preserve"> limited to</w:t>
      </w:r>
      <w:r>
        <w:t xml:space="preserve"> particular categories such as ‘sporting’ or ‘political’. It is envisaged under the new Control List formulation that all types</w:t>
      </w:r>
      <w:r w:rsidR="00244279">
        <w:t xml:space="preserve"> of</w:t>
      </w:r>
      <w:r>
        <w:t xml:space="preserve"> material</w:t>
      </w:r>
      <w:r w:rsidR="001E3F04">
        <w:t>,</w:t>
      </w:r>
      <w:r>
        <w:t xml:space="preserve"> which do not fit into other Parts, can be assessed under this heading. This allows full consideration of the material, including its significance and representation in public collections, against standardised criteria.</w:t>
      </w:r>
    </w:p>
    <w:p w14:paraId="131E6C0C" w14:textId="6A655A92" w:rsidR="001A20CD" w:rsidRPr="001D3FB2" w:rsidRDefault="001A20CD" w:rsidP="001D3FB2">
      <w:pPr>
        <w:pStyle w:val="Heading4"/>
      </w:pPr>
      <w:r w:rsidRPr="001D3FB2">
        <w:lastRenderedPageBreak/>
        <w:t>Association test</w:t>
      </w:r>
    </w:p>
    <w:p w14:paraId="325CFDC6" w14:textId="77777777" w:rsidR="00AA7153" w:rsidRDefault="001A20CD" w:rsidP="001A20CD">
      <w:r w:rsidRPr="00FB0D3A">
        <w:t xml:space="preserve">Another problem with the current Part </w:t>
      </w:r>
      <w:r>
        <w:t>arises from</w:t>
      </w:r>
      <w:r w:rsidRPr="00FB0D3A">
        <w:t xml:space="preserve"> the misconceptions </w:t>
      </w:r>
      <w:r>
        <w:t>as to</w:t>
      </w:r>
      <w:r w:rsidRPr="00FB0D3A">
        <w:t xml:space="preserve"> the </w:t>
      </w:r>
      <w:r>
        <w:t>meaning</w:t>
      </w:r>
      <w:r w:rsidRPr="00FB0D3A">
        <w:t xml:space="preserve"> of 'associated' in Part 9.2(b). In some cases, very distant links to significant people have been asserted in order to try and justify a recommendation to deny export. In order to balance the rightful interests of property owners, a valuable cultural item should not be denied export on the basis of a</w:t>
      </w:r>
      <w:r>
        <w:t xml:space="preserve"> merely tenuous link. Accordingly, the new model incorporates the </w:t>
      </w:r>
      <w:r w:rsidRPr="00FB0D3A">
        <w:t xml:space="preserve">words 'direct and substantial' </w:t>
      </w:r>
      <w:r>
        <w:t xml:space="preserve">to </w:t>
      </w:r>
      <w:r w:rsidRPr="00FB0D3A">
        <w:t>the association test.</w:t>
      </w:r>
    </w:p>
    <w:p w14:paraId="3E3D4C34" w14:textId="77777777" w:rsidR="00AA7153" w:rsidRDefault="001A20CD" w:rsidP="001A20CD">
      <w:r w:rsidRPr="00FB0D3A">
        <w:t xml:space="preserve">This test </w:t>
      </w:r>
      <w:r>
        <w:t>has also been</w:t>
      </w:r>
      <w:r w:rsidRPr="00FB0D3A">
        <w:t xml:space="preserve"> widened, from 'person</w:t>
      </w:r>
      <w:r>
        <w:t xml:space="preserve"> (or group of people)</w:t>
      </w:r>
      <w:r w:rsidRPr="00FB0D3A">
        <w:t>, activity, event, place or business enterprise, notable in Australian history' to include 'movement or period.'</w:t>
      </w:r>
    </w:p>
    <w:p w14:paraId="55FACF12" w14:textId="360D3346" w:rsidR="00AA7153" w:rsidRDefault="001A20CD" w:rsidP="00B33AF7">
      <w:r>
        <w:t>F</w:t>
      </w:r>
      <w:r w:rsidR="00244279">
        <w:t xml:space="preserve">or example, many National Trust </w:t>
      </w:r>
      <w:r>
        <w:t>managed properties have objects which may have significance in and of themselves but which accrue greater significance from their location within a collection and a place. Mu</w:t>
      </w:r>
      <w:r w:rsidR="00244279">
        <w:t xml:space="preserve">lberry Hill, the National Trust </w:t>
      </w:r>
      <w:r>
        <w:t xml:space="preserve">managed home of author Joan Lindsay, is where she wrote her classic novel, </w:t>
      </w:r>
      <w:r w:rsidRPr="001F6368">
        <w:rPr>
          <w:i/>
        </w:rPr>
        <w:t>Picnic at Hanging Rock</w:t>
      </w:r>
      <w:r>
        <w:t xml:space="preserve">, set on St Valentine’s Day in 1900. The home’s collection includes vintage Valentine’s Day cards that Lindsay collected and which were later used as props in Peter Weir’s iconic 1975 film. </w:t>
      </w:r>
    </w:p>
    <w:p w14:paraId="0FBBC8FF" w14:textId="3414A9CB" w:rsidR="001A20CD" w:rsidRPr="00F23083" w:rsidRDefault="00244279" w:rsidP="00052178">
      <w:pPr>
        <w:pStyle w:val="Heading2"/>
      </w:pPr>
      <w:bookmarkStart w:id="60" w:name="_Toc433906587"/>
      <w:r>
        <w:t>General Control L</w:t>
      </w:r>
      <w:r w:rsidR="001A20CD" w:rsidRPr="00F23083">
        <w:t>ist matters</w:t>
      </w:r>
      <w:bookmarkEnd w:id="60"/>
    </w:p>
    <w:p w14:paraId="321A8D51" w14:textId="77777777" w:rsidR="001A20CD" w:rsidRPr="001D3FB2" w:rsidRDefault="001A20CD" w:rsidP="001D3FB2">
      <w:pPr>
        <w:pStyle w:val="Heading3"/>
      </w:pPr>
      <w:r w:rsidRPr="001D3FB2">
        <w:t>Recognition of other Commonwealth heritage legislation</w:t>
      </w:r>
    </w:p>
    <w:p w14:paraId="5BB344A2" w14:textId="7745EF7E" w:rsidR="00AA7153" w:rsidRDefault="00244279" w:rsidP="001A20CD">
      <w:r>
        <w:t>The Control List</w:t>
      </w:r>
      <w:r w:rsidR="001A20CD" w:rsidRPr="00FB0D3A">
        <w:t xml:space="preserve"> is augmented to include an express reference to objects</w:t>
      </w:r>
      <w:r w:rsidR="001A20CD">
        <w:t xml:space="preserve"> </w:t>
      </w:r>
      <w:r w:rsidR="001A20CD" w:rsidRPr="00FB0D3A">
        <w:t>forming part of, discovered on</w:t>
      </w:r>
      <w:r w:rsidR="001E3F04">
        <w:t>,</w:t>
      </w:r>
      <w:r w:rsidR="001A20CD" w:rsidRPr="00FB0D3A">
        <w:t xml:space="preserve"> or otherwise associated with any place listed</w:t>
      </w:r>
      <w:r w:rsidR="001E3F04">
        <w:t xml:space="preserve"> as</w:t>
      </w:r>
      <w:r w:rsidR="001A20CD" w:rsidRPr="00FB0D3A">
        <w:t xml:space="preserve"> </w:t>
      </w:r>
      <w:r w:rsidR="001A20CD">
        <w:t>protected by Commonwealth legisl</w:t>
      </w:r>
      <w:r>
        <w:t>ation. This would include place</w:t>
      </w:r>
      <w:r w:rsidR="001A20CD">
        <w:t>s</w:t>
      </w:r>
      <w:r w:rsidR="001A20CD" w:rsidRPr="00FB0D3A">
        <w:t xml:space="preserve"> on the Australian</w:t>
      </w:r>
      <w:r w:rsidR="001A20CD">
        <w:t xml:space="preserve"> World Heritage and</w:t>
      </w:r>
      <w:r w:rsidR="001A20CD" w:rsidRPr="00FB0D3A">
        <w:t xml:space="preserve"> National Heritage List</w:t>
      </w:r>
      <w:r w:rsidR="001A20CD">
        <w:t>s</w:t>
      </w:r>
      <w:r w:rsidR="001A20CD" w:rsidRPr="00FB0D3A">
        <w:t>. This is a very important oversight in the current Control List.</w:t>
      </w:r>
    </w:p>
    <w:p w14:paraId="12A575F4" w14:textId="77777777" w:rsidR="00AA7153" w:rsidRDefault="001A20CD" w:rsidP="001A20CD">
      <w:r>
        <w:t xml:space="preserve">For example, the </w:t>
      </w:r>
      <w:r w:rsidRPr="002D23C0">
        <w:rPr>
          <w:i/>
        </w:rPr>
        <w:t>Environmental Protection and Biodiversity Conservation Act 1999</w:t>
      </w:r>
      <w:r>
        <w:t xml:space="preserve"> </w:t>
      </w:r>
      <w:r w:rsidR="00B33AF7">
        <w:t xml:space="preserve">(EPBC Act) </w:t>
      </w:r>
      <w:r>
        <w:t>provides processes for the listing, protection or management of places. The Act does not, but should, enable an export application decision-maker to take into account the lawfulness of an object’s removal from a site protected under the EPBC Act.</w:t>
      </w:r>
    </w:p>
    <w:p w14:paraId="64AEC6AB" w14:textId="0DA0A366" w:rsidR="00AA7153" w:rsidRDefault="00244279" w:rsidP="00504E08">
      <w:r>
        <w:lastRenderedPageBreak/>
        <w:t>The Act</w:t>
      </w:r>
      <w:r w:rsidR="001A20CD" w:rsidRPr="008A5C3D">
        <w:t xml:space="preserve"> </w:t>
      </w:r>
      <w:r w:rsidR="001A20CD">
        <w:t xml:space="preserve">will also be </w:t>
      </w:r>
      <w:r w:rsidR="001A20CD" w:rsidRPr="008A5C3D">
        <w:t>aligned with r</w:t>
      </w:r>
      <w:r w:rsidR="001A20CD" w:rsidRPr="001243B3">
        <w:t xml:space="preserve">egulation </w:t>
      </w:r>
      <w:r w:rsidR="001A20CD" w:rsidRPr="0043605A">
        <w:t xml:space="preserve">under the </w:t>
      </w:r>
      <w:r w:rsidR="001A20CD" w:rsidRPr="0043605A">
        <w:rPr>
          <w:i/>
          <w:iCs/>
        </w:rPr>
        <w:t>Historic Shipwrecks Act 1976</w:t>
      </w:r>
      <w:r w:rsidR="001A20CD">
        <w:t>, to minimise a</w:t>
      </w:r>
      <w:r w:rsidR="001A20CD" w:rsidRPr="0043605A">
        <w:t>ny duplication of regulation</w:t>
      </w:r>
      <w:r w:rsidR="001A20CD">
        <w:t>. This is achieved in the model by</w:t>
      </w:r>
      <w:r w:rsidR="001A20CD" w:rsidRPr="0043605A">
        <w:t xml:space="preserve"> requir</w:t>
      </w:r>
      <w:r w:rsidR="001A20CD">
        <w:t>ing</w:t>
      </w:r>
      <w:r w:rsidR="001A20CD" w:rsidRPr="0043605A">
        <w:t xml:space="preserve"> that any </w:t>
      </w:r>
      <w:r w:rsidR="001A20CD">
        <w:t xml:space="preserve">export </w:t>
      </w:r>
      <w:r w:rsidR="001A20CD" w:rsidRPr="0043605A">
        <w:t xml:space="preserve">application for </w:t>
      </w:r>
      <w:r w:rsidR="001A20CD">
        <w:t>material</w:t>
      </w:r>
      <w:r w:rsidR="001A20CD" w:rsidRPr="0043605A">
        <w:t xml:space="preserve"> covered by both Acts</w:t>
      </w:r>
      <w:r w:rsidR="001A20CD">
        <w:t xml:space="preserve"> must</w:t>
      </w:r>
      <w:r w:rsidR="001A20CD" w:rsidRPr="0043605A">
        <w:t xml:space="preserve"> already </w:t>
      </w:r>
      <w:r w:rsidR="001A20CD">
        <w:t>have obtained</w:t>
      </w:r>
      <w:r w:rsidR="001A20CD" w:rsidRPr="0043605A">
        <w:t xml:space="preserve"> a Historic Shipwrecks permit as </w:t>
      </w:r>
      <w:r w:rsidR="001A20CD">
        <w:t>a pre-condition to application under the Act</w:t>
      </w:r>
      <w:r w:rsidR="001A20CD" w:rsidRPr="0043605A">
        <w:t>.</w:t>
      </w:r>
      <w:r w:rsidR="001A20CD">
        <w:t xml:space="preserve"> Once again, placing this level of clarity in the new model will ensure that relics protected under another piece of Commonwealth legislation can be appropriately </w:t>
      </w:r>
      <w:r w:rsidR="00E64026">
        <w:t xml:space="preserve">and consistently </w:t>
      </w:r>
      <w:r w:rsidR="001A20CD">
        <w:t>protected under the Act.</w:t>
      </w:r>
    </w:p>
    <w:p w14:paraId="1AB96BC3" w14:textId="70AAD4B3" w:rsidR="001A20CD" w:rsidRPr="001D3FB2" w:rsidRDefault="00B33AF7" w:rsidP="001D3FB2">
      <w:pPr>
        <w:pStyle w:val="Heading3"/>
      </w:pPr>
      <w:r w:rsidRPr="001D3FB2">
        <w:t>Recognition of s</w:t>
      </w:r>
      <w:r w:rsidR="001A20CD" w:rsidRPr="001D3FB2">
        <w:t>tate heritage legislation</w:t>
      </w:r>
    </w:p>
    <w:p w14:paraId="013DAF5E" w14:textId="77777777" w:rsidR="00AA7153" w:rsidRDefault="001A20CD" w:rsidP="001A20CD">
      <w:r>
        <w:t>While the Commonwealth does not have the constitutional power to prevent the movement of cultural material within Australia, it does have the exclusive power to control its export. Accordingly, it is incumbent on the Commonwealth to work with other levels of government to provide the protection for this material that only the Commonwealth can provide.</w:t>
      </w:r>
    </w:p>
    <w:p w14:paraId="6703D331" w14:textId="200880B0" w:rsidR="001A20CD" w:rsidRDefault="001A20CD" w:rsidP="001A20CD">
      <w:r>
        <w:t>If legislation (of any level of government) says that certain cultural material is not allowed to be removed from a protected site or jurisdiction</w:t>
      </w:r>
      <w:r w:rsidR="00DA564D">
        <w:t>,</w:t>
      </w:r>
      <w:r>
        <w:t xml:space="preserve"> or is not allowed to be traded</w:t>
      </w:r>
      <w:r w:rsidR="00DA564D">
        <w:t xml:space="preserve"> without a permit, it should </w:t>
      </w:r>
      <w:r>
        <w:t>not be exported without examination and proof of the exporter having obtained the appropriate permissions.</w:t>
      </w:r>
    </w:p>
    <w:p w14:paraId="7FB0D651" w14:textId="4099DBCB" w:rsidR="00AA7153" w:rsidRDefault="001A20CD" w:rsidP="001A20CD">
      <w:r>
        <w:t>This applies equally to legislation protecting movable and immovable cultural heritage material.</w:t>
      </w:r>
      <w:r w:rsidR="00801A32">
        <w:t xml:space="preserve"> </w:t>
      </w:r>
      <w:r>
        <w:t>For example, the Cape Otway light station is listed on the Victorian Heritage Register.</w:t>
      </w:r>
      <w:r>
        <w:rPr>
          <w:rStyle w:val="FootnoteReference"/>
        </w:rPr>
        <w:footnoteReference w:id="34"/>
      </w:r>
      <w:r>
        <w:t xml:space="preserve"> One might safely assume that the light station is an immovable object.</w:t>
      </w:r>
      <w:r w:rsidR="00801A32">
        <w:t xml:space="preserve"> </w:t>
      </w:r>
      <w:r>
        <w:t>If a piece of the light station is removed, say a lens prism, that prism becomes movable cultural property and falls within the Act.</w:t>
      </w:r>
      <w:r w:rsidR="00801A32">
        <w:t xml:space="preserve"> </w:t>
      </w:r>
      <w:r>
        <w:t>The prism in itself may not be of great historic significance (or may be well represented in other public collections) but it is hugely significant because of its association with the heritage place. Furthermore, if pieces of a heritage site are pilfered, over time, the heritage values of the site will be diminished.</w:t>
      </w:r>
    </w:p>
    <w:p w14:paraId="13E4AD9B" w14:textId="367D4AF1" w:rsidR="001A20CD" w:rsidRDefault="001A20CD" w:rsidP="001A20CD">
      <w:r w:rsidRPr="00530BE5">
        <w:t xml:space="preserve">Given that the current Act does not </w:t>
      </w:r>
      <w:r>
        <w:t>recognise breach of Commonwealth legislation as a reason for prohibiting export, it is perhaps unsurprising that it does not recognise state and territory heritage legislation. For the first time, the new model will recognise these heritage protection instruments as relevant to the refusal of export permission.</w:t>
      </w:r>
    </w:p>
    <w:p w14:paraId="263AE716" w14:textId="1A8CB08E" w:rsidR="00AA7153" w:rsidRDefault="001A20CD" w:rsidP="001A20CD">
      <w:r>
        <w:lastRenderedPageBreak/>
        <w:t>To support the effectiveness of this, under the new model export permits should be refused where the material has been removed or traded in breach of another law.</w:t>
      </w:r>
      <w:r w:rsidR="00801A32">
        <w:t xml:space="preserve"> </w:t>
      </w:r>
      <w:r>
        <w:t>The application form will include a related declaration, and the applicant will be required to provide evidence of any required permits.</w:t>
      </w:r>
    </w:p>
    <w:p w14:paraId="519C7F56" w14:textId="3E1AD3C4" w:rsidR="001A20CD" w:rsidRPr="001D3FB2" w:rsidRDefault="001A20CD" w:rsidP="001D3FB2">
      <w:pPr>
        <w:pStyle w:val="Heading3"/>
      </w:pPr>
      <w:r w:rsidRPr="001D3FB2">
        <w:t>Value of objects</w:t>
      </w:r>
    </w:p>
    <w:p w14:paraId="2E86763C" w14:textId="39E759B7" w:rsidR="00AA7153" w:rsidRDefault="001A20CD" w:rsidP="001A20CD">
      <w:r>
        <w:t>Market values are fluid while regulatory value thresholds are static. The market for each specific type of material will undoubtedly fluctuate, sometimes quite wildly, during the life of the Act. It may be that, prior to the new model being enacted in legislation, the Department needs to do further work to identify precise value thresholds for certain categories. Regardless of this, all value thresholds should be reassessed every five years to ensure currency. In determining any amended threshold, the value identified should be the higher of the Australian or international market price and include the full cost of sale</w:t>
      </w:r>
      <w:r w:rsidR="00801A32">
        <w:t>—</w:t>
      </w:r>
      <w:r>
        <w:t>including buyers’ premiums, commissions and other charges.</w:t>
      </w:r>
    </w:p>
    <w:p w14:paraId="0478B95E" w14:textId="77777777" w:rsidR="00AA7153" w:rsidRDefault="001A20CD" w:rsidP="001D3FB2">
      <w:pPr>
        <w:pStyle w:val="Heading3"/>
      </w:pPr>
      <w:r w:rsidRPr="001D3FB2">
        <w:t>Treatment of collections</w:t>
      </w:r>
    </w:p>
    <w:p w14:paraId="01914308" w14:textId="7772A6DF" w:rsidR="001A20CD" w:rsidRPr="004B4D1E" w:rsidRDefault="001A20CD" w:rsidP="001A20CD">
      <w:r>
        <w:t xml:space="preserve">The current scheme is designed to issue a single permit for individual objects. The administration of the scheme has revealed that it does not cope well where the application is for a collection of objects. </w:t>
      </w:r>
      <w:r w:rsidRPr="004B4D1E">
        <w:t>On a literal interpretation of the current legislation, it is only where the definition of a particular object type explicitly includes ‘col</w:t>
      </w:r>
      <w:r>
        <w:t>lect</w:t>
      </w:r>
      <w:r w:rsidRPr="004B4D1E">
        <w:t>ions’</w:t>
      </w:r>
      <w:r>
        <w:t xml:space="preserve"> </w:t>
      </w:r>
      <w:r w:rsidRPr="004B4D1E">
        <w:t>that a single permit for the collection can be issued.</w:t>
      </w:r>
      <w:r>
        <w:rPr>
          <w:rStyle w:val="FootnoteReference"/>
        </w:rPr>
        <w:footnoteReference w:id="35"/>
      </w:r>
      <w:r>
        <w:t xml:space="preserve"> </w:t>
      </w:r>
      <w:r w:rsidRPr="004B4D1E">
        <w:t xml:space="preserve">All other types of objects must be considered on an individual basis. This has proved problematic for </w:t>
      </w:r>
      <w:r>
        <w:t>owners and those responsible for</w:t>
      </w:r>
      <w:r w:rsidRPr="004B4D1E">
        <w:t xml:space="preserve"> significance assessment</w:t>
      </w:r>
      <w:r>
        <w:t xml:space="preserve"> and decision-making</w:t>
      </w:r>
      <w:r w:rsidRPr="004B4D1E">
        <w:t>.</w:t>
      </w:r>
    </w:p>
    <w:p w14:paraId="18F447B6" w14:textId="77777777" w:rsidR="00AA7153" w:rsidRDefault="001A20CD" w:rsidP="001A20CD">
      <w:r>
        <w:t>Some collections</w:t>
      </w:r>
      <w:r w:rsidRPr="004B4D1E">
        <w:t xml:space="preserve"> may run into hundreds of thousands of individual objects, more or less organised into a whole.</w:t>
      </w:r>
      <w:r>
        <w:rPr>
          <w:rStyle w:val="FootnoteReference"/>
        </w:rPr>
        <w:footnoteReference w:id="36"/>
      </w:r>
      <w:r>
        <w:t xml:space="preserve"> </w:t>
      </w:r>
      <w:r w:rsidRPr="004B4D1E">
        <w:t xml:space="preserve">For each of these constituent </w:t>
      </w:r>
      <w:r>
        <w:t>parts</w:t>
      </w:r>
      <w:r w:rsidRPr="004B4D1E">
        <w:t xml:space="preserve"> to be the subject of a separate application, individually assessed, and individually issued (or denied) a permit is an impractica</w:t>
      </w:r>
      <w:r>
        <w:t>ble, administrative nightmare.</w:t>
      </w:r>
    </w:p>
    <w:p w14:paraId="72F96AFE" w14:textId="266C0478" w:rsidR="001A20CD" w:rsidRDefault="001A20CD" w:rsidP="001A20CD">
      <w:r>
        <w:t>For example, i</w:t>
      </w:r>
      <w:r w:rsidRPr="004B4D1E">
        <w:t xml:space="preserve">t </w:t>
      </w:r>
      <w:r>
        <w:t>would be</w:t>
      </w:r>
      <w:r w:rsidRPr="004B4D1E">
        <w:t xml:space="preserve"> inequitable to force the owner of </w:t>
      </w:r>
      <w:r>
        <w:t>a massive documentary</w:t>
      </w:r>
      <w:r w:rsidRPr="004B4D1E">
        <w:t xml:space="preserve"> archive to retain the whole to protect against the possibility that the collection may contain some ind</w:t>
      </w:r>
      <w:r>
        <w:t>ividual items of significance. O</w:t>
      </w:r>
      <w:r w:rsidRPr="004B4D1E">
        <w:t xml:space="preserve">n the other hand, it would be a loss to </w:t>
      </w:r>
      <w:r w:rsidRPr="004B4D1E">
        <w:lastRenderedPageBreak/>
        <w:t>the nation if such individual s</w:t>
      </w:r>
      <w:r>
        <w:t>pecimens of importance were not protected</w:t>
      </w:r>
      <w:r w:rsidRPr="004B4D1E">
        <w:t xml:space="preserve"> just because it was expensive to identify and save them. It is a difficult balance.</w:t>
      </w:r>
    </w:p>
    <w:p w14:paraId="5456A48A" w14:textId="77777777" w:rsidR="00AA7153" w:rsidRDefault="001A20CD" w:rsidP="001A20CD">
      <w:r>
        <w:t>It must be recognised that documents may accrue significance from inclusion within a collection or due to the collection’s</w:t>
      </w:r>
      <w:r w:rsidRPr="004B4D1E">
        <w:t xml:space="preserve"> </w:t>
      </w:r>
      <w:r>
        <w:t xml:space="preserve">relationship </w:t>
      </w:r>
      <w:r w:rsidRPr="004B4D1E">
        <w:t>to other objects</w:t>
      </w:r>
      <w:r>
        <w:t>. However, e</w:t>
      </w:r>
      <w:r w:rsidRPr="004B4D1E">
        <w:t xml:space="preserve">xtending the concept of collections to </w:t>
      </w:r>
      <w:r>
        <w:t>material</w:t>
      </w:r>
      <w:r w:rsidRPr="004B4D1E">
        <w:t xml:space="preserve"> that cross</w:t>
      </w:r>
      <w:r>
        <w:t>es</w:t>
      </w:r>
      <w:r w:rsidRPr="004B4D1E">
        <w:t xml:space="preserve"> multiple parts of the Control List runs into practical difficulties. Questions of which monetary threshold criteria would apply, which </w:t>
      </w:r>
      <w:r>
        <w:t>Assessors</w:t>
      </w:r>
      <w:r w:rsidRPr="004B4D1E">
        <w:t xml:space="preserve"> would be qualified to assess them and how adequate representation would be assessed</w:t>
      </w:r>
      <w:r>
        <w:t>,</w:t>
      </w:r>
      <w:r w:rsidRPr="004B4D1E">
        <w:t xml:space="preserve"> may mean that a whole collection could be denied export on the basis of a single, high-significance </w:t>
      </w:r>
      <w:r>
        <w:t>piece</w:t>
      </w:r>
      <w:r w:rsidRPr="004B4D1E">
        <w:t xml:space="preserve"> within it. This would result in unintended consequences: </w:t>
      </w:r>
      <w:r>
        <w:t xml:space="preserve">(a) </w:t>
      </w:r>
      <w:r w:rsidRPr="004B4D1E">
        <w:t xml:space="preserve">a higher regulatory burden on applicants, and </w:t>
      </w:r>
      <w:r>
        <w:t xml:space="preserve">(b) </w:t>
      </w:r>
      <w:r w:rsidRPr="004B4D1E">
        <w:t xml:space="preserve">the </w:t>
      </w:r>
      <w:r>
        <w:t>unnecessary protection of material and thus an unjustifiable restriction of ownership</w:t>
      </w:r>
      <w:r w:rsidRPr="00F45BF1">
        <w:t xml:space="preserve"> </w:t>
      </w:r>
      <w:r>
        <w:t>rights</w:t>
      </w:r>
      <w:r w:rsidRPr="004B4D1E">
        <w:t>.</w:t>
      </w:r>
    </w:p>
    <w:p w14:paraId="0D0E8781" w14:textId="6E6FDBF8" w:rsidR="001A20CD" w:rsidRDefault="001A20CD" w:rsidP="001A20CD">
      <w:r>
        <w:t>In contrast, an argument can readily be made for allowing single applications for collections of a single object-type, such as a collection of documents or type specimens.</w:t>
      </w:r>
    </w:p>
    <w:p w14:paraId="7E3C91D4" w14:textId="77777777" w:rsidR="00AA7153" w:rsidRDefault="001A20CD" w:rsidP="001A20CD">
      <w:r w:rsidRPr="004B4D1E">
        <w:t xml:space="preserve">For these reasons, </w:t>
      </w:r>
      <w:r>
        <w:t>the new model stipulates</w:t>
      </w:r>
      <w:r w:rsidRPr="004B4D1E">
        <w:t xml:space="preserve"> that only collections of </w:t>
      </w:r>
      <w:r>
        <w:t>material falling within one Part of the Control List</w:t>
      </w:r>
      <w:r w:rsidRPr="004B4D1E">
        <w:t xml:space="preserve"> </w:t>
      </w:r>
      <w:r>
        <w:t>can</w:t>
      </w:r>
      <w:r w:rsidRPr="004B4D1E">
        <w:t xml:space="preserve"> be assessed </w:t>
      </w:r>
      <w:r>
        <w:t xml:space="preserve">under a single application and granted </w:t>
      </w:r>
      <w:r w:rsidRPr="004B4D1E">
        <w:t>a single permit. Of course</w:t>
      </w:r>
      <w:r>
        <w:t>,</w:t>
      </w:r>
      <w:r w:rsidRPr="004B4D1E">
        <w:t xml:space="preserve"> should they choose, owners </w:t>
      </w:r>
      <w:r>
        <w:t xml:space="preserve">would be able </w:t>
      </w:r>
      <w:r w:rsidRPr="004B4D1E">
        <w:t>to break their collection into sub-collections of single types of objects for assessment</w:t>
      </w:r>
      <w:r>
        <w:t xml:space="preserve"> as single type collections</w:t>
      </w:r>
      <w:r w:rsidRPr="004B4D1E">
        <w:t>.</w:t>
      </w:r>
    </w:p>
    <w:p w14:paraId="6D77FA50" w14:textId="1AF32E1B" w:rsidR="001A20CD" w:rsidRPr="001D3FB2" w:rsidRDefault="001A20CD" w:rsidP="001D3FB2">
      <w:pPr>
        <w:pStyle w:val="Heading3"/>
      </w:pPr>
      <w:r w:rsidRPr="001D3FB2">
        <w:t>Treatment of parts</w:t>
      </w:r>
    </w:p>
    <w:p w14:paraId="2ECAC766" w14:textId="79FF32C8" w:rsidR="001A20CD" w:rsidRPr="00FB0D3A" w:rsidRDefault="001A20CD" w:rsidP="001A20CD">
      <w:r w:rsidRPr="00FB0D3A">
        <w:t>A related issue is the treatment of parts of objects</w:t>
      </w:r>
      <w:r w:rsidR="00244279">
        <w:t>. Under the current R</w:t>
      </w:r>
      <w:r>
        <w:t>egulations,</w:t>
      </w:r>
      <w:r w:rsidRPr="00FB0D3A">
        <w:t xml:space="preserve"> </w:t>
      </w:r>
      <w:r>
        <w:t>as with ‘collections’,</w:t>
      </w:r>
      <w:r w:rsidRPr="00FB0D3A">
        <w:t xml:space="preserve"> some sections of the Control List explicitly include </w:t>
      </w:r>
      <w:r>
        <w:t>‘</w:t>
      </w:r>
      <w:r w:rsidRPr="00FB0D3A">
        <w:t>parts</w:t>
      </w:r>
      <w:r>
        <w:t>’</w:t>
      </w:r>
      <w:r w:rsidRPr="00FB0D3A">
        <w:t xml:space="preserve"> of objects, while others are silent. Standard interpretation of this has been that parts</w:t>
      </w:r>
      <w:r>
        <w:t xml:space="preserve"> of objects</w:t>
      </w:r>
      <w:r w:rsidRPr="00FB0D3A">
        <w:t xml:space="preserve"> are only considered</w:t>
      </w:r>
      <w:r>
        <w:t xml:space="preserve"> for protection</w:t>
      </w:r>
      <w:r w:rsidRPr="00FB0D3A">
        <w:t xml:space="preserve"> </w:t>
      </w:r>
      <w:r>
        <w:t>if the relevant</w:t>
      </w:r>
      <w:r w:rsidRPr="00FB0D3A">
        <w:t xml:space="preserve"> </w:t>
      </w:r>
      <w:r>
        <w:t>category</w:t>
      </w:r>
      <w:r w:rsidRPr="00FB0D3A">
        <w:t xml:space="preserve"> </w:t>
      </w:r>
      <w:r>
        <w:t>explicitly mentions ‘parts’</w:t>
      </w:r>
      <w:r w:rsidRPr="00FB0D3A">
        <w:t>.</w:t>
      </w:r>
    </w:p>
    <w:p w14:paraId="34506E7F" w14:textId="5157D9ED" w:rsidR="001A20CD" w:rsidRPr="00FB0D3A" w:rsidRDefault="001A20CD" w:rsidP="001A20CD">
      <w:r>
        <w:t>Concern has been repeatedly raised</w:t>
      </w:r>
      <w:r w:rsidRPr="00FB0D3A">
        <w:t xml:space="preserve"> that the lack of consistency on this issue has led to </w:t>
      </w:r>
      <w:r>
        <w:t xml:space="preserve">items </w:t>
      </w:r>
      <w:r w:rsidRPr="00FB0D3A">
        <w:t>being dismantled</w:t>
      </w:r>
      <w:r>
        <w:t xml:space="preserve"> for export to avoid regulation. This concern has been particularly important in respect of machinery relating to agriculture, transport and war. It</w:t>
      </w:r>
      <w:r w:rsidRPr="00FB0D3A">
        <w:t xml:space="preserve"> has become a pathway for the scurrilous: </w:t>
      </w:r>
      <w:r>
        <w:t xml:space="preserve">there are several reports of </w:t>
      </w:r>
      <w:r w:rsidRPr="00FB0D3A">
        <w:t xml:space="preserve">World War </w:t>
      </w:r>
      <w:r>
        <w:t>II</w:t>
      </w:r>
      <w:r w:rsidRPr="00FB0D3A">
        <w:t xml:space="preserve"> fighter aircraft, rare traction en</w:t>
      </w:r>
      <w:r>
        <w:t>gines and vintage cars leaving</w:t>
      </w:r>
      <w:r w:rsidRPr="00FB0D3A">
        <w:t xml:space="preserve"> the country in boxes </w:t>
      </w:r>
      <w:r w:rsidRPr="00FB0D3A">
        <w:lastRenderedPageBreak/>
        <w:t>labelled scrap or spare parts only to be reassembled in</w:t>
      </w:r>
      <w:r w:rsidR="00DA564D">
        <w:t xml:space="preserve"> other</w:t>
      </w:r>
      <w:r w:rsidRPr="00FB0D3A">
        <w:t xml:space="preserve"> jurisdictions where they are then sold.</w:t>
      </w:r>
    </w:p>
    <w:p w14:paraId="2326209C" w14:textId="1EAEDC7F" w:rsidR="00AA7153" w:rsidRDefault="001A20CD" w:rsidP="001A20CD">
      <w:r w:rsidRPr="00FB0D3A">
        <w:t xml:space="preserve">While this is an obvious issue for objects </w:t>
      </w:r>
      <w:r>
        <w:t>such as vintage machinery</w:t>
      </w:r>
      <w:r w:rsidRPr="00FB0D3A">
        <w:t xml:space="preserve">, it can affect many other categories. Rather than address it on an item-by-item basis it would be much </w:t>
      </w:r>
      <w:r>
        <w:t>simpler</w:t>
      </w:r>
      <w:r w:rsidRPr="00FB0D3A">
        <w:t xml:space="preserve"> to articulate the principle and apply it to all categories so that it is clear to </w:t>
      </w:r>
      <w:r>
        <w:t>everyone that dismantling, breaking up or</w:t>
      </w:r>
      <w:r w:rsidRPr="00FB0D3A">
        <w:t xml:space="preserve"> separating cultural property is not a way of avoiding the legislation</w:t>
      </w:r>
      <w:r w:rsidR="00801A32">
        <w:t>—</w:t>
      </w:r>
      <w:r w:rsidRPr="00FB0D3A">
        <w:t xml:space="preserve">or its policy intent. </w:t>
      </w:r>
      <w:r>
        <w:t>Accordingly, there should be created a separate criminal offence and accompanying sanctions, to address this issue.</w:t>
      </w:r>
    </w:p>
    <w:p w14:paraId="742A3FA4" w14:textId="77777777" w:rsidR="00AA7153" w:rsidRDefault="001A20CD" w:rsidP="0011369F">
      <w:r>
        <w:t>Moreover, in drafting it must be clearly articulated</w:t>
      </w:r>
      <w:r w:rsidR="00B23B74">
        <w:t xml:space="preserve"> that</w:t>
      </w:r>
      <w:r>
        <w:t xml:space="preserve"> protection is provided to all parts or components on the same basis as the whole from which they came. If parts of significant material are treated differently from the whole, not only is it an incentive to dismantle and dis</w:t>
      </w:r>
      <w:r w:rsidR="00DA564D">
        <w:t>as</w:t>
      </w:r>
      <w:r>
        <w:t>semble, it means that the availability of spares necessary to repair and maintain is diminished</w:t>
      </w:r>
      <w:r w:rsidR="00DA564D">
        <w:t>,</w:t>
      </w:r>
      <w:r>
        <w:t xml:space="preserve"> thus affecting the integrity of other significant cultural objects.</w:t>
      </w:r>
    </w:p>
    <w:p w14:paraId="77E3C3B7" w14:textId="08BDCB3B" w:rsidR="0011369F" w:rsidRPr="001D3FB2" w:rsidRDefault="0011369F" w:rsidP="001D3FB2">
      <w:pPr>
        <w:pStyle w:val="Heading3"/>
      </w:pPr>
      <w:r w:rsidRPr="001D3FB2">
        <w:t>Specificity of Parts</w:t>
      </w:r>
    </w:p>
    <w:p w14:paraId="77D831D9" w14:textId="2EE0809F" w:rsidR="0011369F" w:rsidRPr="00FB7544" w:rsidRDefault="0011369F" w:rsidP="0011369F">
      <w:pPr>
        <w:rPr>
          <w:color w:val="000000"/>
        </w:rPr>
      </w:pPr>
      <w:r w:rsidRPr="00FB7544">
        <w:rPr>
          <w:color w:val="000000"/>
        </w:rPr>
        <w:t>In the current scheme, some Parts of the Control List specifically exclude material in an effort to limit objects</w:t>
      </w:r>
      <w:r w:rsidR="00504E08">
        <w:rPr>
          <w:color w:val="000000"/>
        </w:rPr>
        <w:t xml:space="preserve"> falling under multiple Parts. </w:t>
      </w:r>
      <w:r w:rsidRPr="00FB7544">
        <w:rPr>
          <w:color w:val="000000"/>
        </w:rPr>
        <w:t>For example, Part 4 (‘Objects of Applied Science or Technology’) exclude</w:t>
      </w:r>
      <w:r>
        <w:rPr>
          <w:color w:val="000000"/>
        </w:rPr>
        <w:t>s</w:t>
      </w:r>
      <w:r w:rsidRPr="00FB7544">
        <w:rPr>
          <w:color w:val="000000"/>
        </w:rPr>
        <w:t xml:space="preserve"> objects a</w:t>
      </w:r>
      <w:r>
        <w:rPr>
          <w:color w:val="000000"/>
        </w:rPr>
        <w:t>rising from ‘Artistic activity’:</w:t>
      </w:r>
    </w:p>
    <w:p w14:paraId="3BFD411A" w14:textId="1E90534D" w:rsidR="0011369F" w:rsidRPr="0011369F" w:rsidRDefault="0011369F" w:rsidP="00AB6407">
      <w:pPr>
        <w:widowControl w:val="0"/>
        <w:tabs>
          <w:tab w:val="right" w:pos="567"/>
        </w:tabs>
        <w:autoSpaceDE w:val="0"/>
        <w:autoSpaceDN w:val="0"/>
        <w:adjustRightInd w:val="0"/>
        <w:spacing w:before="180" w:after="120"/>
        <w:ind w:left="567"/>
        <w:jc w:val="both"/>
        <w:rPr>
          <w:rFonts w:cs="Arial"/>
          <w:i/>
          <w:sz w:val="20"/>
          <w:szCs w:val="20"/>
          <w:lang w:val="en-US"/>
        </w:rPr>
      </w:pPr>
      <w:r w:rsidRPr="0011369F">
        <w:rPr>
          <w:rFonts w:cs="Arial"/>
          <w:i/>
          <w:sz w:val="20"/>
          <w:szCs w:val="20"/>
          <w:lang w:val="en-US"/>
        </w:rPr>
        <w:t xml:space="preserve">4.2: The objects in this category relate to human enterprise and activity, </w:t>
      </w:r>
      <w:r w:rsidRPr="0011369F">
        <w:rPr>
          <w:rFonts w:cs="Arial"/>
          <w:b/>
          <w:i/>
          <w:sz w:val="20"/>
          <w:szCs w:val="20"/>
          <w:lang w:val="en-US"/>
        </w:rPr>
        <w:t>other than artistic activity</w:t>
      </w:r>
      <w:r w:rsidRPr="0011369F">
        <w:rPr>
          <w:rFonts w:cs="Arial"/>
          <w:i/>
          <w:sz w:val="20"/>
          <w:szCs w:val="20"/>
          <w:lang w:val="en-US"/>
        </w:rPr>
        <w:t>, such as:</w:t>
      </w:r>
    </w:p>
    <w:p w14:paraId="7DB7523E" w14:textId="49F760F8" w:rsidR="0011369F" w:rsidRPr="0011369F" w:rsidRDefault="0011369F" w:rsidP="00AB6407">
      <w:pPr>
        <w:widowControl w:val="0"/>
        <w:autoSpaceDE w:val="0"/>
        <w:autoSpaceDN w:val="0"/>
        <w:adjustRightInd w:val="0"/>
        <w:spacing w:before="60" w:after="120"/>
        <w:ind w:left="1560" w:hanging="567"/>
        <w:jc w:val="both"/>
        <w:rPr>
          <w:rFonts w:cs="Arial"/>
          <w:i/>
          <w:sz w:val="20"/>
          <w:szCs w:val="20"/>
          <w:lang w:val="en-US"/>
        </w:rPr>
      </w:pPr>
      <w:r w:rsidRPr="0011369F">
        <w:rPr>
          <w:rFonts w:cs="Arial"/>
          <w:i/>
          <w:sz w:val="20"/>
          <w:szCs w:val="20"/>
          <w:lang w:val="en-US"/>
        </w:rPr>
        <w:t>(a)</w:t>
      </w:r>
      <w:r w:rsidRPr="0011369F">
        <w:rPr>
          <w:rFonts w:cs="Arial"/>
          <w:i/>
          <w:sz w:val="20"/>
          <w:szCs w:val="20"/>
          <w:lang w:val="en-US"/>
        </w:rPr>
        <w:tab/>
      </w:r>
      <w:proofErr w:type="gramStart"/>
      <w:r w:rsidRPr="0011369F">
        <w:rPr>
          <w:rFonts w:cs="Arial"/>
          <w:i/>
          <w:sz w:val="20"/>
          <w:szCs w:val="20"/>
          <w:lang w:val="en-US"/>
        </w:rPr>
        <w:t>tools</w:t>
      </w:r>
      <w:proofErr w:type="gramEnd"/>
      <w:r w:rsidRPr="0011369F">
        <w:rPr>
          <w:rFonts w:cs="Arial"/>
          <w:i/>
          <w:sz w:val="20"/>
          <w:szCs w:val="20"/>
          <w:lang w:val="en-US"/>
        </w:rPr>
        <w:t>, weapons, implements and machines; and</w:t>
      </w:r>
    </w:p>
    <w:p w14:paraId="44D0B420" w14:textId="324FF1DF" w:rsidR="00B51AD0" w:rsidRDefault="0011369F" w:rsidP="00AB6407">
      <w:pPr>
        <w:widowControl w:val="0"/>
        <w:autoSpaceDE w:val="0"/>
        <w:autoSpaceDN w:val="0"/>
        <w:adjustRightInd w:val="0"/>
        <w:spacing w:before="60" w:after="120"/>
        <w:ind w:left="1560" w:hanging="567"/>
        <w:jc w:val="both"/>
        <w:rPr>
          <w:rFonts w:cs="Arial"/>
          <w:i/>
          <w:sz w:val="20"/>
          <w:szCs w:val="20"/>
          <w:lang w:val="en-US"/>
        </w:rPr>
      </w:pPr>
      <w:r w:rsidRPr="0011369F">
        <w:rPr>
          <w:rFonts w:cs="Arial"/>
          <w:i/>
          <w:sz w:val="20"/>
          <w:szCs w:val="20"/>
          <w:lang w:val="en-US"/>
        </w:rPr>
        <w:t>(b)</w:t>
      </w:r>
      <w:r w:rsidRPr="0011369F">
        <w:rPr>
          <w:rFonts w:cs="Arial"/>
          <w:i/>
          <w:sz w:val="20"/>
          <w:szCs w:val="20"/>
          <w:lang w:val="en-US"/>
        </w:rPr>
        <w:tab/>
      </w:r>
      <w:proofErr w:type="gramStart"/>
      <w:r w:rsidRPr="0011369F">
        <w:rPr>
          <w:rFonts w:cs="Arial"/>
          <w:i/>
          <w:sz w:val="20"/>
          <w:szCs w:val="20"/>
          <w:lang w:val="en-US"/>
        </w:rPr>
        <w:t>any</w:t>
      </w:r>
      <w:proofErr w:type="gramEnd"/>
      <w:r w:rsidRPr="0011369F">
        <w:rPr>
          <w:rFonts w:cs="Arial"/>
          <w:i/>
          <w:sz w:val="20"/>
          <w:szCs w:val="20"/>
          <w:lang w:val="en-US"/>
        </w:rPr>
        <w:t xml:space="preserve"> other object produced by, or related to, an object of the kind mentioned in paragraph</w:t>
      </w:r>
    </w:p>
    <w:p w14:paraId="7CDAFF85" w14:textId="36DE75B7" w:rsidR="0011369F" w:rsidRPr="00B51AD0" w:rsidRDefault="0011369F" w:rsidP="00AB6407">
      <w:pPr>
        <w:widowControl w:val="0"/>
        <w:tabs>
          <w:tab w:val="left" w:pos="1134"/>
        </w:tabs>
        <w:autoSpaceDE w:val="0"/>
        <w:autoSpaceDN w:val="0"/>
        <w:adjustRightInd w:val="0"/>
        <w:spacing w:before="60" w:after="120"/>
        <w:ind w:left="1560" w:hanging="567"/>
        <w:jc w:val="both"/>
        <w:rPr>
          <w:rFonts w:cs="Arial"/>
          <w:i/>
          <w:sz w:val="20"/>
          <w:szCs w:val="20"/>
          <w:lang w:val="en-US"/>
        </w:rPr>
      </w:pPr>
      <w:r w:rsidRPr="0011369F">
        <w:rPr>
          <w:rFonts w:cs="Arial"/>
          <w:i/>
          <w:sz w:val="20"/>
          <w:szCs w:val="20"/>
          <w:lang w:val="en-US"/>
        </w:rPr>
        <w:t xml:space="preserve">(a) </w:t>
      </w:r>
      <w:proofErr w:type="gramStart"/>
      <w:r w:rsidRPr="0011369F">
        <w:rPr>
          <w:rFonts w:cs="Arial"/>
          <w:i/>
          <w:sz w:val="20"/>
          <w:szCs w:val="20"/>
          <w:lang w:val="en-US"/>
        </w:rPr>
        <w:t>including</w:t>
      </w:r>
      <w:proofErr w:type="gramEnd"/>
      <w:r w:rsidRPr="0011369F">
        <w:rPr>
          <w:rFonts w:cs="Arial"/>
          <w:i/>
          <w:sz w:val="20"/>
          <w:szCs w:val="20"/>
          <w:lang w:val="en-US"/>
        </w:rPr>
        <w:t xml:space="preserve"> prototypes, models, patents and equipment.</w:t>
      </w:r>
    </w:p>
    <w:p w14:paraId="71C1EEDE" w14:textId="015D2A1B" w:rsidR="00AA7153" w:rsidRDefault="0011369F" w:rsidP="0011369F">
      <w:r>
        <w:t>As with the treatment of collections and parts, this is only applied to the Parts and material where it is specifically mentioned. This</w:t>
      </w:r>
      <w:r w:rsidRPr="00FB0D3A">
        <w:t xml:space="preserve"> does not go far enough</w:t>
      </w:r>
      <w:r>
        <w:t xml:space="preserve">. </w:t>
      </w:r>
      <w:r>
        <w:rPr>
          <w:color w:val="000000"/>
        </w:rPr>
        <w:t>In particular, t</w:t>
      </w:r>
      <w:r w:rsidRPr="00FB0D3A">
        <w:rPr>
          <w:color w:val="000000"/>
        </w:rPr>
        <w:t xml:space="preserve">he present situation whereby </w:t>
      </w:r>
      <w:r>
        <w:rPr>
          <w:color w:val="000000"/>
        </w:rPr>
        <w:t>material</w:t>
      </w:r>
      <w:r w:rsidRPr="00FB0D3A">
        <w:rPr>
          <w:color w:val="000000"/>
        </w:rPr>
        <w:t xml:space="preserve"> may need to be assessed under up to five different categories needs to be held in check. The significance test should not be seen as cumulative</w:t>
      </w:r>
      <w:r w:rsidR="00801A32">
        <w:rPr>
          <w:color w:val="000000"/>
        </w:rPr>
        <w:t>—</w:t>
      </w:r>
      <w:r w:rsidRPr="00FB0D3A">
        <w:rPr>
          <w:color w:val="000000"/>
        </w:rPr>
        <w:t xml:space="preserve">being 'quite interesting' in several categories cannot add up to being 'significant' overall. </w:t>
      </w:r>
      <w:r>
        <w:rPr>
          <w:color w:val="000000"/>
        </w:rPr>
        <w:t xml:space="preserve">Accordingly, </w:t>
      </w:r>
      <w:r>
        <w:t>the model does not allow material to be considered under multiple Parts.</w:t>
      </w:r>
    </w:p>
    <w:p w14:paraId="38FE590F" w14:textId="566FAB4C" w:rsidR="0011369F" w:rsidRDefault="0011369F" w:rsidP="001A20CD">
      <w:r>
        <w:lastRenderedPageBreak/>
        <w:t>However, it should be noted that consideration should be given to the most relevant Part to the specific material being considered.</w:t>
      </w:r>
      <w:r w:rsidR="00801A32">
        <w:t xml:space="preserve"> </w:t>
      </w:r>
      <w:r>
        <w:t>Continuing with the example of artistic activity, s</w:t>
      </w:r>
      <w:r w:rsidRPr="00FB0D3A">
        <w:t>ome of the very important developments in the world of art and design are in the field of applied science and technology. For example, the wo</w:t>
      </w:r>
      <w:r>
        <w:t>rld-class immersive and visualis</w:t>
      </w:r>
      <w:r w:rsidRPr="00FB0D3A">
        <w:t xml:space="preserve">ation technologies being developed and applied within the UNSW Faculty of Art </w:t>
      </w:r>
      <w:r w:rsidR="00244279">
        <w:t>&amp;</w:t>
      </w:r>
      <w:r w:rsidRPr="00FB0D3A">
        <w:t xml:space="preserve"> Design cut across traditional boundaries and are being implemented in museums, research laboratories, operating theatre</w:t>
      </w:r>
      <w:r>
        <w:t>s and many other environments. I</w:t>
      </w:r>
      <w:r w:rsidRPr="00FB0D3A">
        <w:t xml:space="preserve">t is 'artistic activity' but not a </w:t>
      </w:r>
      <w:r>
        <w:t xml:space="preserve">specific </w:t>
      </w:r>
      <w:r w:rsidRPr="00FB0D3A">
        <w:t xml:space="preserve">activity that could have been contemplated when the Act was first drafted. </w:t>
      </w:r>
      <w:r>
        <w:t>The</w:t>
      </w:r>
      <w:r w:rsidRPr="00FB0D3A">
        <w:t xml:space="preserve"> new provision take</w:t>
      </w:r>
      <w:r>
        <w:t>s</w:t>
      </w:r>
      <w:r w:rsidRPr="00FB0D3A">
        <w:t xml:space="preserve"> into account a distinction between the means and the product: it is the means that may be protected under </w:t>
      </w:r>
      <w:r>
        <w:t>Part 4.3 (Applied Science and Technology Material)</w:t>
      </w:r>
      <w:r w:rsidRPr="00FB0D3A">
        <w:t xml:space="preserve">, whereas the product is properly </w:t>
      </w:r>
      <w:r>
        <w:t>protected under the new Part 3 (</w:t>
      </w:r>
      <w:r w:rsidRPr="00FB0D3A">
        <w:t>Visual Arts, Craft and Design</w:t>
      </w:r>
      <w:r>
        <w:t xml:space="preserve"> Material</w:t>
      </w:r>
      <w:r w:rsidRPr="00FB0D3A">
        <w:t>).</w:t>
      </w:r>
    </w:p>
    <w:p w14:paraId="1BBBCAB3" w14:textId="77777777" w:rsidR="001A20CD" w:rsidRPr="00070287" w:rsidRDefault="001A20CD" w:rsidP="00052178">
      <w:pPr>
        <w:pStyle w:val="Heading2"/>
      </w:pPr>
      <w:bookmarkStart w:id="61" w:name="_Toc423334278"/>
      <w:bookmarkStart w:id="62" w:name="_Toc430867342"/>
      <w:bookmarkStart w:id="63" w:name="_Toc433906588"/>
      <w:bookmarkEnd w:id="54"/>
      <w:bookmarkEnd w:id="55"/>
      <w:r>
        <w:t>Significance and r</w:t>
      </w:r>
      <w:r w:rsidRPr="00070287">
        <w:t>epresentation</w:t>
      </w:r>
      <w:bookmarkEnd w:id="61"/>
      <w:bookmarkEnd w:id="62"/>
      <w:bookmarkEnd w:id="63"/>
    </w:p>
    <w:p w14:paraId="0E5BE49C" w14:textId="77777777" w:rsidR="001A20CD" w:rsidRPr="001D3FB2" w:rsidRDefault="001A20CD" w:rsidP="001D3FB2">
      <w:pPr>
        <w:pStyle w:val="Heading3"/>
      </w:pPr>
      <w:r w:rsidRPr="001D3FB2">
        <w:t>What is significant?</w:t>
      </w:r>
    </w:p>
    <w:p w14:paraId="666A8D42" w14:textId="77777777" w:rsidR="00AA7153" w:rsidRDefault="001A20CD" w:rsidP="001D3FB2">
      <w:pPr>
        <w:pStyle w:val="Heading4"/>
      </w:pPr>
      <w:r w:rsidRPr="001D3FB2">
        <w:t>The problem</w:t>
      </w:r>
    </w:p>
    <w:p w14:paraId="1A949236" w14:textId="77777777" w:rsidR="00AA7153" w:rsidRDefault="001A20CD" w:rsidP="001A20CD">
      <w:r>
        <w:t>The concept of cultural significance must be</w:t>
      </w:r>
      <w:r w:rsidRPr="0075033E">
        <w:t xml:space="preserve"> at the heart of </w:t>
      </w:r>
      <w:r>
        <w:t xml:space="preserve">any legislative scheme as to </w:t>
      </w:r>
      <w:r w:rsidRPr="0075033E">
        <w:t>how objects are judged</w:t>
      </w:r>
      <w:r>
        <w:t xml:space="preserve"> and why they are denied export. Unfortunately, in the current legislation </w:t>
      </w:r>
      <w:r w:rsidRPr="0075033E">
        <w:t xml:space="preserve">the meaning of the term </w:t>
      </w:r>
      <w:r>
        <w:t xml:space="preserve">‘significance’ </w:t>
      </w:r>
      <w:r w:rsidRPr="0075033E">
        <w:t>and the process</w:t>
      </w:r>
      <w:r>
        <w:t xml:space="preserve"> and principles</w:t>
      </w:r>
      <w:r w:rsidRPr="0075033E">
        <w:t xml:space="preserve"> </w:t>
      </w:r>
      <w:r>
        <w:t>by which it is evaluated</w:t>
      </w:r>
      <w:r w:rsidRPr="0075033E">
        <w:t xml:space="preserve"> is unclear and confusing, particularly for private owners of objects.</w:t>
      </w:r>
    </w:p>
    <w:p w14:paraId="6E7043A6" w14:textId="20B9FFBC" w:rsidR="001A20CD" w:rsidRDefault="001A20CD" w:rsidP="001A20CD">
      <w:r>
        <w:t>In the current Act</w:t>
      </w:r>
      <w:r w:rsidR="00E64026">
        <w:t>,</w:t>
      </w:r>
      <w:r>
        <w:t xml:space="preserve"> subsection</w:t>
      </w:r>
      <w:r w:rsidRPr="0075033E">
        <w:t xml:space="preserve"> 7(1) </w:t>
      </w:r>
      <w:r>
        <w:t>states that objects controlled by the Act are</w:t>
      </w:r>
      <w:r w:rsidRPr="0075033E">
        <w:t xml:space="preserve"> those ‘that are of importance to Australia, or to a particular part of Australia’</w:t>
      </w:r>
      <w:r>
        <w:t>. That is a positive test. Unhelpfully, subsection 10(6</w:t>
      </w:r>
      <w:proofErr w:type="gramStart"/>
      <w:r>
        <w:t>)(</w:t>
      </w:r>
      <w:proofErr w:type="gramEnd"/>
      <w:r>
        <w:t xml:space="preserve">b) then provides that the decision-maker must be satisfied that ‘its loss to Australia </w:t>
      </w:r>
      <w:r w:rsidRPr="0075033E">
        <w:t xml:space="preserve">would significantly diminish the </w:t>
      </w:r>
      <w:r>
        <w:t>cultural heritage of Australia’. That is a negative test.</w:t>
      </w:r>
    </w:p>
    <w:p w14:paraId="63E027B2" w14:textId="1B1131D1" w:rsidR="001A20CD" w:rsidRPr="00FB0D3A" w:rsidRDefault="001A20CD" w:rsidP="001A20CD">
      <w:r>
        <w:t>To contribute to the difficulty, the Regulations set out a Control List in which each Part provides different factors for assessing significance</w:t>
      </w:r>
      <w:r w:rsidR="00801A32">
        <w:t>—</w:t>
      </w:r>
      <w:r>
        <w:t xml:space="preserve">factors that are characterised by </w:t>
      </w:r>
      <w:r w:rsidRPr="0075033E">
        <w:rPr>
          <w:rFonts w:eastAsiaTheme="minorEastAsia"/>
        </w:rPr>
        <w:t>in</w:t>
      </w:r>
      <w:r>
        <w:rPr>
          <w:rFonts w:eastAsiaTheme="minorEastAsia"/>
        </w:rPr>
        <w:t>consistencies and omissions.</w:t>
      </w:r>
    </w:p>
    <w:p w14:paraId="055E9DD1" w14:textId="25210207" w:rsidR="00AA7153" w:rsidRDefault="00244279" w:rsidP="001A20CD">
      <w:r>
        <w:rPr>
          <w:rFonts w:eastAsiaTheme="minorEastAsia"/>
        </w:rPr>
        <w:t>The current D</w:t>
      </w:r>
      <w:r w:rsidR="001A20CD">
        <w:rPr>
          <w:rFonts w:eastAsiaTheme="minorEastAsia"/>
        </w:rPr>
        <w:t xml:space="preserve">epartmental Guidelines given to </w:t>
      </w:r>
      <w:r w:rsidR="001A20CD" w:rsidRPr="0075033E">
        <w:t>expert examiner</w:t>
      </w:r>
      <w:r w:rsidR="001A20CD">
        <w:t>s attempt to give</w:t>
      </w:r>
      <w:r w:rsidR="001A20CD" w:rsidRPr="0075033E">
        <w:t xml:space="preserve"> guidance on how to assess significance </w:t>
      </w:r>
      <w:r w:rsidR="001A20CD">
        <w:t xml:space="preserve">but that is just a makeshift response to a more </w:t>
      </w:r>
      <w:r w:rsidR="001A20CD">
        <w:lastRenderedPageBreak/>
        <w:t>profound problem with the legislation. Because there is no clear definition of significance provided, the legal basis for export decisions is too readily open to challenge.</w:t>
      </w:r>
    </w:p>
    <w:p w14:paraId="355E0A5C" w14:textId="77777777" w:rsidR="00AA7153" w:rsidRDefault="001A20CD" w:rsidP="001A20CD">
      <w:r>
        <w:t>A</w:t>
      </w:r>
      <w:r w:rsidRPr="0075033E">
        <w:t xml:space="preserve"> number of decisions of the Administrative Appeals Tribunal have tackle</w:t>
      </w:r>
      <w:r>
        <w:t>d the meaning of significance and</w:t>
      </w:r>
      <w:r w:rsidRPr="0075033E">
        <w:t xml:space="preserve"> some of these </w:t>
      </w:r>
      <w:r>
        <w:t>findings</w:t>
      </w:r>
      <w:r w:rsidRPr="0075033E">
        <w:t xml:space="preserve"> need to be dealt with by legislative reform. In particular, in </w:t>
      </w:r>
      <w:r w:rsidRPr="0075033E">
        <w:rPr>
          <w:i/>
          <w:iCs/>
        </w:rPr>
        <w:t>Re: Blake and Brain and Minister for Communications and the Arts</w:t>
      </w:r>
      <w:r w:rsidRPr="0075033E">
        <w:t xml:space="preserve"> (1995) the Tribunal had to determine the meaning of the phrase ‘significantly diminish the cultural heritage of Australia’. Noting that there is no definition in the Act, </w:t>
      </w:r>
      <w:r>
        <w:t>the Tribunal</w:t>
      </w:r>
      <w:r w:rsidRPr="0075033E">
        <w:t xml:space="preserve"> looked to the Second Reading Speech for assistance. From the words of that speech it adopted a very restricted meaning for the phrase. It held that it meant, ‘constituting an irreparable loss to Australia’. The Minister</w:t>
      </w:r>
      <w:r>
        <w:t>’</w:t>
      </w:r>
      <w:r w:rsidRPr="0075033E">
        <w:t>s words in the Second Reading had been unfortunately narrow.</w:t>
      </w:r>
    </w:p>
    <w:p w14:paraId="152BC65C" w14:textId="2D905E49" w:rsidR="001A20CD" w:rsidRDefault="001A20CD" w:rsidP="001A20CD">
      <w:r w:rsidRPr="0075033E">
        <w:t>What is significant to the Australian story cannot properly be interpreted by a test cast in the negative. With such a test</w:t>
      </w:r>
      <w:r>
        <w:t>, Australian cultural heritage</w:t>
      </w:r>
      <w:r w:rsidR="00801A32">
        <w:t>—</w:t>
      </w:r>
      <w:r w:rsidRPr="0075033E">
        <w:t>the means by which we describe and show who we</w:t>
      </w:r>
      <w:r>
        <w:t xml:space="preserve"> are as a country and a people</w:t>
      </w:r>
      <w:r w:rsidR="00801A32">
        <w:t>—</w:t>
      </w:r>
      <w:r w:rsidRPr="0075033E">
        <w:t>will readily be depleted.</w:t>
      </w:r>
    </w:p>
    <w:p w14:paraId="4B656AF9" w14:textId="77777777" w:rsidR="001A20CD" w:rsidRPr="0075033E" w:rsidRDefault="001A20CD" w:rsidP="001A20CD">
      <w:r w:rsidRPr="0075033E">
        <w:t xml:space="preserve">A subsequent decision of the Administrative Appeals Tribunal, </w:t>
      </w:r>
      <w:r w:rsidRPr="0075033E">
        <w:rPr>
          <w:i/>
          <w:iCs/>
        </w:rPr>
        <w:t xml:space="preserve">Re: </w:t>
      </w:r>
      <w:proofErr w:type="spellStart"/>
      <w:r w:rsidRPr="0075033E">
        <w:rPr>
          <w:i/>
          <w:iCs/>
        </w:rPr>
        <w:t>Truswell</w:t>
      </w:r>
      <w:proofErr w:type="spellEnd"/>
      <w:r w:rsidRPr="0075033E">
        <w:rPr>
          <w:i/>
          <w:iCs/>
        </w:rPr>
        <w:t xml:space="preserve"> and the Minister for Communication and the Arts</w:t>
      </w:r>
      <w:r w:rsidRPr="0075033E">
        <w:t xml:space="preserve"> (1996) took a different and more positive approach. There, after considering a number of High Cour</w:t>
      </w:r>
      <w:r>
        <w:t>t and Federal Court authorities,</w:t>
      </w:r>
      <w:r w:rsidRPr="0075033E">
        <w:t xml:space="preserve"> the Tribunal held that ‘significantly’ should be given its normal meaning, namely ‘importantly or notably’ and ‘not unimportantly or trivially’. This interpretation is much more protective of cultural material and provides a test that is much easier to fulfil. Indeed, it is a simpler approach that is easier to interpret and to implement.</w:t>
      </w:r>
    </w:p>
    <w:p w14:paraId="32254D67" w14:textId="77777777" w:rsidR="00AA7153" w:rsidRDefault="001A20CD" w:rsidP="001A20CD">
      <w:r>
        <w:t>The point must be made that if two highly trained legal brains can arrive at two completely different interpretations of the very word that is core to the effectiveness of the legislation, owners and decision-makers have a limited chance of getting the question, and thus the answer, right. The new model meets this challenge and provides an appropriate definition and decision-making process for the determination of significance.</w:t>
      </w:r>
    </w:p>
    <w:p w14:paraId="7F61DD2B" w14:textId="77777777" w:rsidR="00AA7153" w:rsidRDefault="001A20CD" w:rsidP="001D3FB2">
      <w:pPr>
        <w:pStyle w:val="Heading4"/>
      </w:pPr>
      <w:r w:rsidRPr="001D3FB2">
        <w:t>The way forward</w:t>
      </w:r>
    </w:p>
    <w:p w14:paraId="718A524B" w14:textId="5C1727E1" w:rsidR="001A20CD" w:rsidRPr="00C36727" w:rsidRDefault="001A20CD" w:rsidP="001A20CD">
      <w:pPr>
        <w:rPr>
          <w:rFonts w:cs="Arial"/>
          <w:i/>
          <w:szCs w:val="24"/>
        </w:rPr>
      </w:pPr>
      <w:r w:rsidRPr="0075033E">
        <w:t>The review has considered the most appropriate mechanisms to provide clear and consistent definitions of significance, clear direction</w:t>
      </w:r>
      <w:r>
        <w:t>s</w:t>
      </w:r>
      <w:r w:rsidRPr="0075033E">
        <w:t xml:space="preserve"> as to where in the decision-tree </w:t>
      </w:r>
      <w:r w:rsidRPr="0075033E">
        <w:lastRenderedPageBreak/>
        <w:t xml:space="preserve">significance should be considered, and </w:t>
      </w:r>
      <w:r>
        <w:t>the factors that should be applied in making the decision to grant or deny</w:t>
      </w:r>
      <w:r w:rsidRPr="0075033E">
        <w:t xml:space="preserve"> export.</w:t>
      </w:r>
    </w:p>
    <w:p w14:paraId="6283F5D7" w14:textId="50511C11" w:rsidR="001A20CD" w:rsidRDefault="001A20CD" w:rsidP="001A20CD">
      <w:pPr>
        <w:rPr>
          <w:rFonts w:cs="Arial"/>
          <w:szCs w:val="24"/>
        </w:rPr>
      </w:pPr>
      <w:r w:rsidRPr="00F8064D">
        <w:rPr>
          <w:rFonts w:cs="Arial"/>
          <w:szCs w:val="24"/>
        </w:rPr>
        <w:t xml:space="preserve">It is extraordinarily </w:t>
      </w:r>
      <w:r w:rsidR="004D2AE8">
        <w:rPr>
          <w:rFonts w:cs="Arial"/>
          <w:szCs w:val="24"/>
        </w:rPr>
        <w:t>(</w:t>
      </w:r>
      <w:r w:rsidRPr="00F8064D">
        <w:rPr>
          <w:rFonts w:cs="Arial"/>
          <w:szCs w:val="24"/>
        </w:rPr>
        <w:t>and unnecessarily</w:t>
      </w:r>
      <w:r w:rsidR="004D2AE8">
        <w:rPr>
          <w:rFonts w:cs="Arial"/>
          <w:szCs w:val="24"/>
        </w:rPr>
        <w:t>)</w:t>
      </w:r>
      <w:r w:rsidRPr="00F8064D">
        <w:rPr>
          <w:rFonts w:cs="Arial"/>
          <w:szCs w:val="24"/>
        </w:rPr>
        <w:t xml:space="preserve"> difficult to establish proof of a negative. In effect it means that unless </w:t>
      </w:r>
      <w:r>
        <w:rPr>
          <w:rFonts w:cs="Arial"/>
          <w:szCs w:val="24"/>
        </w:rPr>
        <w:t>material</w:t>
      </w:r>
      <w:r w:rsidRPr="00F8064D">
        <w:rPr>
          <w:rFonts w:cs="Arial"/>
          <w:szCs w:val="24"/>
        </w:rPr>
        <w:t xml:space="preserve"> is (currently) classif</w:t>
      </w:r>
      <w:r>
        <w:rPr>
          <w:rFonts w:cs="Arial"/>
          <w:szCs w:val="24"/>
        </w:rPr>
        <w:t>ied as Class A, it is hard for G</w:t>
      </w:r>
      <w:r w:rsidRPr="00F8064D">
        <w:rPr>
          <w:rFonts w:cs="Arial"/>
          <w:szCs w:val="24"/>
        </w:rPr>
        <w:t>overnment to establish the ground</w:t>
      </w:r>
      <w:r>
        <w:rPr>
          <w:rFonts w:cs="Arial"/>
          <w:szCs w:val="24"/>
        </w:rPr>
        <w:t>s for refusing permanent export as it has the burden of proving what would happen to Australia if the individual item were not retained.</w:t>
      </w:r>
    </w:p>
    <w:p w14:paraId="7B7B16D6" w14:textId="6B248E0F" w:rsidR="001A20CD" w:rsidRPr="00F8064D" w:rsidRDefault="001A20CD" w:rsidP="001A20CD">
      <w:pPr>
        <w:rPr>
          <w:rFonts w:cs="Arial"/>
          <w:szCs w:val="24"/>
        </w:rPr>
      </w:pPr>
      <w:r>
        <w:rPr>
          <w:rFonts w:cs="Arial"/>
          <w:szCs w:val="24"/>
        </w:rPr>
        <w:t xml:space="preserve">If the wording of subsection </w:t>
      </w:r>
      <w:r w:rsidRPr="00F8064D">
        <w:rPr>
          <w:rFonts w:cs="Arial"/>
          <w:szCs w:val="24"/>
        </w:rPr>
        <w:t xml:space="preserve">10(6)(b) </w:t>
      </w:r>
      <w:r>
        <w:rPr>
          <w:rFonts w:cs="Arial"/>
          <w:szCs w:val="24"/>
        </w:rPr>
        <w:t>were</w:t>
      </w:r>
      <w:r w:rsidRPr="00F8064D">
        <w:rPr>
          <w:rFonts w:cs="Arial"/>
          <w:szCs w:val="24"/>
        </w:rPr>
        <w:t xml:space="preserve"> to be maintained, </w:t>
      </w:r>
      <w:r>
        <w:rPr>
          <w:rFonts w:cs="Arial"/>
          <w:szCs w:val="24"/>
        </w:rPr>
        <w:t xml:space="preserve">one option would be to reverse </w:t>
      </w:r>
      <w:r w:rsidRPr="00F8064D">
        <w:rPr>
          <w:rFonts w:cs="Arial"/>
          <w:szCs w:val="24"/>
        </w:rPr>
        <w:t>the bu</w:t>
      </w:r>
      <w:r>
        <w:rPr>
          <w:rFonts w:cs="Arial"/>
          <w:szCs w:val="24"/>
        </w:rPr>
        <w:t>rden of proof</w:t>
      </w:r>
      <w:r w:rsidRPr="00F8064D">
        <w:rPr>
          <w:rFonts w:cs="Arial"/>
          <w:szCs w:val="24"/>
        </w:rPr>
        <w:t xml:space="preserve"> so that it is the applicant who must prove that the permanent export would not significantly diminish the cultural heritage of Australia.</w:t>
      </w:r>
      <w:r>
        <w:rPr>
          <w:rFonts w:cs="Arial"/>
          <w:szCs w:val="24"/>
        </w:rPr>
        <w:t xml:space="preserve"> After all, it is the applicant that seeks the permit and it is reasonable to require it to provide a basis as to why the permission should be granted (notwithstanding that the decision-maker’s overall decision</w:t>
      </w:r>
      <w:r w:rsidR="00244279">
        <w:rPr>
          <w:rFonts w:cs="Arial"/>
          <w:szCs w:val="24"/>
        </w:rPr>
        <w:t xml:space="preserve"> would remain subject to review</w:t>
      </w:r>
      <w:r>
        <w:rPr>
          <w:rFonts w:cs="Arial"/>
          <w:szCs w:val="24"/>
        </w:rPr>
        <w:t>)</w:t>
      </w:r>
      <w:r w:rsidR="00244279">
        <w:rPr>
          <w:rFonts w:cs="Arial"/>
          <w:szCs w:val="24"/>
        </w:rPr>
        <w:t>.</w:t>
      </w:r>
    </w:p>
    <w:p w14:paraId="3C2818DD" w14:textId="086CA174" w:rsidR="001A20CD" w:rsidRPr="00F8064D" w:rsidRDefault="001A20CD" w:rsidP="001A20CD">
      <w:pPr>
        <w:rPr>
          <w:rFonts w:cs="Arial"/>
          <w:szCs w:val="24"/>
        </w:rPr>
      </w:pPr>
      <w:r w:rsidRPr="00F8064D">
        <w:rPr>
          <w:rFonts w:cs="Arial"/>
          <w:szCs w:val="24"/>
        </w:rPr>
        <w:t xml:space="preserve">However, </w:t>
      </w:r>
      <w:r>
        <w:rPr>
          <w:rFonts w:cs="Arial"/>
          <w:szCs w:val="24"/>
        </w:rPr>
        <w:t>the new model requires a</w:t>
      </w:r>
      <w:r w:rsidRPr="00F8064D">
        <w:rPr>
          <w:rFonts w:cs="Arial"/>
          <w:szCs w:val="24"/>
        </w:rPr>
        <w:t xml:space="preserve"> more constructive approach</w:t>
      </w:r>
      <w:r w:rsidR="00AA7153">
        <w:rPr>
          <w:rFonts w:cs="Arial"/>
          <w:szCs w:val="24"/>
        </w:rPr>
        <w:t>—</w:t>
      </w:r>
      <w:r>
        <w:rPr>
          <w:rFonts w:cs="Arial"/>
          <w:szCs w:val="24"/>
        </w:rPr>
        <w:t>replacing</w:t>
      </w:r>
      <w:r w:rsidRPr="00F8064D">
        <w:rPr>
          <w:rFonts w:cs="Arial"/>
          <w:szCs w:val="24"/>
        </w:rPr>
        <w:t xml:space="preserve"> the negative test of ‘importance to Australia’ with a positive one</w:t>
      </w:r>
      <w:r>
        <w:rPr>
          <w:rFonts w:cs="Arial"/>
          <w:szCs w:val="24"/>
        </w:rPr>
        <w:t>.</w:t>
      </w:r>
      <w:r w:rsidRPr="00F8064D">
        <w:rPr>
          <w:rFonts w:cs="Arial"/>
          <w:szCs w:val="24"/>
        </w:rPr>
        <w:t xml:space="preserve"> </w:t>
      </w:r>
      <w:r>
        <w:rPr>
          <w:rFonts w:cs="Arial"/>
          <w:szCs w:val="24"/>
        </w:rPr>
        <w:t>It</w:t>
      </w:r>
      <w:r w:rsidRPr="00F8064D">
        <w:rPr>
          <w:rFonts w:cs="Arial"/>
          <w:szCs w:val="24"/>
        </w:rPr>
        <w:t xml:space="preserve"> </w:t>
      </w:r>
      <w:r>
        <w:rPr>
          <w:rFonts w:cs="Arial"/>
          <w:szCs w:val="24"/>
        </w:rPr>
        <w:t xml:space="preserve">requires </w:t>
      </w:r>
      <w:r w:rsidRPr="00F8064D">
        <w:rPr>
          <w:rFonts w:cs="Arial"/>
          <w:szCs w:val="24"/>
        </w:rPr>
        <w:t>consider</w:t>
      </w:r>
      <w:r>
        <w:rPr>
          <w:rFonts w:cs="Arial"/>
          <w:szCs w:val="24"/>
        </w:rPr>
        <w:t>ation of</w:t>
      </w:r>
      <w:r w:rsidRPr="00F8064D">
        <w:rPr>
          <w:rFonts w:cs="Arial"/>
          <w:szCs w:val="24"/>
        </w:rPr>
        <w:t xml:space="preserve"> the cultural significance of </w:t>
      </w:r>
      <w:r>
        <w:rPr>
          <w:rFonts w:cs="Arial"/>
          <w:szCs w:val="24"/>
        </w:rPr>
        <w:t>the material</w:t>
      </w:r>
      <w:r w:rsidRPr="00F8064D">
        <w:rPr>
          <w:rFonts w:cs="Arial"/>
          <w:szCs w:val="24"/>
        </w:rPr>
        <w:t xml:space="preserve"> in terms of its contribution to the richness of Australian cultural heritage. </w:t>
      </w:r>
      <w:r>
        <w:rPr>
          <w:rFonts w:cs="Arial"/>
          <w:szCs w:val="24"/>
        </w:rPr>
        <w:t>How this is achieved is a matter for drafting.</w:t>
      </w:r>
    </w:p>
    <w:p w14:paraId="79DCCF96" w14:textId="77777777" w:rsidR="00AA7153" w:rsidRDefault="001A20CD" w:rsidP="001A20CD">
      <w:pPr>
        <w:rPr>
          <w:rFonts w:cs="Arial"/>
          <w:i/>
          <w:szCs w:val="24"/>
        </w:rPr>
      </w:pPr>
      <w:r w:rsidRPr="00F8064D">
        <w:rPr>
          <w:rFonts w:cs="Arial"/>
          <w:szCs w:val="24"/>
        </w:rPr>
        <w:t>Looked at in that light,</w:t>
      </w:r>
      <w:r>
        <w:rPr>
          <w:rFonts w:cs="Arial"/>
          <w:szCs w:val="24"/>
        </w:rPr>
        <w:t xml:space="preserve"> the </w:t>
      </w:r>
      <w:r w:rsidRPr="00F8064D">
        <w:rPr>
          <w:rFonts w:cs="Arial"/>
          <w:szCs w:val="24"/>
        </w:rPr>
        <w:t xml:space="preserve">test </w:t>
      </w:r>
      <w:r>
        <w:rPr>
          <w:rFonts w:cs="Arial"/>
          <w:szCs w:val="24"/>
        </w:rPr>
        <w:t xml:space="preserve">currently described in subsection </w:t>
      </w:r>
      <w:r w:rsidRPr="00F8064D">
        <w:rPr>
          <w:rFonts w:cs="Arial"/>
          <w:szCs w:val="24"/>
        </w:rPr>
        <w:t>10(6</w:t>
      </w:r>
      <w:proofErr w:type="gramStart"/>
      <w:r w:rsidRPr="00F8064D">
        <w:rPr>
          <w:rFonts w:cs="Arial"/>
          <w:szCs w:val="24"/>
        </w:rPr>
        <w:t>)(</w:t>
      </w:r>
      <w:proofErr w:type="gramEnd"/>
      <w:r w:rsidRPr="00F8064D">
        <w:rPr>
          <w:rFonts w:cs="Arial"/>
          <w:szCs w:val="24"/>
        </w:rPr>
        <w:t xml:space="preserve">b) </w:t>
      </w:r>
      <w:r>
        <w:rPr>
          <w:rFonts w:cs="Arial"/>
          <w:szCs w:val="24"/>
        </w:rPr>
        <w:t>might</w:t>
      </w:r>
      <w:r w:rsidRPr="00F8064D">
        <w:rPr>
          <w:rFonts w:cs="Arial"/>
          <w:szCs w:val="24"/>
        </w:rPr>
        <w:t xml:space="preserve"> be better </w:t>
      </w:r>
      <w:r w:rsidRPr="00E61721">
        <w:rPr>
          <w:rFonts w:cs="Arial"/>
          <w:szCs w:val="24"/>
        </w:rPr>
        <w:t xml:space="preserve">phrased </w:t>
      </w:r>
      <w:r>
        <w:rPr>
          <w:rFonts w:cs="Arial"/>
          <w:szCs w:val="24"/>
        </w:rPr>
        <w:t>as:</w:t>
      </w:r>
    </w:p>
    <w:p w14:paraId="694E9932" w14:textId="686EB32E" w:rsidR="001A20CD" w:rsidRPr="00172D73" w:rsidRDefault="001A20CD" w:rsidP="00AB6407">
      <w:pPr>
        <w:ind w:left="567"/>
        <w:rPr>
          <w:rFonts w:cs="Arial"/>
          <w:i/>
          <w:sz w:val="20"/>
          <w:szCs w:val="20"/>
        </w:rPr>
      </w:pPr>
      <w:r w:rsidRPr="00172D73">
        <w:rPr>
          <w:rFonts w:cs="Arial"/>
          <w:i/>
          <w:sz w:val="20"/>
          <w:szCs w:val="20"/>
        </w:rPr>
        <w:t>‘…that its retention is important to the cultural heritage of current and future generations of Australians’.</w:t>
      </w:r>
    </w:p>
    <w:p w14:paraId="0757F4E0" w14:textId="7939E0D9" w:rsidR="001A20CD" w:rsidRPr="001D3FB2" w:rsidRDefault="001A20CD" w:rsidP="001D3FB2">
      <w:pPr>
        <w:pStyle w:val="Heading3"/>
      </w:pPr>
      <w:r w:rsidRPr="001D3FB2">
        <w:t>Assessing significance</w:t>
      </w:r>
    </w:p>
    <w:p w14:paraId="5459E374" w14:textId="14AF8D50" w:rsidR="001A20CD" w:rsidRPr="006C1018" w:rsidRDefault="001A20CD" w:rsidP="001A20CD">
      <w:r w:rsidRPr="0075033E">
        <w:t>It is proposed that the legislative frame</w:t>
      </w:r>
      <w:r>
        <w:t>work</w:t>
      </w:r>
      <w:r w:rsidRPr="0075033E">
        <w:t xml:space="preserve"> </w:t>
      </w:r>
      <w:r>
        <w:t xml:space="preserve">provide </w:t>
      </w:r>
      <w:r w:rsidRPr="0075033E">
        <w:t xml:space="preserve">a standard definition of significance </w:t>
      </w:r>
      <w:r>
        <w:t xml:space="preserve">to </w:t>
      </w:r>
      <w:r w:rsidRPr="0075033E">
        <w:t>be a</w:t>
      </w:r>
      <w:r>
        <w:t>pplied across all Parts in the Control L</w:t>
      </w:r>
      <w:r w:rsidRPr="0075033E">
        <w:t>ist</w:t>
      </w:r>
      <w:r>
        <w:t>. Further,</w:t>
      </w:r>
      <w:r w:rsidRPr="0075033E">
        <w:t xml:space="preserve"> </w:t>
      </w:r>
      <w:r>
        <w:t>the Regulations, in</w:t>
      </w:r>
      <w:r w:rsidRPr="0075033E">
        <w:t xml:space="preserve"> a separate provision</w:t>
      </w:r>
      <w:r>
        <w:t>,</w:t>
      </w:r>
      <w:r w:rsidRPr="0075033E">
        <w:t xml:space="preserve"> should </w:t>
      </w:r>
      <w:r>
        <w:t xml:space="preserve">establish the elements to </w:t>
      </w:r>
      <w:r w:rsidRPr="0075033E">
        <w:t>be considered in an</w:t>
      </w:r>
      <w:r>
        <w:t>y</w:t>
      </w:r>
      <w:r w:rsidRPr="0075033E">
        <w:t xml:space="preserve"> assessme</w:t>
      </w:r>
      <w:r>
        <w:t>nt of significance</w:t>
      </w:r>
      <w:r w:rsidRPr="0075033E">
        <w:t>. This can be supplem</w:t>
      </w:r>
      <w:r>
        <w:t>ented by additional information</w:t>
      </w:r>
      <w:r w:rsidRPr="0075033E">
        <w:t xml:space="preserve"> in documents external to the legislative framework such as </w:t>
      </w:r>
      <w:r>
        <w:t>publicly available Guidelines that can provide further</w:t>
      </w:r>
      <w:r w:rsidRPr="0075033E">
        <w:t xml:space="preserve"> </w:t>
      </w:r>
      <w:r>
        <w:t xml:space="preserve">practical advice </w:t>
      </w:r>
      <w:r w:rsidR="005F4E29">
        <w:t>to the public and a</w:t>
      </w:r>
      <w:r w:rsidRPr="0075033E">
        <w:t>ssessors on the assessment of significance.</w:t>
      </w:r>
    </w:p>
    <w:p w14:paraId="60132EEE" w14:textId="77777777" w:rsidR="00AA7153" w:rsidRDefault="001A20CD" w:rsidP="001A20CD">
      <w:r>
        <w:lastRenderedPageBreak/>
        <w:t>The Regulations should</w:t>
      </w:r>
      <w:r w:rsidRPr="0075033E">
        <w:t xml:space="preserve"> provide </w:t>
      </w:r>
      <w:r>
        <w:t>the range of matters to be considered</w:t>
      </w:r>
      <w:r w:rsidRPr="0075033E">
        <w:t xml:space="preserve"> when a signif</w:t>
      </w:r>
      <w:r>
        <w:t>icance assessment is undertaken. This should provide a practicable, consistent framework by which assessments are completed and infor</w:t>
      </w:r>
      <w:r w:rsidR="00B33AF7">
        <w:t>mation provided to the decision-</w:t>
      </w:r>
      <w:r>
        <w:t>maker.</w:t>
      </w:r>
    </w:p>
    <w:p w14:paraId="195E0D42" w14:textId="77777777" w:rsidR="00AA7153" w:rsidRDefault="001A20CD" w:rsidP="001A20CD">
      <w:pPr>
        <w:rPr>
          <w:szCs w:val="24"/>
        </w:rPr>
      </w:pPr>
      <w:r w:rsidRPr="0075033E">
        <w:t xml:space="preserve">While </w:t>
      </w:r>
      <w:r>
        <w:t>it is recognised that any determination of</w:t>
      </w:r>
      <w:r w:rsidRPr="0075033E">
        <w:t xml:space="preserve"> significance is subjective and can change over time</w:t>
      </w:r>
      <w:r>
        <w:t>,</w:t>
      </w:r>
      <w:r w:rsidRPr="0075033E">
        <w:t xml:space="preserve"> the provision of clear criteria </w:t>
      </w:r>
      <w:r>
        <w:t>would</w:t>
      </w:r>
      <w:r w:rsidRPr="0075033E">
        <w:t xml:space="preserve"> greatly improve consistency and </w:t>
      </w:r>
      <w:r>
        <w:t>transparency in decision-making. The concept of significance is incorporated or referenced in other Australian legislation and in several international conventions</w:t>
      </w:r>
      <w:r>
        <w:rPr>
          <w:rStyle w:val="FootnoteReference"/>
        </w:rPr>
        <w:footnoteReference w:id="37"/>
      </w:r>
      <w:r>
        <w:t xml:space="preserve"> and how it is to be assessed is treated in various ways. </w:t>
      </w:r>
      <w:r>
        <w:rPr>
          <w:lang w:val="en-US"/>
        </w:rPr>
        <w:t>For example, the approach of the</w:t>
      </w:r>
      <w:r>
        <w:t xml:space="preserve"> United Kingdom’s Waverly criteria, </w:t>
      </w:r>
      <w:r>
        <w:rPr>
          <w:szCs w:val="24"/>
        </w:rPr>
        <w:t>is to</w:t>
      </w:r>
      <w:r w:rsidRPr="005769BF">
        <w:rPr>
          <w:szCs w:val="24"/>
        </w:rPr>
        <w:t xml:space="preserve"> ask</w:t>
      </w:r>
      <w:r>
        <w:rPr>
          <w:szCs w:val="24"/>
        </w:rPr>
        <w:t xml:space="preserve"> the following of the object:</w:t>
      </w:r>
    </w:p>
    <w:p w14:paraId="70108942" w14:textId="5AFC3A86" w:rsidR="001A20CD" w:rsidRDefault="001A20CD" w:rsidP="00AB6407">
      <w:pPr>
        <w:pStyle w:val="ListParagraph"/>
        <w:numPr>
          <w:ilvl w:val="0"/>
          <w:numId w:val="82"/>
        </w:numPr>
        <w:spacing w:before="120" w:after="320"/>
        <w:ind w:left="567" w:hanging="567"/>
      </w:pPr>
      <w:proofErr w:type="gramStart"/>
      <w:r w:rsidRPr="00A237E4">
        <w:t>is</w:t>
      </w:r>
      <w:proofErr w:type="gramEnd"/>
      <w:r w:rsidRPr="00A237E4">
        <w:t xml:space="preserve"> it so closely connected with our history and national life that its de</w:t>
      </w:r>
      <w:r>
        <w:t>parture would be a misfortune?</w:t>
      </w:r>
    </w:p>
    <w:p w14:paraId="456E8C1B" w14:textId="77777777" w:rsidR="001A20CD" w:rsidRDefault="001A20CD" w:rsidP="00AB6407">
      <w:pPr>
        <w:pStyle w:val="ListParagraph"/>
        <w:numPr>
          <w:ilvl w:val="0"/>
          <w:numId w:val="82"/>
        </w:numPr>
        <w:spacing w:before="120" w:after="320"/>
        <w:ind w:left="567" w:hanging="567"/>
      </w:pPr>
      <w:proofErr w:type="gramStart"/>
      <w:r w:rsidRPr="00A237E4">
        <w:t>is</w:t>
      </w:r>
      <w:proofErr w:type="gramEnd"/>
      <w:r w:rsidRPr="00A237E4">
        <w:t xml:space="preserve"> it of ou</w:t>
      </w:r>
      <w:r>
        <w:t>tstanding aesthetic importance?</w:t>
      </w:r>
    </w:p>
    <w:p w14:paraId="3D01CDA3" w14:textId="77777777" w:rsidR="001A20CD" w:rsidRDefault="001A20CD" w:rsidP="00AB6407">
      <w:pPr>
        <w:pStyle w:val="ListParagraph"/>
        <w:numPr>
          <w:ilvl w:val="0"/>
          <w:numId w:val="82"/>
        </w:numPr>
        <w:spacing w:before="120" w:after="320"/>
        <w:ind w:left="567" w:hanging="567"/>
      </w:pPr>
      <w:proofErr w:type="gramStart"/>
      <w:r w:rsidRPr="00A237E4">
        <w:t>is</w:t>
      </w:r>
      <w:proofErr w:type="gramEnd"/>
      <w:r w:rsidRPr="00A237E4">
        <w:t xml:space="preserve"> it of outstanding significance for the study of some particular branch of art, learning or history?</w:t>
      </w:r>
    </w:p>
    <w:p w14:paraId="5E0277B6" w14:textId="77777777" w:rsidR="00AA7153" w:rsidRDefault="001A20CD" w:rsidP="001A20CD">
      <w:pPr>
        <w:rPr>
          <w:rFonts w:cs="Arial"/>
          <w:iCs/>
          <w:szCs w:val="24"/>
        </w:rPr>
      </w:pPr>
      <w:r>
        <w:t xml:space="preserve">In the Australian context, the Burra Charter and the HERCON criteria are also well known. The </w:t>
      </w:r>
      <w:r>
        <w:rPr>
          <w:rFonts w:cs="Arial"/>
          <w:szCs w:val="24"/>
        </w:rPr>
        <w:t xml:space="preserve">Burra Charter </w:t>
      </w:r>
      <w:r>
        <w:rPr>
          <w:rStyle w:val="FootnoteReference"/>
          <w:rFonts w:cs="Arial"/>
          <w:iCs/>
          <w:szCs w:val="24"/>
        </w:rPr>
        <w:footnoteReference w:id="38"/>
      </w:r>
      <w:r>
        <w:rPr>
          <w:rFonts w:cs="Arial"/>
          <w:szCs w:val="24"/>
        </w:rPr>
        <w:t xml:space="preserve"> </w:t>
      </w:r>
      <w:r>
        <w:t xml:space="preserve">was </w:t>
      </w:r>
      <w:r w:rsidRPr="001418AC">
        <w:rPr>
          <w:rFonts w:cs="Arial"/>
          <w:szCs w:val="24"/>
        </w:rPr>
        <w:t>established by the International Council on Monuments and Sites</w:t>
      </w:r>
      <w:r w:rsidRPr="001418AC">
        <w:rPr>
          <w:rFonts w:cs="Arial"/>
          <w:i/>
          <w:iCs/>
          <w:szCs w:val="24"/>
        </w:rPr>
        <w:t xml:space="preserve"> </w:t>
      </w:r>
      <w:r w:rsidRPr="001418AC">
        <w:rPr>
          <w:rFonts w:cs="Arial"/>
          <w:iCs/>
          <w:szCs w:val="24"/>
        </w:rPr>
        <w:t>(ICOMOS) Australia</w:t>
      </w:r>
      <w:r w:rsidRPr="001418AC">
        <w:rPr>
          <w:rFonts w:cs="Arial"/>
          <w:i/>
          <w:iCs/>
          <w:szCs w:val="24"/>
        </w:rPr>
        <w:t xml:space="preserve"> </w:t>
      </w:r>
      <w:r>
        <w:rPr>
          <w:rFonts w:cs="Arial"/>
          <w:iCs/>
          <w:szCs w:val="24"/>
        </w:rPr>
        <w:t>and</w:t>
      </w:r>
      <w:r w:rsidRPr="001418AC">
        <w:rPr>
          <w:rFonts w:cs="Arial"/>
          <w:iCs/>
          <w:szCs w:val="24"/>
        </w:rPr>
        <w:t xml:space="preserve"> sets out the principles of assessing the cultural significance of a place with regard to the aesthetic, historic, scientific, social or spiritual value for past, present or future generations</w:t>
      </w:r>
      <w:r>
        <w:rPr>
          <w:rFonts w:cs="Arial"/>
          <w:iCs/>
          <w:szCs w:val="24"/>
        </w:rPr>
        <w:t>. It is an important and proven tool in the making of place-based significance assessments.</w:t>
      </w:r>
    </w:p>
    <w:p w14:paraId="2D0954B8" w14:textId="482F6A01" w:rsidR="001A20CD" w:rsidRDefault="001A20CD" w:rsidP="001A20CD">
      <w:r>
        <w:t>The HERCON criteria</w:t>
      </w:r>
      <w:r w:rsidR="00B33AF7">
        <w:rPr>
          <w:rStyle w:val="FootnoteReference"/>
        </w:rPr>
        <w:footnoteReference w:id="39"/>
      </w:r>
      <w:r>
        <w:t xml:space="preserve"> were developed in Australia at the 1998 Conference on Heritage and have been used and adapted for the assessment of place-based heritage across a range of national, state and territory legislation.</w:t>
      </w:r>
    </w:p>
    <w:p w14:paraId="2DCCEC50" w14:textId="77777777" w:rsidR="005F4E29" w:rsidRPr="00A237E4" w:rsidRDefault="005F4E29" w:rsidP="001A20CD"/>
    <w:p w14:paraId="5A374302" w14:textId="77777777" w:rsidR="00AA7153" w:rsidRDefault="001A20CD" w:rsidP="00AB6407">
      <w:pPr>
        <w:pStyle w:val="ListParagraph"/>
        <w:ind w:left="0" w:firstLine="0"/>
      </w:pPr>
      <w:r>
        <w:lastRenderedPageBreak/>
        <w:t xml:space="preserve">Finally, there is </w:t>
      </w:r>
      <w:r w:rsidRPr="001418AC">
        <w:rPr>
          <w:i/>
        </w:rPr>
        <w:t>Significance 2.0</w:t>
      </w:r>
      <w:r>
        <w:t>,</w:t>
      </w:r>
      <w:r>
        <w:rPr>
          <w:rStyle w:val="FootnoteReference"/>
        </w:rPr>
        <w:footnoteReference w:id="40"/>
      </w:r>
      <w:r>
        <w:t xml:space="preserve"> which was developed in Australia as a guide for the assessment of heritage objects (rather than sites) and has been widely accepted by the collections sector. In this model ‘</w:t>
      </w:r>
      <w:r w:rsidRPr="001418AC">
        <w:rPr>
          <w:iCs/>
          <w:lang w:val="en-US"/>
        </w:rPr>
        <w:t>s</w:t>
      </w:r>
      <w:r w:rsidRPr="009F4096">
        <w:rPr>
          <w:iCs/>
          <w:lang w:val="en-US"/>
        </w:rPr>
        <w:t>ignificance</w:t>
      </w:r>
      <w:r>
        <w:rPr>
          <w:iCs/>
          <w:lang w:val="en-US"/>
        </w:rPr>
        <w:t>’</w:t>
      </w:r>
      <w:r w:rsidRPr="009F4096">
        <w:rPr>
          <w:iCs/>
          <w:lang w:val="en-US"/>
        </w:rPr>
        <w:t xml:space="preserve"> refers to the values and meanings that items and collections have for people and communities</w:t>
      </w:r>
      <w:r>
        <w:rPr>
          <w:iCs/>
          <w:lang w:val="en-US"/>
        </w:rPr>
        <w:t xml:space="preserve">. It </w:t>
      </w:r>
      <w:proofErr w:type="spellStart"/>
      <w:r>
        <w:rPr>
          <w:iCs/>
          <w:lang w:val="en-US"/>
        </w:rPr>
        <w:t>recognises</w:t>
      </w:r>
      <w:proofErr w:type="spellEnd"/>
      <w:r>
        <w:rPr>
          <w:iCs/>
          <w:lang w:val="en-US"/>
        </w:rPr>
        <w:t xml:space="preserve"> that</w:t>
      </w:r>
      <w:r w:rsidRPr="009F4096">
        <w:rPr>
          <w:iCs/>
          <w:lang w:val="en-US"/>
        </w:rPr>
        <w:t xml:space="preserve"> significance he</w:t>
      </w:r>
      <w:r>
        <w:rPr>
          <w:iCs/>
          <w:lang w:val="en-US"/>
        </w:rPr>
        <w:t>l</w:t>
      </w:r>
      <w:r w:rsidRPr="009F4096">
        <w:rPr>
          <w:iCs/>
          <w:lang w:val="en-US"/>
        </w:rPr>
        <w:t>ps</w:t>
      </w:r>
      <w:r>
        <w:rPr>
          <w:iCs/>
          <w:lang w:val="en-US"/>
        </w:rPr>
        <w:t xml:space="preserve"> to</w:t>
      </w:r>
      <w:r w:rsidRPr="009F4096">
        <w:rPr>
          <w:iCs/>
          <w:lang w:val="en-US"/>
        </w:rPr>
        <w:t xml:space="preserve"> unlock the potential of </w:t>
      </w:r>
      <w:r>
        <w:rPr>
          <w:iCs/>
          <w:lang w:val="en-US"/>
        </w:rPr>
        <w:t xml:space="preserve">objects and </w:t>
      </w:r>
      <w:r w:rsidRPr="009F4096">
        <w:rPr>
          <w:iCs/>
          <w:lang w:val="en-US"/>
        </w:rPr>
        <w:t xml:space="preserve">collections, </w:t>
      </w:r>
      <w:r>
        <w:rPr>
          <w:iCs/>
          <w:lang w:val="en-US"/>
        </w:rPr>
        <w:t>enhancing</w:t>
      </w:r>
      <w:r w:rsidRPr="009F4096">
        <w:rPr>
          <w:iCs/>
          <w:lang w:val="en-US"/>
        </w:rPr>
        <w:t xml:space="preserve"> opportunities for communities to access</w:t>
      </w:r>
      <w:r>
        <w:rPr>
          <w:iCs/>
          <w:lang w:val="en-US"/>
        </w:rPr>
        <w:t>,</w:t>
      </w:r>
      <w:r w:rsidRPr="009F4096">
        <w:rPr>
          <w:iCs/>
          <w:lang w:val="en-US"/>
        </w:rPr>
        <w:t xml:space="preserve"> enjoy and understand the history, cultures and environments of Australia.</w:t>
      </w:r>
      <w:r w:rsidRPr="009F4096">
        <w:t xml:space="preserve"> </w:t>
      </w:r>
      <w:r>
        <w:t>The criteria and methodology are based on the same principles as those used for place-based significance referenced above but have been adapted and described in ways specifically relevant to heritage objects.</w:t>
      </w:r>
    </w:p>
    <w:p w14:paraId="034DBF7F" w14:textId="77777777" w:rsidR="00AA7153" w:rsidRDefault="001A20CD" w:rsidP="001A20CD">
      <w:r>
        <w:t xml:space="preserve">The draft criteria used in the new model and described below are based on those in </w:t>
      </w:r>
      <w:r w:rsidRPr="00EA2E31">
        <w:rPr>
          <w:i/>
        </w:rPr>
        <w:t>Significance 2.0</w:t>
      </w:r>
      <w:r>
        <w:t>, as the model most appropriate for assessing the significance of objects. They are based on the principle that</w:t>
      </w:r>
      <w:r w:rsidRPr="0075033E">
        <w:t xml:space="preserve"> the assessment of significance should consider </w:t>
      </w:r>
      <w:r>
        <w:t xml:space="preserve">not only </w:t>
      </w:r>
      <w:r w:rsidRPr="0075033E">
        <w:t xml:space="preserve">the material itself </w:t>
      </w:r>
      <w:r>
        <w:t>but also</w:t>
      </w:r>
      <w:r w:rsidRPr="0075033E">
        <w:t xml:space="preserve"> its cultural context </w:t>
      </w:r>
      <w:r>
        <w:t>and</w:t>
      </w:r>
      <w:r w:rsidRPr="0075033E">
        <w:t xml:space="preserve"> associations.</w:t>
      </w:r>
    </w:p>
    <w:p w14:paraId="3C75CE04" w14:textId="77777777" w:rsidR="000B6292" w:rsidRDefault="001A20CD" w:rsidP="000B6292">
      <w:r>
        <w:t xml:space="preserve">During consultation, stakeholders were broadly supportive of the use of both the criteria and the methodology of </w:t>
      </w:r>
      <w:r w:rsidRPr="00A237E4">
        <w:rPr>
          <w:i/>
        </w:rPr>
        <w:t>Significance 2.0</w:t>
      </w:r>
      <w:r>
        <w:rPr>
          <w:i/>
        </w:rPr>
        <w:t xml:space="preserve">. </w:t>
      </w:r>
      <w:r>
        <w:t xml:space="preserve">Some concerns were raised that the </w:t>
      </w:r>
      <w:r w:rsidRPr="00A237E4">
        <w:rPr>
          <w:i/>
        </w:rPr>
        <w:t>Significance 2.0</w:t>
      </w:r>
      <w:r>
        <w:t xml:space="preserve"> publication, as it stands, does not adequately address the assessment of the full range of material regulated by this Act. This is acknowledged and it is not proposed that the </w:t>
      </w:r>
      <w:r w:rsidR="00B33AF7">
        <w:t>publication itself be adopted</w:t>
      </w:r>
      <w:r>
        <w:t xml:space="preserve"> but rather its principles. While the broad assessment criteria and methodology described below can be applied to all material, there will likely be a focus on some aspects for specific material</w:t>
      </w:r>
      <w:r w:rsidRPr="00A237E4">
        <w:t>.</w:t>
      </w:r>
      <w:r>
        <w:t xml:space="preserve"> For example, the consideration of significance in regard to Aboriginal or Torres Strait Islander material in some situations will appropriately rely more heavily on consultation and Traditional Owner input.</w:t>
      </w:r>
    </w:p>
    <w:p w14:paraId="0F2370A2" w14:textId="77777777" w:rsidR="000B6292" w:rsidRDefault="000B6292">
      <w:pPr>
        <w:spacing w:line="276" w:lineRule="auto"/>
      </w:pPr>
      <w:r>
        <w:br w:type="page"/>
      </w:r>
    </w:p>
    <w:p w14:paraId="6793A12F" w14:textId="0E6D38A9" w:rsidR="007D671A" w:rsidRDefault="007D671A" w:rsidP="000B6292">
      <w:r w:rsidRPr="007D671A">
        <w:lastRenderedPageBreak/>
        <w:t>Survey Response</w:t>
      </w:r>
    </w:p>
    <w:p w14:paraId="259B7AA4" w14:textId="77BBD4F8" w:rsidR="007D671A" w:rsidRDefault="007D671A">
      <w:pPr>
        <w:spacing w:line="276" w:lineRule="auto"/>
      </w:pPr>
      <w:r w:rsidRPr="007D671A">
        <w:t>68% of respondents agreed to a large extent or a very large extent that the proposed mechanisms for assessing significance and representation would enhance the assessment process. A further 26% agreed to a moderate or small extent and only 6% of respondents did not agree at all.</w:t>
      </w:r>
    </w:p>
    <w:p w14:paraId="6630DBE6" w14:textId="4760DA6B" w:rsidR="001A20CD" w:rsidRDefault="007D671A" w:rsidP="001A20CD">
      <w:r w:rsidRPr="00C17362">
        <w:rPr>
          <w:noProof/>
          <w:lang w:eastAsia="en-AU"/>
        </w:rPr>
        <w:drawing>
          <wp:inline distT="0" distB="0" distL="0" distR="0" wp14:anchorId="69A819E1" wp14:editId="4DFC7DBE">
            <wp:extent cx="3283200" cy="1854838"/>
            <wp:effectExtent l="0" t="0" r="0" b="0"/>
            <wp:docPr id="28" name="Picture 28" descr="The extent to which respondents think the proposed mechanisms for assessing significance and representation would enhance the assessment process:&#10;&#10;28% To a very large extent&#10;40% To a large extent&#10;19% To a moderate extent&#10;7% To a small extent&#10;6% Not at all&#10;1% Unsure&#10;&#10;" title="Figure 7 –The extent to which respondents think the proposed mechanisms for assessing significance and representation would enhance the assess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283200" cy="1854838"/>
                    </a:xfrm>
                    <a:prstGeom prst="rect">
                      <a:avLst/>
                    </a:prstGeom>
                    <a:noFill/>
                    <a:ln>
                      <a:noFill/>
                    </a:ln>
                  </pic:spPr>
                </pic:pic>
              </a:graphicData>
            </a:graphic>
          </wp:inline>
        </w:drawing>
      </w:r>
    </w:p>
    <w:p w14:paraId="10E362FE" w14:textId="78384D06" w:rsidR="00B23B74" w:rsidRPr="001B5D3A" w:rsidRDefault="00B23B74" w:rsidP="00AB6407">
      <w:pPr>
        <w:spacing w:after="360" w:line="276" w:lineRule="auto"/>
        <w:ind w:left="284"/>
        <w:rPr>
          <w:rFonts w:eastAsia="Arial Unicode MS" w:cs="Arial"/>
          <w:i/>
          <w:sz w:val="20"/>
          <w:szCs w:val="20"/>
          <w:vertAlign w:val="superscript"/>
        </w:rPr>
      </w:pPr>
      <w:r w:rsidRPr="001B5D3A">
        <w:rPr>
          <w:rFonts w:eastAsia="Times New Roman" w:cs="Arial"/>
          <w:bCs/>
          <w:i/>
          <w:sz w:val="20"/>
          <w:szCs w:val="20"/>
          <w:lang w:eastAsia="en-AU"/>
        </w:rPr>
        <w:t>Figure 7 –The extent to which respondents think the proposed mechanisms for assessing significance and representation would enhance the assessment process</w:t>
      </w:r>
      <w:r w:rsidR="00B33AF7">
        <w:rPr>
          <w:rFonts w:eastAsia="Times New Roman" w:cs="Arial"/>
          <w:bCs/>
          <w:i/>
          <w:sz w:val="20"/>
          <w:szCs w:val="20"/>
          <w:lang w:eastAsia="en-AU"/>
        </w:rPr>
        <w:t>.</w:t>
      </w:r>
      <w:r w:rsidR="00B33AF7">
        <w:rPr>
          <w:rStyle w:val="FootnoteReference"/>
          <w:rFonts w:eastAsia="Times New Roman" w:cs="Arial"/>
          <w:bCs/>
          <w:i/>
          <w:sz w:val="20"/>
          <w:szCs w:val="20"/>
          <w:lang w:eastAsia="en-AU"/>
        </w:rPr>
        <w:footnoteReference w:id="41"/>
      </w:r>
    </w:p>
    <w:p w14:paraId="5E8BEA2B" w14:textId="5927024A" w:rsidR="001A20CD" w:rsidRPr="001D3FB2" w:rsidRDefault="001A20CD" w:rsidP="001D3FB2">
      <w:pPr>
        <w:pStyle w:val="Heading4"/>
      </w:pPr>
      <w:r w:rsidRPr="001D3FB2">
        <w:t xml:space="preserve"> Step one</w:t>
      </w:r>
      <w:r w:rsidR="00AA7153">
        <w:t>—</w:t>
      </w:r>
      <w:r w:rsidRPr="001D3FB2">
        <w:t>Primary significance criteria</w:t>
      </w:r>
    </w:p>
    <w:p w14:paraId="38A35DB8" w14:textId="77777777" w:rsidR="001A20CD" w:rsidRDefault="001A20CD" w:rsidP="001A20CD">
      <w:r>
        <w:t xml:space="preserve">When undertaking a cultural significance assessment, the first step is to apply a set of </w:t>
      </w:r>
      <w:r>
        <w:rPr>
          <w:b/>
        </w:rPr>
        <w:t xml:space="preserve">primary </w:t>
      </w:r>
      <w:r w:rsidRPr="00A977A4">
        <w:rPr>
          <w:b/>
        </w:rPr>
        <w:t>criteria</w:t>
      </w:r>
      <w:r>
        <w:t xml:space="preserve">. These are the </w:t>
      </w:r>
      <w:proofErr w:type="gramStart"/>
      <w:r>
        <w:t>object’s</w:t>
      </w:r>
      <w:proofErr w:type="gramEnd"/>
      <w:r w:rsidRPr="0075033E">
        <w:t>:</w:t>
      </w:r>
    </w:p>
    <w:p w14:paraId="6C3353BA" w14:textId="77777777" w:rsidR="00AA7153" w:rsidRDefault="001A20CD" w:rsidP="00801A32">
      <w:pPr>
        <w:pStyle w:val="ListParagraph"/>
        <w:numPr>
          <w:ilvl w:val="0"/>
          <w:numId w:val="18"/>
        </w:numPr>
        <w:ind w:left="567" w:hanging="567"/>
      </w:pPr>
      <w:r w:rsidRPr="006C1018">
        <w:t>historic value</w:t>
      </w:r>
      <w:r>
        <w:t>s</w:t>
      </w:r>
      <w:r w:rsidRPr="006C1018">
        <w:t>;</w:t>
      </w:r>
    </w:p>
    <w:p w14:paraId="4C918FA1" w14:textId="77777777" w:rsidR="00AA7153" w:rsidRDefault="001A20CD" w:rsidP="00801A32">
      <w:pPr>
        <w:pStyle w:val="ListParagraph"/>
        <w:numPr>
          <w:ilvl w:val="0"/>
          <w:numId w:val="18"/>
        </w:numPr>
        <w:ind w:left="567" w:hanging="567"/>
      </w:pPr>
      <w:r w:rsidRPr="006C1018">
        <w:t>aesthetic or artistic values;</w:t>
      </w:r>
    </w:p>
    <w:p w14:paraId="3AB15EFD" w14:textId="77777777" w:rsidR="00AA7153" w:rsidRDefault="001A20CD" w:rsidP="00801A32">
      <w:pPr>
        <w:pStyle w:val="ListParagraph"/>
        <w:numPr>
          <w:ilvl w:val="0"/>
          <w:numId w:val="18"/>
        </w:numPr>
        <w:ind w:left="567" w:hanging="567"/>
      </w:pPr>
      <w:r w:rsidRPr="006C1018">
        <w:t>scientific, technical or research potential;</w:t>
      </w:r>
    </w:p>
    <w:p w14:paraId="3023D1B0" w14:textId="77777777" w:rsidR="00AA7153" w:rsidRDefault="001A20CD" w:rsidP="00801A32">
      <w:pPr>
        <w:pStyle w:val="ListParagraph"/>
        <w:numPr>
          <w:ilvl w:val="0"/>
          <w:numId w:val="18"/>
        </w:numPr>
        <w:ind w:left="567" w:hanging="567"/>
      </w:pPr>
      <w:r>
        <w:t xml:space="preserve">association with place or other material; </w:t>
      </w:r>
      <w:r w:rsidRPr="006C1018">
        <w:t>and</w:t>
      </w:r>
    </w:p>
    <w:p w14:paraId="77B6CD2D" w14:textId="77777777" w:rsidR="00AA7153" w:rsidRDefault="001A20CD" w:rsidP="00801A32">
      <w:pPr>
        <w:pStyle w:val="ListParagraph"/>
        <w:numPr>
          <w:ilvl w:val="0"/>
          <w:numId w:val="18"/>
        </w:numPr>
        <w:ind w:left="567" w:hanging="567"/>
      </w:pPr>
      <w:proofErr w:type="gramStart"/>
      <w:r w:rsidRPr="006C1018">
        <w:t>social</w:t>
      </w:r>
      <w:proofErr w:type="gramEnd"/>
      <w:r w:rsidRPr="006C1018">
        <w:t xml:space="preserve"> or spiritual c</w:t>
      </w:r>
      <w:r>
        <w:t>onnections.</w:t>
      </w:r>
    </w:p>
    <w:p w14:paraId="46760CFD" w14:textId="77777777" w:rsidR="00AA7153" w:rsidRDefault="001A20CD" w:rsidP="001A20CD">
      <w:r>
        <w:t>W</w:t>
      </w:r>
      <w:r w:rsidRPr="0075033E">
        <w:t>hile all of the</w:t>
      </w:r>
      <w:r>
        <w:t>se</w:t>
      </w:r>
      <w:r w:rsidRPr="0075033E">
        <w:t xml:space="preserve"> primary criteria </w:t>
      </w:r>
      <w:r>
        <w:t>should be</w:t>
      </w:r>
      <w:r w:rsidRPr="0075033E">
        <w:t xml:space="preserve"> considered when making an assessment, it is on</w:t>
      </w:r>
      <w:r>
        <w:t>ly necessary to find evidence to satisfy</w:t>
      </w:r>
      <w:r w:rsidRPr="0075033E">
        <w:t xml:space="preserve"> one </w:t>
      </w:r>
      <w:r>
        <w:t>of the</w:t>
      </w:r>
      <w:r w:rsidRPr="0075033E">
        <w:t xml:space="preserve"> crite</w:t>
      </w:r>
      <w:r>
        <w:t>ria to establish the item as</w:t>
      </w:r>
      <w:r w:rsidRPr="0075033E">
        <w:t xml:space="preserve"> significant.</w:t>
      </w:r>
    </w:p>
    <w:p w14:paraId="7473AAC5" w14:textId="1CEBFE53" w:rsidR="00AA7153" w:rsidRDefault="001A20CD" w:rsidP="001A20CD">
      <w:r>
        <w:t>These criteria apply to all Parts of the Control List so that, regardless of where in the list particular material may be assigned, its full significance can be considered. For example, material under any part of the list (such as, say, Part 2</w:t>
      </w:r>
      <w:r w:rsidR="00244279">
        <w:t>:</w:t>
      </w:r>
      <w:r>
        <w:t xml:space="preserve"> Natural Science Material) may be found to have spiritual significance.</w:t>
      </w:r>
    </w:p>
    <w:p w14:paraId="3B7FAD22" w14:textId="7891CA0E" w:rsidR="001A20CD" w:rsidRPr="001D3FB2" w:rsidRDefault="001A20CD" w:rsidP="001D3FB2">
      <w:pPr>
        <w:pStyle w:val="Heading4"/>
      </w:pPr>
      <w:r w:rsidRPr="001D3FB2">
        <w:lastRenderedPageBreak/>
        <w:t>Step two</w:t>
      </w:r>
      <w:r w:rsidR="00801A32">
        <w:t>—</w:t>
      </w:r>
      <w:r w:rsidRPr="001D3FB2">
        <w:t>Comparative analysis criteria</w:t>
      </w:r>
    </w:p>
    <w:p w14:paraId="729EC2E2" w14:textId="77777777" w:rsidR="00AA7153" w:rsidRDefault="001A20CD" w:rsidP="001A20CD">
      <w:r>
        <w:t xml:space="preserve">Having applied the primary set of criteria and finding an object to be culturally significant, it is important to determine the level of that significance: Is </w:t>
      </w:r>
      <w:r w:rsidRPr="0075033E">
        <w:t xml:space="preserve">the </w:t>
      </w:r>
      <w:r>
        <w:t>material</w:t>
      </w:r>
      <w:r w:rsidRPr="0075033E">
        <w:t xml:space="preserve"> an outstanding example of its type</w:t>
      </w:r>
      <w:r>
        <w:t>?</w:t>
      </w:r>
    </w:p>
    <w:p w14:paraId="5F38F96F" w14:textId="77777777" w:rsidR="00AA7153" w:rsidRDefault="001A20CD" w:rsidP="001A20CD">
      <w:r>
        <w:t xml:space="preserve">This is done by benchmarking the material using </w:t>
      </w:r>
      <w:r w:rsidRPr="00A977A4">
        <w:rPr>
          <w:b/>
        </w:rPr>
        <w:t>comparative analysis criteria</w:t>
      </w:r>
      <w:r>
        <w:rPr>
          <w:b/>
        </w:rPr>
        <w:t xml:space="preserve">. </w:t>
      </w:r>
      <w:r>
        <w:t>The use of evidence-based arguments founded</w:t>
      </w:r>
      <w:r w:rsidRPr="0075033E">
        <w:t xml:space="preserve"> on comparative evaluation </w:t>
      </w:r>
      <w:r>
        <w:t>will demonstrate an</w:t>
      </w:r>
      <w:r w:rsidRPr="0075033E">
        <w:t xml:space="preserve"> object’s relative level of significance.</w:t>
      </w:r>
    </w:p>
    <w:p w14:paraId="7048C3D9" w14:textId="77777777" w:rsidR="00AA7153" w:rsidRDefault="001A20CD" w:rsidP="001A20CD">
      <w:r w:rsidRPr="0075033E">
        <w:t xml:space="preserve">This approach takes into consideration the physical properties of the object as well as </w:t>
      </w:r>
      <w:r>
        <w:t>the</w:t>
      </w:r>
      <w:r w:rsidRPr="0075033E">
        <w:t xml:space="preserve"> associative properties that </w:t>
      </w:r>
      <w:r>
        <w:t>go to indicate its</w:t>
      </w:r>
      <w:r w:rsidRPr="0075033E">
        <w:t xml:space="preserve"> cultural heritage</w:t>
      </w:r>
      <w:r>
        <w:t xml:space="preserve"> importance</w:t>
      </w:r>
      <w:r w:rsidRPr="0075033E">
        <w:t xml:space="preserve">. </w:t>
      </w:r>
      <w:r>
        <w:t>Accordingly, the following comparative analysis criteria would be applied:</w:t>
      </w:r>
    </w:p>
    <w:p w14:paraId="1A147AF4" w14:textId="77777777" w:rsidR="00AA7153" w:rsidRDefault="001A20CD" w:rsidP="00AB6407">
      <w:pPr>
        <w:pStyle w:val="ListParagraph"/>
        <w:numPr>
          <w:ilvl w:val="0"/>
          <w:numId w:val="18"/>
        </w:numPr>
        <w:ind w:left="567" w:hanging="567"/>
      </w:pPr>
      <w:r w:rsidRPr="006C1018">
        <w:t>provenance;</w:t>
      </w:r>
    </w:p>
    <w:p w14:paraId="6C09597D" w14:textId="77777777" w:rsidR="00AA7153" w:rsidRDefault="001A20CD" w:rsidP="00AB6407">
      <w:pPr>
        <w:pStyle w:val="ListParagraph"/>
        <w:numPr>
          <w:ilvl w:val="0"/>
          <w:numId w:val="18"/>
        </w:numPr>
        <w:ind w:left="567" w:hanging="567"/>
      </w:pPr>
      <w:r w:rsidRPr="006C1018">
        <w:t>rarity or representativeness;</w:t>
      </w:r>
    </w:p>
    <w:p w14:paraId="4979AB3D" w14:textId="77777777" w:rsidR="00AA7153" w:rsidRDefault="001A20CD" w:rsidP="00AB6407">
      <w:pPr>
        <w:pStyle w:val="ListParagraph"/>
        <w:numPr>
          <w:ilvl w:val="0"/>
          <w:numId w:val="18"/>
        </w:numPr>
        <w:ind w:left="567" w:hanging="567"/>
      </w:pPr>
      <w:r w:rsidRPr="006C1018">
        <w:t>condition or completeness; and</w:t>
      </w:r>
    </w:p>
    <w:p w14:paraId="6C4CDE66" w14:textId="3DBAFC9B" w:rsidR="001A20CD" w:rsidRPr="006C1018" w:rsidRDefault="001A20CD" w:rsidP="00AB6407">
      <w:pPr>
        <w:pStyle w:val="ListParagraph"/>
        <w:numPr>
          <w:ilvl w:val="0"/>
          <w:numId w:val="18"/>
        </w:numPr>
        <w:ind w:left="567" w:hanging="567"/>
      </w:pPr>
      <w:proofErr w:type="gramStart"/>
      <w:r w:rsidRPr="006C1018">
        <w:t>interpretative</w:t>
      </w:r>
      <w:proofErr w:type="gramEnd"/>
      <w:r w:rsidRPr="006C1018">
        <w:t xml:space="preserve"> capacity.</w:t>
      </w:r>
      <w:r>
        <w:rPr>
          <w:rStyle w:val="FootnoteReference"/>
        </w:rPr>
        <w:footnoteReference w:id="42"/>
      </w:r>
    </w:p>
    <w:p w14:paraId="4C9E9087" w14:textId="1CB531A5" w:rsidR="00AA7153" w:rsidRDefault="001A20CD" w:rsidP="001A20CD">
      <w:r>
        <w:t xml:space="preserve">The use of these criteria applies equally over the entire range of material </w:t>
      </w:r>
      <w:r w:rsidR="00244279">
        <w:t>covered by the Control L</w:t>
      </w:r>
      <w:r>
        <w:t>ist so that the full context of the material can be considered.</w:t>
      </w:r>
    </w:p>
    <w:p w14:paraId="0EECC5C0" w14:textId="5BAB1056" w:rsidR="001A20CD" w:rsidRPr="001D3FB2" w:rsidRDefault="001A20CD" w:rsidP="00801A32">
      <w:pPr>
        <w:pStyle w:val="Heading4"/>
      </w:pPr>
      <w:r w:rsidRPr="001D3FB2">
        <w:t>Guidelines</w:t>
      </w:r>
    </w:p>
    <w:p w14:paraId="2C6B104C" w14:textId="33B93FB8" w:rsidR="001A20CD" w:rsidRDefault="001A20CD" w:rsidP="00801A32">
      <w:pPr>
        <w:keepNext/>
      </w:pPr>
      <w:r>
        <w:t>While these criteria should be included in the legislation so that there is a legislative basis for decisions on significance</w:t>
      </w:r>
      <w:r w:rsidR="00B33AF7">
        <w:t>,</w:t>
      </w:r>
      <w:r>
        <w:rPr>
          <w:rStyle w:val="FootnoteReference"/>
        </w:rPr>
        <w:footnoteReference w:id="43"/>
      </w:r>
      <w:r>
        <w:t xml:space="preserve"> there will need to be Guidelines to provide further explanation of these criteria. These Guidelines may include subsidiary questions to assist the assessor:</w:t>
      </w:r>
    </w:p>
    <w:p w14:paraId="225CFA45" w14:textId="77777777" w:rsidR="001A20CD" w:rsidRDefault="001A20CD" w:rsidP="00801A32">
      <w:pPr>
        <w:pStyle w:val="ListParagraph"/>
        <w:keepNext/>
        <w:numPr>
          <w:ilvl w:val="0"/>
          <w:numId w:val="36"/>
        </w:numPr>
        <w:ind w:left="567" w:hanging="567"/>
      </w:pPr>
      <w:r>
        <w:t>Provenance:</w:t>
      </w:r>
    </w:p>
    <w:p w14:paraId="08CBDA56" w14:textId="77777777" w:rsidR="00AA7153" w:rsidRDefault="001A20CD" w:rsidP="0035682E">
      <w:pPr>
        <w:pStyle w:val="ListParagraph"/>
        <w:numPr>
          <w:ilvl w:val="1"/>
          <w:numId w:val="18"/>
        </w:numPr>
        <w:ind w:left="851" w:hanging="284"/>
      </w:pPr>
      <w:r>
        <w:t>Does</w:t>
      </w:r>
      <w:r w:rsidRPr="007A51F8">
        <w:t xml:space="preserve"> the object </w:t>
      </w:r>
      <w:r>
        <w:t>have detailed and undisputed provenance?</w:t>
      </w:r>
    </w:p>
    <w:p w14:paraId="05351F29" w14:textId="7A1B6A59" w:rsidR="001A20CD" w:rsidRDefault="001A20CD" w:rsidP="0035682E">
      <w:pPr>
        <w:pStyle w:val="ListParagraph"/>
        <w:numPr>
          <w:ilvl w:val="1"/>
          <w:numId w:val="18"/>
        </w:numPr>
        <w:ind w:left="851" w:hanging="284"/>
      </w:pPr>
      <w:r>
        <w:t>How is this provenance of value to understanding the object and its context?</w:t>
      </w:r>
    </w:p>
    <w:p w14:paraId="4E9282B0" w14:textId="77777777" w:rsidR="00AA7153" w:rsidRDefault="001A20CD" w:rsidP="00801A32">
      <w:pPr>
        <w:pStyle w:val="ListParagraph"/>
        <w:numPr>
          <w:ilvl w:val="0"/>
          <w:numId w:val="18"/>
        </w:numPr>
        <w:ind w:left="567" w:hanging="567"/>
      </w:pPr>
      <w:r>
        <w:t>Rarity or representativeness:</w:t>
      </w:r>
    </w:p>
    <w:p w14:paraId="2DBE3020" w14:textId="0F83CE6A" w:rsidR="001A20CD" w:rsidRDefault="001A20CD" w:rsidP="0035682E">
      <w:pPr>
        <w:pStyle w:val="ListParagraph"/>
        <w:numPr>
          <w:ilvl w:val="1"/>
          <w:numId w:val="18"/>
        </w:numPr>
        <w:ind w:left="851" w:hanging="284"/>
      </w:pPr>
      <w:r>
        <w:t>I</w:t>
      </w:r>
      <w:r w:rsidRPr="007A51F8">
        <w:t xml:space="preserve">f </w:t>
      </w:r>
      <w:r>
        <w:t xml:space="preserve">the object is </w:t>
      </w:r>
      <w:r w:rsidRPr="007A51F8">
        <w:t>representative</w:t>
      </w:r>
      <w:r>
        <w:t xml:space="preserve"> of a class, is it </w:t>
      </w:r>
      <w:r w:rsidRPr="007A51F8">
        <w:t>equal to or better than other objects currently he</w:t>
      </w:r>
      <w:r>
        <w:t>ld in collecting institutions?</w:t>
      </w:r>
    </w:p>
    <w:p w14:paraId="7448F46B" w14:textId="77777777" w:rsidR="001A20CD" w:rsidRDefault="001A20CD" w:rsidP="0035682E">
      <w:pPr>
        <w:pStyle w:val="ListParagraph"/>
        <w:numPr>
          <w:ilvl w:val="1"/>
          <w:numId w:val="18"/>
        </w:numPr>
        <w:ind w:left="851" w:hanging="284"/>
      </w:pPr>
      <w:r>
        <w:lastRenderedPageBreak/>
        <w:t>I</w:t>
      </w:r>
      <w:r w:rsidRPr="007A51F8">
        <w:t>f rare</w:t>
      </w:r>
      <w:r>
        <w:t xml:space="preserve">, can that rareness be </w:t>
      </w:r>
      <w:r w:rsidRPr="007A51F8">
        <w:t>demo</w:t>
      </w:r>
      <w:r>
        <w:t>nstrated and why is this significant?</w:t>
      </w:r>
    </w:p>
    <w:p w14:paraId="22DFB69B" w14:textId="77777777" w:rsidR="00AA7153" w:rsidRDefault="001A20CD" w:rsidP="00801A32">
      <w:pPr>
        <w:pStyle w:val="ListParagraph"/>
        <w:numPr>
          <w:ilvl w:val="0"/>
          <w:numId w:val="18"/>
        </w:numPr>
        <w:ind w:left="567" w:hanging="567"/>
      </w:pPr>
      <w:r>
        <w:t>Condition or completeness:</w:t>
      </w:r>
    </w:p>
    <w:p w14:paraId="778BD899" w14:textId="30A14F18" w:rsidR="001A20CD" w:rsidRDefault="001A20CD" w:rsidP="0035682E">
      <w:pPr>
        <w:pStyle w:val="ListParagraph"/>
        <w:numPr>
          <w:ilvl w:val="1"/>
          <w:numId w:val="18"/>
        </w:numPr>
        <w:ind w:left="851" w:hanging="284"/>
      </w:pPr>
      <w:r>
        <w:t>What is the condition and the completeness of the object</w:t>
      </w:r>
      <w:r w:rsidR="00801A32">
        <w:t>—</w:t>
      </w:r>
      <w:r>
        <w:t>taking into account aspects such as or</w:t>
      </w:r>
      <w:r w:rsidRPr="007A51F8">
        <w:t xml:space="preserve">iginal </w:t>
      </w:r>
      <w:r>
        <w:t>condition versus poor restoration; intactness; state of preservation?</w:t>
      </w:r>
    </w:p>
    <w:p w14:paraId="4B015560" w14:textId="77777777" w:rsidR="001A20CD" w:rsidRDefault="001A20CD" w:rsidP="00801A32">
      <w:pPr>
        <w:pStyle w:val="ListParagraph"/>
        <w:numPr>
          <w:ilvl w:val="0"/>
          <w:numId w:val="18"/>
        </w:numPr>
        <w:ind w:left="567" w:hanging="567"/>
      </w:pPr>
      <w:r>
        <w:t>Interpretative capacity:</w:t>
      </w:r>
    </w:p>
    <w:p w14:paraId="252FC43D" w14:textId="18778B52" w:rsidR="00AA7153" w:rsidRDefault="001A20CD" w:rsidP="00801A32">
      <w:pPr>
        <w:pStyle w:val="ListParagraph"/>
        <w:numPr>
          <w:ilvl w:val="1"/>
          <w:numId w:val="18"/>
        </w:numPr>
        <w:ind w:left="1134" w:hanging="567"/>
      </w:pPr>
      <w:r>
        <w:t>What is the context of the object in a</w:t>
      </w:r>
      <w:r w:rsidRPr="007A51F8">
        <w:t xml:space="preserve"> broader narrative</w:t>
      </w:r>
      <w:r>
        <w:t xml:space="preserve"> of Australian culture</w:t>
      </w:r>
      <w:r w:rsidR="00801A32">
        <w:t>—</w:t>
      </w:r>
      <w:r>
        <w:t>whether by enhancing a</w:t>
      </w:r>
      <w:r w:rsidRPr="007A51F8">
        <w:t xml:space="preserve"> story or creating a new o</w:t>
      </w:r>
      <w:r>
        <w:t>ne?</w:t>
      </w:r>
    </w:p>
    <w:p w14:paraId="49CD46A2" w14:textId="7B6D24F5" w:rsidR="001A20CD" w:rsidRPr="007A51F8" w:rsidRDefault="001A20CD" w:rsidP="00801A32">
      <w:pPr>
        <w:pStyle w:val="ListParagraph"/>
        <w:numPr>
          <w:ilvl w:val="1"/>
          <w:numId w:val="18"/>
        </w:numPr>
        <w:ind w:left="1134" w:hanging="567"/>
      </w:pPr>
      <w:r>
        <w:t>Are there intangible aspects to consider?</w:t>
      </w:r>
    </w:p>
    <w:p w14:paraId="631BA41E" w14:textId="77777777" w:rsidR="001A20CD" w:rsidRPr="001D3FB2" w:rsidRDefault="001A20CD" w:rsidP="001D3FB2">
      <w:pPr>
        <w:pStyle w:val="Heading3"/>
      </w:pPr>
      <w:r w:rsidRPr="001D3FB2">
        <w:t>Methodology for undertaking significance assessments</w:t>
      </w:r>
    </w:p>
    <w:p w14:paraId="367408FD" w14:textId="77777777" w:rsidR="001A20CD" w:rsidRDefault="001A20CD" w:rsidP="001A20CD">
      <w:r>
        <w:t>The method for undertaking significance assessments is also a matter for future Guidelines. While it is not appropriate to include the methodology in the legislation, the Guidelines must require evidence to demonstrate the extent of research, consultation and analysis undertaken by an assessor. Example documents and images should be used.</w:t>
      </w:r>
    </w:p>
    <w:p w14:paraId="6757C2A7" w14:textId="77777777" w:rsidR="00AA7153" w:rsidRDefault="001A20CD" w:rsidP="00801A32">
      <w:pPr>
        <w:keepNext/>
      </w:pPr>
      <w:r>
        <w:t xml:space="preserve">The principles established within </w:t>
      </w:r>
      <w:r w:rsidRPr="006805F1">
        <w:rPr>
          <w:i/>
        </w:rPr>
        <w:t>Significance 2.0</w:t>
      </w:r>
      <w:r>
        <w:t xml:space="preserve"> should be considered and adapted for this purpose. For example, the methodology would require the following:</w:t>
      </w:r>
    </w:p>
    <w:p w14:paraId="6455E70C" w14:textId="34882DF4" w:rsidR="001A20CD" w:rsidRDefault="001A20CD" w:rsidP="00B75D30">
      <w:pPr>
        <w:pStyle w:val="ListParagraph"/>
        <w:keepNext/>
        <w:numPr>
          <w:ilvl w:val="0"/>
          <w:numId w:val="78"/>
        </w:numPr>
        <w:ind w:left="567" w:hanging="567"/>
      </w:pPr>
      <w:r>
        <w:t>undertaking research into the history and provenance of the material;</w:t>
      </w:r>
    </w:p>
    <w:p w14:paraId="4E8D9FBC" w14:textId="77777777" w:rsidR="001A20CD" w:rsidRDefault="001A20CD" w:rsidP="00B75D30">
      <w:pPr>
        <w:pStyle w:val="ListParagraph"/>
        <w:numPr>
          <w:ilvl w:val="0"/>
          <w:numId w:val="78"/>
        </w:numPr>
        <w:ind w:left="567" w:hanging="567"/>
      </w:pPr>
      <w:r>
        <w:t>consulting other experts, institutions, Traditional Owners or other relevant parties as appropriate;</w:t>
      </w:r>
    </w:p>
    <w:p w14:paraId="2A35CA1D" w14:textId="77777777" w:rsidR="001A20CD" w:rsidRDefault="001A20CD" w:rsidP="00B75D30">
      <w:pPr>
        <w:pStyle w:val="ListParagraph"/>
        <w:numPr>
          <w:ilvl w:val="0"/>
          <w:numId w:val="78"/>
        </w:numPr>
        <w:ind w:left="567" w:hanging="567"/>
      </w:pPr>
      <w:r>
        <w:t>analysing the full context and nature of the material and information including comparison with other examples; and</w:t>
      </w:r>
    </w:p>
    <w:p w14:paraId="47CD4AA7" w14:textId="77777777" w:rsidR="00AA7153" w:rsidRDefault="001A20CD" w:rsidP="00B75D30">
      <w:pPr>
        <w:pStyle w:val="ListParagraph"/>
        <w:numPr>
          <w:ilvl w:val="0"/>
          <w:numId w:val="78"/>
        </w:numPr>
        <w:ind w:left="567" w:hanging="567"/>
      </w:pPr>
      <w:proofErr w:type="gramStart"/>
      <w:r>
        <w:t>preparing</w:t>
      </w:r>
      <w:proofErr w:type="gramEnd"/>
      <w:r>
        <w:t xml:space="preserve"> a succinct written statement of significance.</w:t>
      </w:r>
    </w:p>
    <w:p w14:paraId="3A98220F" w14:textId="588F87B5" w:rsidR="00AA7153" w:rsidRDefault="001A20CD" w:rsidP="001A20CD">
      <w:r>
        <w:t>Material may be found to be of outstanding significance for any number of reasons. Unlike the models used by some place-based assessments, the use of the primary and comparative criteria to write a succinct statement of significance does not limit the outcome to the material fitting into a particular criteria wording</w:t>
      </w:r>
      <w:r w:rsidR="00801A32">
        <w:t>—</w:t>
      </w:r>
      <w:r>
        <w:t>provided that the legislated criteria are addressed.</w:t>
      </w:r>
    </w:p>
    <w:p w14:paraId="451693EB" w14:textId="29B5B2C6" w:rsidR="001A20CD" w:rsidRPr="001D3FB2" w:rsidRDefault="001A20CD" w:rsidP="001D3FB2">
      <w:pPr>
        <w:pStyle w:val="Heading4"/>
      </w:pPr>
      <w:r w:rsidRPr="001D3FB2">
        <w:lastRenderedPageBreak/>
        <w:t>Importance of the methodology</w:t>
      </w:r>
    </w:p>
    <w:p w14:paraId="0E358913" w14:textId="77777777" w:rsidR="001A20CD" w:rsidRDefault="001A20CD" w:rsidP="001A20CD">
      <w:r>
        <w:t>There are three important reasons to establish legislated standard criteria and provide an articulated methodology that assessors must use when determining the cultural significance of objects. It will:</w:t>
      </w:r>
    </w:p>
    <w:p w14:paraId="36D84431" w14:textId="77777777" w:rsidR="001A20CD" w:rsidRDefault="001A20CD" w:rsidP="00B75D30">
      <w:pPr>
        <w:pStyle w:val="ListParagraph"/>
        <w:numPr>
          <w:ilvl w:val="0"/>
          <w:numId w:val="79"/>
        </w:numPr>
        <w:ind w:left="567" w:hanging="567"/>
      </w:pPr>
      <w:r>
        <w:t>assist assessors to apply the correct criteria;</w:t>
      </w:r>
    </w:p>
    <w:p w14:paraId="21BCDEAC" w14:textId="77777777" w:rsidR="001A20CD" w:rsidRDefault="001A20CD" w:rsidP="00B75D30">
      <w:pPr>
        <w:pStyle w:val="ListParagraph"/>
        <w:numPr>
          <w:ilvl w:val="0"/>
          <w:numId w:val="79"/>
        </w:numPr>
        <w:ind w:left="567" w:hanging="567"/>
      </w:pPr>
      <w:r>
        <w:t>dramatically increase the consistency of assessments across the Control List; and</w:t>
      </w:r>
    </w:p>
    <w:p w14:paraId="5B3BCD8F" w14:textId="77777777" w:rsidR="00AA7153" w:rsidRDefault="001A20CD" w:rsidP="00B75D30">
      <w:pPr>
        <w:pStyle w:val="ListParagraph"/>
        <w:numPr>
          <w:ilvl w:val="0"/>
          <w:numId w:val="79"/>
        </w:numPr>
        <w:ind w:left="567" w:hanging="567"/>
      </w:pPr>
      <w:proofErr w:type="gramStart"/>
      <w:r>
        <w:t>in</w:t>
      </w:r>
      <w:proofErr w:type="gramEnd"/>
      <w:r>
        <w:t xml:space="preserve"> the event of an appeal of the decision to the Administrative Appeals Tribunal, establish the expected nature and quality of evidence upon which export decisions are made.</w:t>
      </w:r>
    </w:p>
    <w:p w14:paraId="427676CF" w14:textId="795F61E7" w:rsidR="001A20CD" w:rsidRPr="001D3FB2" w:rsidRDefault="001A20CD" w:rsidP="001D3FB2">
      <w:pPr>
        <w:pStyle w:val="Heading3"/>
      </w:pPr>
      <w:r w:rsidRPr="001D3FB2">
        <w:t>Significance and collections</w:t>
      </w:r>
    </w:p>
    <w:p w14:paraId="47F19D01" w14:textId="77777777" w:rsidR="00AA7153" w:rsidRDefault="001A20CD" w:rsidP="001A20CD">
      <w:pPr>
        <w:spacing w:before="100" w:beforeAutospacing="1" w:after="100" w:afterAutospacing="1"/>
        <w:rPr>
          <w:rFonts w:eastAsia="Times New Roman" w:cs="Arial"/>
          <w:szCs w:val="24"/>
          <w:lang w:eastAsia="en-AU"/>
        </w:rPr>
      </w:pPr>
      <w:r>
        <w:rPr>
          <w:rFonts w:eastAsia="Times New Roman" w:cs="Arial"/>
          <w:szCs w:val="24"/>
          <w:lang w:eastAsia="en-AU"/>
        </w:rPr>
        <w:t>A</w:t>
      </w:r>
      <w:r w:rsidRPr="0076367B">
        <w:rPr>
          <w:rFonts w:eastAsia="Times New Roman" w:cs="Arial"/>
          <w:szCs w:val="24"/>
          <w:lang w:eastAsia="en-AU"/>
        </w:rPr>
        <w:t xml:space="preserve"> collection </w:t>
      </w:r>
      <w:r>
        <w:rPr>
          <w:rFonts w:eastAsia="Times New Roman" w:cs="Arial"/>
          <w:szCs w:val="24"/>
          <w:lang w:eastAsia="en-AU"/>
        </w:rPr>
        <w:t xml:space="preserve">can be assessed </w:t>
      </w:r>
      <w:r w:rsidRPr="0076367B">
        <w:rPr>
          <w:rFonts w:eastAsia="Times New Roman" w:cs="Arial"/>
          <w:szCs w:val="24"/>
          <w:lang w:eastAsia="en-AU"/>
        </w:rPr>
        <w:t>as a thing in and of itself. For example, this might be the case where a documentary archive</w:t>
      </w:r>
      <w:r>
        <w:rPr>
          <w:rFonts w:eastAsia="Times New Roman" w:cs="Arial"/>
          <w:szCs w:val="24"/>
          <w:lang w:eastAsia="en-AU"/>
        </w:rPr>
        <w:t>,</w:t>
      </w:r>
      <w:r w:rsidRPr="0076367B">
        <w:rPr>
          <w:rFonts w:eastAsia="Times New Roman" w:cs="Arial"/>
          <w:szCs w:val="24"/>
          <w:lang w:eastAsia="en-AU"/>
        </w:rPr>
        <w:t xml:space="preserve"> as a whole</w:t>
      </w:r>
      <w:r>
        <w:rPr>
          <w:rFonts w:eastAsia="Times New Roman" w:cs="Arial"/>
          <w:szCs w:val="24"/>
          <w:lang w:eastAsia="en-AU"/>
        </w:rPr>
        <w:t>, provides a clear understanding</w:t>
      </w:r>
      <w:r w:rsidRPr="0076367B">
        <w:rPr>
          <w:rFonts w:eastAsia="Times New Roman" w:cs="Arial"/>
          <w:szCs w:val="24"/>
          <w:lang w:eastAsia="en-AU"/>
        </w:rPr>
        <w:t xml:space="preserve"> or </w:t>
      </w:r>
      <w:r>
        <w:rPr>
          <w:rFonts w:eastAsia="Times New Roman" w:cs="Arial"/>
          <w:szCs w:val="24"/>
          <w:lang w:eastAsia="en-AU"/>
        </w:rPr>
        <w:t>a new interpretation</w:t>
      </w:r>
      <w:r w:rsidRPr="0076367B">
        <w:rPr>
          <w:rFonts w:eastAsia="Times New Roman" w:cs="Arial"/>
          <w:szCs w:val="24"/>
          <w:lang w:eastAsia="en-AU"/>
        </w:rPr>
        <w:t xml:space="preserve"> of the life of a significant Australian. Individually, the documents may not</w:t>
      </w:r>
      <w:r>
        <w:rPr>
          <w:rFonts w:eastAsia="Times New Roman" w:cs="Arial"/>
          <w:szCs w:val="24"/>
          <w:lang w:eastAsia="en-AU"/>
        </w:rPr>
        <w:t xml:space="preserve"> be significant</w:t>
      </w:r>
      <w:r w:rsidRPr="0076367B">
        <w:rPr>
          <w:rFonts w:eastAsia="Times New Roman" w:cs="Arial"/>
          <w:szCs w:val="24"/>
          <w:lang w:eastAsia="en-AU"/>
        </w:rPr>
        <w:t xml:space="preserve"> but taken as a whole they may be.</w:t>
      </w:r>
    </w:p>
    <w:p w14:paraId="2A028846" w14:textId="2049BD58" w:rsidR="001A20CD" w:rsidRDefault="001A20CD" w:rsidP="00801A32">
      <w:pPr>
        <w:keepNext/>
        <w:spacing w:before="100" w:beforeAutospacing="1" w:after="100" w:afterAutospacing="1"/>
        <w:rPr>
          <w:rFonts w:eastAsia="Times New Roman" w:cs="Arial"/>
          <w:szCs w:val="24"/>
          <w:lang w:val="en-US" w:eastAsia="en-AU"/>
        </w:rPr>
      </w:pPr>
      <w:r>
        <w:rPr>
          <w:rFonts w:eastAsia="Times New Roman" w:cs="Arial"/>
          <w:szCs w:val="24"/>
          <w:lang w:eastAsia="en-AU"/>
        </w:rPr>
        <w:t xml:space="preserve">For example, the </w:t>
      </w:r>
      <w:r w:rsidRPr="0076367B">
        <w:rPr>
          <w:rFonts w:eastAsia="Times New Roman" w:cs="Arial"/>
          <w:szCs w:val="24"/>
          <w:lang w:eastAsia="en-AU"/>
        </w:rPr>
        <w:t xml:space="preserve">significance </w:t>
      </w:r>
      <w:r>
        <w:rPr>
          <w:rFonts w:eastAsia="Times New Roman" w:cs="Arial"/>
          <w:szCs w:val="24"/>
          <w:lang w:eastAsia="en-AU"/>
        </w:rPr>
        <w:t>of the collection may arise</w:t>
      </w:r>
      <w:r w:rsidRPr="0076367B">
        <w:rPr>
          <w:rFonts w:eastAsia="Times New Roman" w:cs="Arial"/>
          <w:szCs w:val="24"/>
          <w:lang w:eastAsia="en-AU"/>
        </w:rPr>
        <w:t xml:space="preserve"> from</w:t>
      </w:r>
      <w:r>
        <w:rPr>
          <w:rFonts w:eastAsia="Times New Roman" w:cs="Arial"/>
          <w:szCs w:val="24"/>
          <w:lang w:val="en-US" w:eastAsia="en-AU"/>
        </w:rPr>
        <w:t>:</w:t>
      </w:r>
    </w:p>
    <w:p w14:paraId="3E32AF89" w14:textId="1F3A758F" w:rsidR="001A20CD" w:rsidRPr="006805F1" w:rsidRDefault="001A20CD" w:rsidP="00801A32">
      <w:pPr>
        <w:pStyle w:val="ListParagraph"/>
        <w:numPr>
          <w:ilvl w:val="0"/>
          <w:numId w:val="77"/>
        </w:numPr>
        <w:spacing w:before="100" w:beforeAutospacing="1" w:after="100" w:afterAutospacing="1"/>
        <w:ind w:left="567" w:hanging="567"/>
        <w:rPr>
          <w:rFonts w:eastAsia="Times New Roman" w:cs="Arial"/>
          <w:szCs w:val="24"/>
          <w:lang w:val="en-US" w:eastAsia="en-AU"/>
        </w:rPr>
      </w:pPr>
      <w:r w:rsidRPr="0076367B">
        <w:rPr>
          <w:rFonts w:eastAsia="Times New Roman" w:cs="Arial"/>
          <w:szCs w:val="24"/>
          <w:lang w:eastAsia="en-AU"/>
        </w:rPr>
        <w:t xml:space="preserve">the fact that </w:t>
      </w:r>
      <w:r w:rsidR="00F33A91">
        <w:rPr>
          <w:rFonts w:eastAsia="Times New Roman" w:cs="Arial"/>
          <w:szCs w:val="24"/>
          <w:lang w:eastAsia="en-AU"/>
        </w:rPr>
        <w:t xml:space="preserve">the </w:t>
      </w:r>
      <w:r w:rsidRPr="0076367B">
        <w:rPr>
          <w:rFonts w:eastAsia="Times New Roman" w:cs="Arial"/>
          <w:szCs w:val="24"/>
          <w:lang w:eastAsia="en-AU"/>
        </w:rPr>
        <w:t>collection was amassed and curated by a particular collector</w:t>
      </w:r>
      <w:r w:rsidR="00801A32">
        <w:rPr>
          <w:rFonts w:eastAsia="Times New Roman" w:cs="Arial"/>
          <w:szCs w:val="24"/>
          <w:lang w:eastAsia="en-AU"/>
        </w:rPr>
        <w:t>—</w:t>
      </w:r>
      <w:r w:rsidRPr="0076367B">
        <w:rPr>
          <w:rFonts w:eastAsia="Times New Roman" w:cs="Arial"/>
          <w:szCs w:val="24"/>
          <w:lang w:eastAsia="en-AU"/>
        </w:rPr>
        <w:t>for example, objects from the extraordinary and diverse Kerry Stokes Collection</w:t>
      </w:r>
      <w:r>
        <w:rPr>
          <w:rFonts w:eastAsia="Times New Roman" w:cs="Arial"/>
          <w:szCs w:val="24"/>
          <w:lang w:eastAsia="en-AU"/>
        </w:rPr>
        <w:t>;</w:t>
      </w:r>
    </w:p>
    <w:p w14:paraId="3984E6E6" w14:textId="4A367125" w:rsidR="001A20CD" w:rsidRDefault="001A20CD" w:rsidP="00801A32">
      <w:pPr>
        <w:pStyle w:val="ListParagraph"/>
        <w:numPr>
          <w:ilvl w:val="0"/>
          <w:numId w:val="77"/>
        </w:numPr>
        <w:spacing w:before="100" w:beforeAutospacing="1" w:after="100" w:afterAutospacing="1"/>
        <w:ind w:left="567" w:hanging="567"/>
        <w:rPr>
          <w:rFonts w:eastAsia="Times New Roman" w:cs="Arial"/>
          <w:szCs w:val="24"/>
          <w:lang w:val="en-US" w:eastAsia="en-AU"/>
        </w:rPr>
      </w:pPr>
      <w:r>
        <w:rPr>
          <w:rFonts w:eastAsia="Times New Roman" w:cs="Arial"/>
          <w:szCs w:val="24"/>
          <w:lang w:eastAsia="en-AU"/>
        </w:rPr>
        <w:t>an object’s</w:t>
      </w:r>
      <w:r w:rsidRPr="0076367B">
        <w:rPr>
          <w:rFonts w:eastAsia="Times New Roman" w:cs="Arial"/>
          <w:szCs w:val="24"/>
          <w:lang w:eastAsia="en-AU"/>
        </w:rPr>
        <w:t xml:space="preserve"> a</w:t>
      </w:r>
      <w:r>
        <w:rPr>
          <w:rFonts w:eastAsia="Times New Roman" w:cs="Arial"/>
          <w:szCs w:val="24"/>
          <w:lang w:eastAsia="en-AU"/>
        </w:rPr>
        <w:t>ssociation or relationship with other objects</w:t>
      </w:r>
      <w:r w:rsidR="00AA7153">
        <w:rPr>
          <w:rFonts w:eastAsia="Times New Roman" w:cs="Arial"/>
          <w:szCs w:val="24"/>
          <w:lang w:eastAsia="en-AU"/>
        </w:rPr>
        <w:t>—</w:t>
      </w:r>
      <w:r>
        <w:rPr>
          <w:rFonts w:eastAsia="Times New Roman" w:cs="Arial"/>
          <w:szCs w:val="24"/>
          <w:lang w:eastAsia="en-AU"/>
        </w:rPr>
        <w:t>f</w:t>
      </w:r>
      <w:r w:rsidRPr="0076367B">
        <w:rPr>
          <w:rFonts w:eastAsia="Times New Roman" w:cs="Arial"/>
          <w:szCs w:val="24"/>
          <w:lang w:eastAsia="en-AU"/>
        </w:rPr>
        <w:t xml:space="preserve">or example, </w:t>
      </w:r>
      <w:r w:rsidRPr="006805F1">
        <w:rPr>
          <w:rFonts w:eastAsia="Times New Roman" w:cs="Arial"/>
          <w:szCs w:val="24"/>
          <w:lang w:val="en-US" w:eastAsia="en-AU"/>
        </w:rPr>
        <w:t xml:space="preserve">a 25-year correspondence </w:t>
      </w:r>
      <w:r>
        <w:rPr>
          <w:rFonts w:eastAsia="Times New Roman" w:cs="Arial"/>
          <w:szCs w:val="24"/>
          <w:lang w:val="en-US" w:eastAsia="en-AU"/>
        </w:rPr>
        <w:t xml:space="preserve">relationship </w:t>
      </w:r>
      <w:r w:rsidRPr="006805F1">
        <w:rPr>
          <w:rFonts w:eastAsia="Times New Roman" w:cs="Arial"/>
          <w:szCs w:val="24"/>
          <w:lang w:val="en-US" w:eastAsia="en-AU"/>
        </w:rPr>
        <w:t xml:space="preserve">between </w:t>
      </w:r>
      <w:r>
        <w:rPr>
          <w:rFonts w:eastAsia="Times New Roman" w:cs="Arial"/>
          <w:szCs w:val="24"/>
          <w:lang w:val="en-US" w:eastAsia="en-AU"/>
        </w:rPr>
        <w:t>‘</w:t>
      </w:r>
      <w:r w:rsidRPr="006805F1">
        <w:rPr>
          <w:rFonts w:eastAsia="Times New Roman" w:cs="Arial"/>
          <w:szCs w:val="24"/>
          <w:lang w:val="en-US" w:eastAsia="en-AU"/>
        </w:rPr>
        <w:t xml:space="preserve">ordinary </w:t>
      </w:r>
      <w:r>
        <w:rPr>
          <w:rFonts w:eastAsia="Times New Roman" w:cs="Arial"/>
          <w:szCs w:val="24"/>
          <w:lang w:val="en-US" w:eastAsia="en-AU"/>
        </w:rPr>
        <w:t>Australians’ that</w:t>
      </w:r>
      <w:r w:rsidRPr="006805F1">
        <w:rPr>
          <w:rFonts w:eastAsia="Times New Roman" w:cs="Arial"/>
          <w:szCs w:val="24"/>
          <w:lang w:val="en-US" w:eastAsia="en-AU"/>
        </w:rPr>
        <w:t xml:space="preserve"> may contain no individual document of enormous import but, as a whole, may present a picture of what it was like to live an ordinary life in that community or place during those years</w:t>
      </w:r>
      <w:r>
        <w:rPr>
          <w:rFonts w:eastAsia="Times New Roman" w:cs="Arial"/>
          <w:szCs w:val="24"/>
          <w:lang w:val="en-US" w:eastAsia="en-AU"/>
        </w:rPr>
        <w:t>;</w:t>
      </w:r>
    </w:p>
    <w:p w14:paraId="5D036637" w14:textId="77777777" w:rsidR="00AA7153" w:rsidRDefault="001A20CD" w:rsidP="00801A32">
      <w:pPr>
        <w:pStyle w:val="ListParagraph"/>
        <w:numPr>
          <w:ilvl w:val="0"/>
          <w:numId w:val="77"/>
        </w:numPr>
        <w:spacing w:before="100" w:beforeAutospacing="1" w:after="100" w:afterAutospacing="1"/>
        <w:ind w:left="567" w:hanging="567"/>
        <w:rPr>
          <w:rFonts w:eastAsia="Times New Roman" w:cs="Arial"/>
          <w:szCs w:val="24"/>
          <w:lang w:eastAsia="en-AU"/>
        </w:rPr>
      </w:pPr>
      <w:r>
        <w:rPr>
          <w:rFonts w:eastAsia="Times New Roman" w:cs="Arial"/>
          <w:szCs w:val="24"/>
          <w:lang w:val="en-US" w:eastAsia="en-AU"/>
        </w:rPr>
        <w:t>its contribution to research, scientific knowledge or public record (such as a specimen or numismatic collection) where it is possible that some individual specimens would be significant but there is added value and significance in the material being collected together.</w:t>
      </w:r>
    </w:p>
    <w:p w14:paraId="5FDE155D" w14:textId="1B210682" w:rsidR="001A20CD" w:rsidRPr="001D3FB2" w:rsidRDefault="001A20CD" w:rsidP="001D3FB2">
      <w:pPr>
        <w:pStyle w:val="Heading3"/>
      </w:pPr>
      <w:r w:rsidRPr="001D3FB2">
        <w:lastRenderedPageBreak/>
        <w:t>Significance over time</w:t>
      </w:r>
    </w:p>
    <w:p w14:paraId="65E68D8A" w14:textId="77777777" w:rsidR="001A20CD" w:rsidRDefault="001A20CD" w:rsidP="001A20CD">
      <w:r>
        <w:t>The relative significance of material may change over time. Further information and context might be discovered or cultural attitudes may change, so that what is rated as not of outstanding significance today may become significant with the passage of time. The reverse is also possible.</w:t>
      </w:r>
    </w:p>
    <w:p w14:paraId="58D0D188" w14:textId="77777777" w:rsidR="001A20CD" w:rsidRPr="001D3FB2" w:rsidRDefault="001A20CD" w:rsidP="001D3FB2">
      <w:pPr>
        <w:pStyle w:val="Heading4"/>
      </w:pPr>
      <w:r w:rsidRPr="001D3FB2">
        <w:t>Significance assessments valid for 5 years</w:t>
      </w:r>
    </w:p>
    <w:p w14:paraId="3C23C251" w14:textId="77777777" w:rsidR="00AA7153" w:rsidRDefault="001A20CD" w:rsidP="001A20CD">
      <w:r>
        <w:t>It is therefore proposed that a significance assessment made under the scheme has a set period of validity, after which the significance must be re-assessed. It is proposed that this time be set at five years.</w:t>
      </w:r>
    </w:p>
    <w:p w14:paraId="39C44F37" w14:textId="667546A3" w:rsidR="001A20CD" w:rsidRDefault="001A20CD" w:rsidP="001A20CD">
      <w:bookmarkStart w:id="64" w:name="_Toc419448761"/>
      <w:bookmarkStart w:id="65" w:name="_Toc419455874"/>
      <w:r>
        <w:t xml:space="preserve">This does </w:t>
      </w:r>
      <w:r w:rsidRPr="005E2476">
        <w:rPr>
          <w:b/>
        </w:rPr>
        <w:t>not</w:t>
      </w:r>
      <w:r>
        <w:t xml:space="preserve"> mean that all material previously assessed must be re-assessed every five years. What it does mean is that:</w:t>
      </w:r>
    </w:p>
    <w:p w14:paraId="3B1FC547" w14:textId="77777777" w:rsidR="001A20CD" w:rsidRDefault="001A20CD" w:rsidP="00801A32">
      <w:pPr>
        <w:pStyle w:val="ListParagraph"/>
        <w:numPr>
          <w:ilvl w:val="0"/>
          <w:numId w:val="80"/>
        </w:numPr>
        <w:ind w:left="567" w:hanging="567"/>
      </w:pPr>
      <w:r>
        <w:t>where an object has been denied export, after 5 years the owner is able to request a new significance assessment as part of a new export application; and</w:t>
      </w:r>
    </w:p>
    <w:p w14:paraId="04AA4184" w14:textId="77777777" w:rsidR="00AA7153" w:rsidRDefault="001A20CD" w:rsidP="00801A32">
      <w:pPr>
        <w:pStyle w:val="ListParagraph"/>
        <w:numPr>
          <w:ilvl w:val="0"/>
          <w:numId w:val="80"/>
        </w:numPr>
        <w:ind w:left="567" w:hanging="567"/>
      </w:pPr>
      <w:proofErr w:type="gramStart"/>
      <w:r>
        <w:t>where</w:t>
      </w:r>
      <w:proofErr w:type="gramEnd"/>
      <w:r>
        <w:t xml:space="preserve"> an object was granted export permission but not exported during the following 5 years,</w:t>
      </w:r>
      <w:r>
        <w:rPr>
          <w:rStyle w:val="FootnoteReference"/>
        </w:rPr>
        <w:footnoteReference w:id="44"/>
      </w:r>
      <w:r>
        <w:t xml:space="preserve"> the owner cannot rely on the earlier assessment</w:t>
      </w:r>
      <w:r w:rsidR="00B33AF7">
        <w:t xml:space="preserve"> and</w:t>
      </w:r>
      <w:r>
        <w:t xml:space="preserve"> must reapply for a new export permit.</w:t>
      </w:r>
    </w:p>
    <w:p w14:paraId="46DB39D9" w14:textId="42E274DE" w:rsidR="001A20CD" w:rsidRDefault="001A20CD" w:rsidP="001A20CD">
      <w:r>
        <w:t>The protected status of the object is no longer permanent and thus the refusal decision is not permanent. For example, assume an object had been assessed as significant and not adequately represented in public collections. If the representation of the object changes, the object may well be reassessed and a permit granted: it is still significant but now it is adequately represented. Indeed, there has already been a situation in which a party refused export permission on the basis of inadequate representation in public collections donated a quantity of that type of material to a public collection so that the representation criterion could be fulfilled.</w:t>
      </w:r>
    </w:p>
    <w:p w14:paraId="634712B2" w14:textId="77777777" w:rsidR="001A20CD" w:rsidRPr="001D3FB2" w:rsidRDefault="001A20CD" w:rsidP="001D3FB2">
      <w:pPr>
        <w:pStyle w:val="Heading3"/>
      </w:pPr>
      <w:r w:rsidRPr="001D3FB2">
        <w:t>Significance to Australia or part of Australia</w:t>
      </w:r>
    </w:p>
    <w:p w14:paraId="2548A971" w14:textId="3BDF2EA1" w:rsidR="00AA7153" w:rsidRDefault="001A20CD" w:rsidP="001A20CD">
      <w:r>
        <w:t xml:space="preserve">Significant </w:t>
      </w:r>
      <w:r w:rsidRPr="0075033E">
        <w:t xml:space="preserve">heritage value to the nation does not </w:t>
      </w:r>
      <w:r>
        <w:t>require</w:t>
      </w:r>
      <w:r w:rsidRPr="0075033E">
        <w:t xml:space="preserve"> that </w:t>
      </w:r>
      <w:r>
        <w:t>material</w:t>
      </w:r>
      <w:r w:rsidRPr="0075033E">
        <w:t xml:space="preserve"> be important to </w:t>
      </w:r>
      <w:r w:rsidRPr="009056A8">
        <w:rPr>
          <w:b/>
        </w:rPr>
        <w:t>all</w:t>
      </w:r>
      <w:r w:rsidRPr="0075033E">
        <w:t xml:space="preserve"> Australians. </w:t>
      </w:r>
      <w:r>
        <w:t xml:space="preserve">Several of those who have made submissions to previous reviews misunderstand the degree of </w:t>
      </w:r>
      <w:r w:rsidR="00244279">
        <w:t>significance that is required: t</w:t>
      </w:r>
      <w:r>
        <w:t xml:space="preserve">he PMCH framework is not </w:t>
      </w:r>
      <w:r>
        <w:lastRenderedPageBreak/>
        <w:t>a ‘national treasures’ scheme. Material</w:t>
      </w:r>
      <w:r w:rsidRPr="0075033E">
        <w:t xml:space="preserve"> may be highly significant to a part of Australia</w:t>
      </w:r>
      <w:r>
        <w:t>, a group of Australians,</w:t>
      </w:r>
      <w:r>
        <w:rPr>
          <w:rStyle w:val="FootnoteReference"/>
        </w:rPr>
        <w:footnoteReference w:id="45"/>
      </w:r>
      <w:r>
        <w:t xml:space="preserve"> </w:t>
      </w:r>
      <w:r w:rsidRPr="0075033E">
        <w:t>or may connect to a national theme.</w:t>
      </w:r>
    </w:p>
    <w:p w14:paraId="31E99A58" w14:textId="00C114FD" w:rsidR="001A20CD" w:rsidRDefault="001A20CD" w:rsidP="001A20CD">
      <w:bookmarkStart w:id="66" w:name="_Toc419455875"/>
      <w:r>
        <w:t>The Act is explicit</w:t>
      </w:r>
      <w:r w:rsidR="00801A32">
        <w:t>—</w:t>
      </w:r>
      <w:r>
        <w:t>if the material is of significance to the nation or to any part of it, that significance can justify export protection of the material.</w:t>
      </w:r>
      <w:bookmarkEnd w:id="66"/>
      <w:r>
        <w:t xml:space="preserve"> This approach is retained in the new model.</w:t>
      </w:r>
    </w:p>
    <w:p w14:paraId="69D2EB52" w14:textId="77777777" w:rsidR="001A20CD" w:rsidRPr="001D3FB2" w:rsidRDefault="001A20CD" w:rsidP="001D3FB2">
      <w:pPr>
        <w:pStyle w:val="Heading3"/>
      </w:pPr>
      <w:r w:rsidRPr="001D3FB2">
        <w:t>Recognition of significance assessments made by other levels of government</w:t>
      </w:r>
      <w:bookmarkEnd w:id="64"/>
      <w:bookmarkEnd w:id="65"/>
    </w:p>
    <w:p w14:paraId="6009F1F3" w14:textId="77777777" w:rsidR="00AA7153" w:rsidRDefault="001A20CD" w:rsidP="001A20CD">
      <w:bookmarkStart w:id="67" w:name="_Toc419455876"/>
      <w:r>
        <w:t xml:space="preserve">There is much material on national, state or territory heritage lists that </w:t>
      </w:r>
      <w:r w:rsidRPr="005578DD">
        <w:t>ha</w:t>
      </w:r>
      <w:r>
        <w:t>s</w:t>
      </w:r>
      <w:r w:rsidRPr="005578DD">
        <w:t xml:space="preserve"> already been </w:t>
      </w:r>
      <w:r>
        <w:t xml:space="preserve">assessed as significant to the nation, or to a particular state, region, place or community. It is recommended that, for the first time, the Act recognise the significance of assessments already carried out by other Commonwealth bodies and </w:t>
      </w:r>
      <w:r w:rsidRPr="00B950CE">
        <w:t>state and territory governments</w:t>
      </w:r>
      <w:r>
        <w:t>.</w:t>
      </w:r>
    </w:p>
    <w:p w14:paraId="56521574" w14:textId="6F991D67" w:rsidR="001A20CD" w:rsidRDefault="001A20CD" w:rsidP="001A20CD">
      <w:bookmarkStart w:id="68" w:name="_Toc419455877"/>
      <w:bookmarkEnd w:id="67"/>
      <w:r>
        <w:t>There are several reasons for this recommendation:</w:t>
      </w:r>
      <w:bookmarkStart w:id="69" w:name="_Toc419455878"/>
      <w:bookmarkEnd w:id="68"/>
    </w:p>
    <w:p w14:paraId="260DF209" w14:textId="2BAAED48" w:rsidR="001A20CD" w:rsidRDefault="001A20CD" w:rsidP="00801A32">
      <w:pPr>
        <w:pStyle w:val="ListParagraph"/>
        <w:numPr>
          <w:ilvl w:val="0"/>
          <w:numId w:val="14"/>
        </w:numPr>
        <w:ind w:left="567" w:hanging="567"/>
      </w:pPr>
      <w:r>
        <w:t>it is cost effective and efficient to recognise the significance assessment already made;</w:t>
      </w:r>
      <w:bookmarkStart w:id="70" w:name="_Toc419455879"/>
      <w:bookmarkEnd w:id="69"/>
      <w:r w:rsidR="00B33AF7">
        <w:t xml:space="preserve"> and</w:t>
      </w:r>
    </w:p>
    <w:p w14:paraId="000B1685" w14:textId="5A0BA305" w:rsidR="001A20CD" w:rsidRDefault="001A20CD" w:rsidP="00801A32">
      <w:pPr>
        <w:pStyle w:val="ListParagraph"/>
        <w:numPr>
          <w:ilvl w:val="0"/>
          <w:numId w:val="14"/>
        </w:numPr>
        <w:ind w:left="567" w:hanging="567"/>
      </w:pPr>
      <w:proofErr w:type="gramStart"/>
      <w:r>
        <w:t>the</w:t>
      </w:r>
      <w:proofErr w:type="gramEnd"/>
      <w:r>
        <w:t xml:space="preserve"> local significance has been assessed and agreed by those living in the relevant areas and those citizens and communities have a right to expect material of acknowledged significance to be afforded protection</w:t>
      </w:r>
      <w:bookmarkStart w:id="71" w:name="_Toc419455880"/>
      <w:bookmarkEnd w:id="70"/>
      <w:r w:rsidR="00DC003A">
        <w:t>.</w:t>
      </w:r>
    </w:p>
    <w:p w14:paraId="5D5C5471" w14:textId="77777777" w:rsidR="00AA7153" w:rsidRDefault="001A20CD" w:rsidP="001A20CD">
      <w:bookmarkStart w:id="72" w:name="_Toc419455881"/>
      <w:bookmarkEnd w:id="71"/>
      <w:r>
        <w:t>It is proposed that material that has been explicitly assessed as significant to local regions of Australia whether under other Commonwealth legislation</w:t>
      </w:r>
      <w:r>
        <w:rPr>
          <w:rStyle w:val="FootnoteReference"/>
        </w:rPr>
        <w:footnoteReference w:id="46"/>
      </w:r>
      <w:r>
        <w:t xml:space="preserve"> or legislative schemes of state and territory governments, be automatically treated as Declared Australian Protected Material.</w:t>
      </w:r>
      <w:r>
        <w:rPr>
          <w:rStyle w:val="FootnoteReference"/>
        </w:rPr>
        <w:footnoteReference w:id="47"/>
      </w:r>
      <w:r>
        <w:t xml:space="preserve"> This would ensure that the Act is able to function as a safety net, providing automatic protection to material that has been given the highest degree of protection under state or territory legislation.</w:t>
      </w:r>
    </w:p>
    <w:p w14:paraId="08F561AB" w14:textId="77777777" w:rsidR="00AA7153" w:rsidRDefault="001A20CD" w:rsidP="001A20CD">
      <w:r>
        <w:t xml:space="preserve">Some local governments also protect cultural material that is significant to their community. Some of these have more rigorous assessments than others; some have long lists of objects while some are much more restrained. Because of the dramatic </w:t>
      </w:r>
      <w:r>
        <w:lastRenderedPageBreak/>
        <w:t>variances and inconsistency in the assessment processes, it is not recommended that material on a list maintained by a local government be given automatic protection.</w:t>
      </w:r>
      <w:r>
        <w:rPr>
          <w:rStyle w:val="FootnoteReference"/>
        </w:rPr>
        <w:footnoteReference w:id="48"/>
      </w:r>
    </w:p>
    <w:p w14:paraId="30FB28F1" w14:textId="3A206CA9" w:rsidR="001A20CD" w:rsidRPr="00070287" w:rsidRDefault="001A20CD" w:rsidP="006B5E88">
      <w:pPr>
        <w:pStyle w:val="Heading3"/>
      </w:pPr>
      <w:bookmarkStart w:id="73" w:name="_Toc430674530"/>
      <w:bookmarkStart w:id="74" w:name="_Toc430674533"/>
      <w:bookmarkStart w:id="75" w:name="_Toc430674536"/>
      <w:bookmarkEnd w:id="72"/>
      <w:bookmarkEnd w:id="73"/>
      <w:bookmarkEnd w:id="74"/>
      <w:bookmarkEnd w:id="75"/>
      <w:r w:rsidRPr="00070287">
        <w:t>Representation in public collections</w:t>
      </w:r>
    </w:p>
    <w:p w14:paraId="3B31B207" w14:textId="7400C285" w:rsidR="00AA7153" w:rsidRDefault="001A20CD" w:rsidP="001A20CD">
      <w:r w:rsidRPr="0075033E">
        <w:t xml:space="preserve">One of the important (and often misunderstood) thresholds is that of ‘representation in public collections’. In brief, for some classes of cultural material, a permanent export permit may be granted notwithstanding that the </w:t>
      </w:r>
      <w:r>
        <w:t>material</w:t>
      </w:r>
      <w:r w:rsidRPr="0075033E">
        <w:t xml:space="preserve"> </w:t>
      </w:r>
      <w:r>
        <w:t>is</w:t>
      </w:r>
      <w:r w:rsidRPr="0075033E">
        <w:t xml:space="preserve"> of high or </w:t>
      </w:r>
      <w:r>
        <w:t xml:space="preserve">even </w:t>
      </w:r>
      <w:r w:rsidRPr="0075033E">
        <w:t>outstanding significance</w:t>
      </w:r>
      <w:r w:rsidR="00AA7153">
        <w:t>—</w:t>
      </w:r>
      <w:r w:rsidRPr="0075033E">
        <w:t>because there are already examples of similar description and quality in public collections.</w:t>
      </w:r>
    </w:p>
    <w:p w14:paraId="76116469" w14:textId="77777777" w:rsidR="00AA7153" w:rsidRDefault="001A20CD" w:rsidP="001A20CD">
      <w:r>
        <w:t xml:space="preserve">As a principle, that is correct. However, the present drafting is confusing in that, depending on the nature of the object, </w:t>
      </w:r>
      <w:r w:rsidRPr="00B54196">
        <w:t>different tests are to be applied</w:t>
      </w:r>
      <w:r>
        <w:t>.</w:t>
      </w:r>
    </w:p>
    <w:p w14:paraId="5E473F94" w14:textId="77777777" w:rsidR="00AA7153" w:rsidRDefault="001A20CD" w:rsidP="001A20CD">
      <w:r>
        <w:t xml:space="preserve">Generally the test in the current Control List is presented in a numeric fashion, namely </w:t>
      </w:r>
      <w:r w:rsidRPr="006C1018">
        <w:t xml:space="preserve">whether the material </w:t>
      </w:r>
      <w:r>
        <w:t>‘</w:t>
      </w:r>
      <w:r w:rsidRPr="006C1018">
        <w:rPr>
          <w:i/>
          <w:iCs/>
        </w:rPr>
        <w:t>is not represented in at least 2 public collections in Australia by an object of equivalent quality</w:t>
      </w:r>
      <w:r>
        <w:t xml:space="preserve">’. However there are Parts of the Control List that use a different test: </w:t>
      </w:r>
      <w:r w:rsidRPr="00B54196">
        <w:t xml:space="preserve">that the object </w:t>
      </w:r>
      <w:r>
        <w:rPr>
          <w:i/>
        </w:rPr>
        <w:t>‘</w:t>
      </w:r>
      <w:r w:rsidRPr="00B54196">
        <w:rPr>
          <w:i/>
          <w:iCs/>
        </w:rPr>
        <w:t>is not adequately represented in public collections in Australia</w:t>
      </w:r>
      <w:r>
        <w:rPr>
          <w:i/>
        </w:rPr>
        <w:t>’</w:t>
      </w:r>
      <w:r w:rsidRPr="00B54196">
        <w:t>.</w:t>
      </w:r>
      <w:r>
        <w:rPr>
          <w:bCs/>
        </w:rPr>
        <w:t xml:space="preserve"> </w:t>
      </w:r>
      <w:r>
        <w:t>This is a subjective not a numeric criterion and a question of judgement rather than mathematics.</w:t>
      </w:r>
    </w:p>
    <w:p w14:paraId="3BCAE0B4" w14:textId="0DEA52FF" w:rsidR="001A20CD" w:rsidRPr="00543B78" w:rsidRDefault="001A20CD" w:rsidP="001A20CD">
      <w:pPr>
        <w:rPr>
          <w:bCs/>
        </w:rPr>
      </w:pPr>
      <w:r w:rsidRPr="00144A7E">
        <w:t>Several incidents indicate that</w:t>
      </w:r>
      <w:r>
        <w:t>,</w:t>
      </w:r>
      <w:r w:rsidRPr="00144A7E">
        <w:t xml:space="preserve"> all too often, those wishing to export heritage </w:t>
      </w:r>
      <w:r>
        <w:t>material treat the representation</w:t>
      </w:r>
      <w:r w:rsidRPr="00144A7E">
        <w:t xml:space="preserve"> threshold as a purely numerical exercise</w:t>
      </w:r>
      <w:r w:rsidR="00801A32">
        <w:t>—</w:t>
      </w:r>
      <w:r w:rsidRPr="00144A7E">
        <w:t>ignoring the requirement that the objects in the collectio</w:t>
      </w:r>
      <w:r>
        <w:t>ns be ‘of equivalent quality’.</w:t>
      </w:r>
    </w:p>
    <w:p w14:paraId="4CA85378" w14:textId="77777777" w:rsidR="00AA7153" w:rsidRDefault="001A20CD" w:rsidP="001A20CD">
      <w:r w:rsidRPr="0075033E">
        <w:t xml:space="preserve">To </w:t>
      </w:r>
      <w:r>
        <w:t xml:space="preserve">further </w:t>
      </w:r>
      <w:r w:rsidRPr="0075033E">
        <w:t xml:space="preserve">complicate matters, each of these tests may have </w:t>
      </w:r>
      <w:r>
        <w:t xml:space="preserve">qualifiers. For example, with philatelic objects, </w:t>
      </w:r>
      <w:r w:rsidRPr="0075033E">
        <w:t>the requirements</w:t>
      </w:r>
      <w:r>
        <w:t xml:space="preserve"> in Part 8 section 8.2 of the Regulations state that the object:</w:t>
      </w:r>
    </w:p>
    <w:p w14:paraId="6B310210" w14:textId="77777777" w:rsidR="00AA7153" w:rsidRDefault="001A20CD" w:rsidP="00801A32">
      <w:pPr>
        <w:spacing w:after="0"/>
        <w:ind w:left="567" w:hanging="567"/>
        <w:rPr>
          <w:i/>
          <w:iCs/>
        </w:rPr>
      </w:pPr>
      <w:r w:rsidRPr="0075033E">
        <w:t>(</w:t>
      </w:r>
      <w:r w:rsidRPr="0075033E">
        <w:rPr>
          <w:i/>
          <w:iCs/>
        </w:rPr>
        <w:t>c)</w:t>
      </w:r>
      <w:r>
        <w:rPr>
          <w:i/>
          <w:iCs/>
        </w:rPr>
        <w:tab/>
      </w:r>
      <w:proofErr w:type="gramStart"/>
      <w:r>
        <w:rPr>
          <w:i/>
          <w:iCs/>
        </w:rPr>
        <w:t>is</w:t>
      </w:r>
      <w:proofErr w:type="gramEnd"/>
      <w:r>
        <w:rPr>
          <w:i/>
          <w:iCs/>
        </w:rPr>
        <w:t xml:space="preserve"> </w:t>
      </w:r>
      <w:r w:rsidRPr="0075033E">
        <w:rPr>
          <w:i/>
          <w:iCs/>
        </w:rPr>
        <w:t>an object of which no more than 2 examples are known to exist in Australia; and</w:t>
      </w:r>
    </w:p>
    <w:p w14:paraId="213E7711" w14:textId="31AE18CD" w:rsidR="001A20CD" w:rsidRDefault="001A20CD" w:rsidP="00801A32">
      <w:pPr>
        <w:spacing w:after="0"/>
        <w:ind w:left="567" w:hanging="567"/>
      </w:pPr>
      <w:r w:rsidRPr="0075033E">
        <w:rPr>
          <w:i/>
          <w:iCs/>
        </w:rPr>
        <w:t>(d)</w:t>
      </w:r>
      <w:r>
        <w:rPr>
          <w:i/>
          <w:iCs/>
        </w:rPr>
        <w:tab/>
      </w:r>
      <w:proofErr w:type="gramStart"/>
      <w:r w:rsidRPr="0075033E">
        <w:rPr>
          <w:i/>
          <w:iCs/>
        </w:rPr>
        <w:t>is</w:t>
      </w:r>
      <w:proofErr w:type="gramEnd"/>
      <w:r w:rsidRPr="0075033E">
        <w:rPr>
          <w:i/>
          <w:iCs/>
        </w:rPr>
        <w:t xml:space="preserve"> not represented in at least 2 public collections in Australia by an object of equivalent quality.</w:t>
      </w:r>
    </w:p>
    <w:p w14:paraId="0D0EDE9A" w14:textId="77777777" w:rsidR="00AA7153" w:rsidRDefault="001A20CD" w:rsidP="001A20CD">
      <w:r w:rsidRPr="0075033E">
        <w:lastRenderedPageBreak/>
        <w:t>The issue</w:t>
      </w:r>
      <w:r>
        <w:t>s raised by this provision would be as well suited to a class in applied logic as they would be to a court faced with its legal interpretation. At first glance, it is simple. In application, it is flawed.</w:t>
      </w:r>
    </w:p>
    <w:p w14:paraId="349402F8" w14:textId="522914C6" w:rsidR="001A20CD" w:rsidRPr="00F905D7" w:rsidRDefault="001A20CD" w:rsidP="001A20CD">
      <w:pPr>
        <w:rPr>
          <w:rFonts w:eastAsiaTheme="minorEastAsia"/>
          <w:color w:val="000000"/>
        </w:rPr>
      </w:pPr>
      <w:r>
        <w:rPr>
          <w:rFonts w:eastAsiaTheme="minorEastAsia"/>
          <w:color w:val="000000"/>
        </w:rPr>
        <w:t>I</w:t>
      </w:r>
      <w:r w:rsidRPr="006C1018">
        <w:rPr>
          <w:rFonts w:eastAsiaTheme="minorEastAsia"/>
          <w:color w:val="000000"/>
        </w:rPr>
        <w:t>nterestingly, for Objects of Fine or Decorative Art</w:t>
      </w:r>
      <w:r>
        <w:t>,</w:t>
      </w:r>
      <w:r w:rsidRPr="006C1018">
        <w:rPr>
          <w:rFonts w:eastAsiaTheme="minorEastAsia"/>
          <w:color w:val="000000"/>
        </w:rPr>
        <w:t xml:space="preserve"> there are no numeric or representation thresholds. There should be. Just as with objects described in other Parts, it may well be that even if a work of art, craft or design is highly significant, there may already be several examples</w:t>
      </w:r>
      <w:r w:rsidR="00F33A91">
        <w:rPr>
          <w:rFonts w:eastAsiaTheme="minorEastAsia"/>
          <w:color w:val="000000"/>
        </w:rPr>
        <w:t xml:space="preserve"> of equivalent quality</w:t>
      </w:r>
      <w:r w:rsidRPr="006C1018">
        <w:rPr>
          <w:rFonts w:eastAsiaTheme="minorEastAsia"/>
          <w:color w:val="000000"/>
        </w:rPr>
        <w:t xml:space="preserve"> in public collections</w:t>
      </w:r>
      <w:r w:rsidR="00F33A91">
        <w:rPr>
          <w:rFonts w:eastAsiaTheme="minorEastAsia"/>
          <w:color w:val="000000"/>
        </w:rPr>
        <w:t>,</w:t>
      </w:r>
      <w:r w:rsidRPr="006C1018">
        <w:rPr>
          <w:rFonts w:eastAsiaTheme="minorEastAsia"/>
          <w:color w:val="000000"/>
        </w:rPr>
        <w:t xml:space="preserve"> thus diminishing the rationale for requiring this example to be retained in Australia.</w:t>
      </w:r>
    </w:p>
    <w:p w14:paraId="2D42B8D7" w14:textId="77777777" w:rsidR="001A20CD" w:rsidRPr="006B5E88" w:rsidRDefault="001A20CD" w:rsidP="006B5E88">
      <w:pPr>
        <w:pStyle w:val="Heading4"/>
      </w:pPr>
      <w:r w:rsidRPr="006B5E88">
        <w:t>Equivalent quality</w:t>
      </w:r>
    </w:p>
    <w:p w14:paraId="24D96728" w14:textId="77777777" w:rsidR="00AA7153" w:rsidRDefault="001A20CD" w:rsidP="001A20CD">
      <w:r>
        <w:t>There has been considerable uncertainty as to the meaning of the phrase ‘equivalent quality’. On one view of the current wording, it would be necessary to assess against all the characteristics of the object that are relevant to its inclusion in the Control List. On another view, as the object is being benchmarked against like objects already in public collections, the considerations should include the desirability of acquisition by a public collecting institution. Both of these views provide limited guidance to applicants, expert examiners and decision makers.</w:t>
      </w:r>
    </w:p>
    <w:p w14:paraId="3B11FFF6" w14:textId="0E7E784A" w:rsidR="001A20CD" w:rsidRDefault="001A20CD" w:rsidP="001A20CD">
      <w:r>
        <w:t xml:space="preserve">This uncertainty must be resolved so that owners of cultural material are better able to judge whether their property </w:t>
      </w:r>
      <w:r w:rsidR="00F33A91">
        <w:t xml:space="preserve">is likely to be classified as </w:t>
      </w:r>
      <w:r>
        <w:t>protected material and to assist those charged with the responsibility for determining whether an export permit should be granted or denied.</w:t>
      </w:r>
    </w:p>
    <w:p w14:paraId="3C955B8E" w14:textId="4D5AA3F2" w:rsidR="001A20CD" w:rsidRPr="0078229E" w:rsidRDefault="001A20CD" w:rsidP="001A20CD">
      <w:r w:rsidRPr="00B82A89">
        <w:t xml:space="preserve">The Explanatory Statement to the </w:t>
      </w:r>
      <w:r>
        <w:t xml:space="preserve">current </w:t>
      </w:r>
      <w:r w:rsidRPr="00B82A89">
        <w:t xml:space="preserve">Act gives several examples of ‘equivalent quality’. These should be </w:t>
      </w:r>
      <w:r w:rsidRPr="0078229E">
        <w:t xml:space="preserve">captured in the Regulations so as to provide more </w:t>
      </w:r>
      <w:r>
        <w:t xml:space="preserve">certain </w:t>
      </w:r>
      <w:r w:rsidRPr="0078229E">
        <w:t>guidance. These would include:</w:t>
      </w:r>
    </w:p>
    <w:p w14:paraId="025F2C1D" w14:textId="77777777" w:rsidR="00AA7153" w:rsidRDefault="001A20CD" w:rsidP="00801A32">
      <w:pPr>
        <w:pStyle w:val="ListParagraph"/>
        <w:numPr>
          <w:ilvl w:val="0"/>
          <w:numId w:val="19"/>
        </w:numPr>
        <w:ind w:left="567" w:hanging="567"/>
      </w:pPr>
      <w:r>
        <w:t>a</w:t>
      </w:r>
      <w:r w:rsidRPr="0078229E">
        <w:t>n object that is incomplete is not of equivalent quality to one that is complete or more complete;</w:t>
      </w:r>
    </w:p>
    <w:p w14:paraId="422FF385" w14:textId="43572CD1" w:rsidR="001A20CD" w:rsidRPr="0078229E" w:rsidRDefault="001A20CD" w:rsidP="00801A32">
      <w:pPr>
        <w:pStyle w:val="ListParagraph"/>
        <w:numPr>
          <w:ilvl w:val="0"/>
          <w:numId w:val="19"/>
        </w:numPr>
        <w:ind w:left="567" w:hanging="567"/>
      </w:pPr>
      <w:r>
        <w:t>a</w:t>
      </w:r>
      <w:r w:rsidRPr="0078229E">
        <w:t>n object that is in perfect condition is not equivalent to one that is in poorer condition;</w:t>
      </w:r>
    </w:p>
    <w:p w14:paraId="449E0A49" w14:textId="77777777" w:rsidR="001A20CD" w:rsidRPr="0078229E" w:rsidRDefault="001A20CD" w:rsidP="00801A32">
      <w:pPr>
        <w:pStyle w:val="ListParagraph"/>
        <w:numPr>
          <w:ilvl w:val="0"/>
          <w:numId w:val="19"/>
        </w:numPr>
        <w:ind w:left="567" w:hanging="567"/>
      </w:pPr>
      <w:r>
        <w:t>a</w:t>
      </w:r>
      <w:r w:rsidRPr="0078229E">
        <w:t>n original or master copy of a document or an original philatelic object</w:t>
      </w:r>
      <w:r>
        <w:t>,</w:t>
      </w:r>
      <w:r w:rsidRPr="0078229E">
        <w:t xml:space="preserve"> is not the same as a copy of that material;</w:t>
      </w:r>
      <w:r>
        <w:t xml:space="preserve"> and</w:t>
      </w:r>
    </w:p>
    <w:p w14:paraId="7DFD6B9B" w14:textId="77777777" w:rsidR="001A20CD" w:rsidRPr="0078229E" w:rsidRDefault="001A20CD" w:rsidP="00801A32">
      <w:pPr>
        <w:pStyle w:val="ListParagraph"/>
        <w:numPr>
          <w:ilvl w:val="0"/>
          <w:numId w:val="19"/>
        </w:numPr>
        <w:ind w:left="567" w:hanging="567"/>
      </w:pPr>
      <w:proofErr w:type="gramStart"/>
      <w:r>
        <w:t>a</w:t>
      </w:r>
      <w:r w:rsidRPr="0078229E">
        <w:t>n</w:t>
      </w:r>
      <w:proofErr w:type="gramEnd"/>
      <w:r w:rsidRPr="0078229E">
        <w:t xml:space="preserve"> object that has a unique feature is not the same as an object that does not have that feature.</w:t>
      </w:r>
    </w:p>
    <w:p w14:paraId="6E16776C" w14:textId="77777777" w:rsidR="00AA7153" w:rsidRDefault="001A20CD" w:rsidP="001A20CD">
      <w:r>
        <w:lastRenderedPageBreak/>
        <w:t>These should apply to all material not just particular types of material. They are all relevant, distinguishing characteristics that should be taken into account in the decision-making process.</w:t>
      </w:r>
    </w:p>
    <w:p w14:paraId="30B26A34" w14:textId="182C1460" w:rsidR="001A20CD" w:rsidRDefault="001A20CD" w:rsidP="001A20CD">
      <w:r>
        <w:t>In addition, t</w:t>
      </w:r>
      <w:r w:rsidRPr="00B82A89">
        <w:t xml:space="preserve">he concept of </w:t>
      </w:r>
      <w:r>
        <w:t>‘</w:t>
      </w:r>
      <w:r w:rsidRPr="00B82A89">
        <w:t>equivalent quality’ must be given a wider meaning than merely having equivalent physical characteristics. It must also be able to include the heritage or cultural sign</w:t>
      </w:r>
      <w:r>
        <w:t>ificance of a particular item.</w:t>
      </w:r>
    </w:p>
    <w:p w14:paraId="47A11772" w14:textId="745ACB64" w:rsidR="007D671A" w:rsidRDefault="001A20CD" w:rsidP="001A20CD">
      <w:r>
        <w:t xml:space="preserve">For example, </w:t>
      </w:r>
      <w:r w:rsidRPr="00927818">
        <w:t xml:space="preserve">there may be already two examples of a particular traction engine in public collections but if a third </w:t>
      </w:r>
      <w:r>
        <w:t>was</w:t>
      </w:r>
      <w:r w:rsidRPr="00927818">
        <w:t xml:space="preserve"> the machine that helped build Old Parliament House, that machine should</w:t>
      </w:r>
      <w:r>
        <w:t xml:space="preserve"> </w:t>
      </w:r>
      <w:r w:rsidRPr="00986FB2">
        <w:t xml:space="preserve">not be lost merely because there were others in the country of a similar technical or physical specification. It would have </w:t>
      </w:r>
      <w:r>
        <w:t xml:space="preserve">a </w:t>
      </w:r>
      <w:r w:rsidRPr="00986FB2">
        <w:t xml:space="preserve">significance to the nation </w:t>
      </w:r>
      <w:r>
        <w:t>and</w:t>
      </w:r>
      <w:r w:rsidRPr="00986FB2">
        <w:t xml:space="preserve"> also to the local community of Canberra</w:t>
      </w:r>
      <w:r>
        <w:t xml:space="preserve"> that the other examples do not have</w:t>
      </w:r>
      <w:r w:rsidRPr="00986FB2">
        <w:t>.</w:t>
      </w:r>
    </w:p>
    <w:p w14:paraId="0A0D3FFE" w14:textId="77777777" w:rsidR="001A20CD" w:rsidRDefault="001A20CD" w:rsidP="006B5E88">
      <w:pPr>
        <w:pStyle w:val="Heading4"/>
      </w:pPr>
      <w:r>
        <w:t>Adequate representation</w:t>
      </w:r>
    </w:p>
    <w:p w14:paraId="1766E57D" w14:textId="77777777" w:rsidR="00AA7153" w:rsidRDefault="001A20CD" w:rsidP="001A20CD">
      <w:pPr>
        <w:rPr>
          <w:u w:val="single"/>
        </w:rPr>
      </w:pPr>
      <w:r>
        <w:t xml:space="preserve">It should be remembered that the representation test is only applied once material has been deemed to be highly significant. The model is not designed to retain in Australia all minutely different heritage objects; the aim is to ensure that export is only denied in the cases of the most significant </w:t>
      </w:r>
      <w:r w:rsidRPr="003F25A2">
        <w:rPr>
          <w:b/>
        </w:rPr>
        <w:t>and</w:t>
      </w:r>
      <w:r w:rsidRPr="00020A24">
        <w:t xml:space="preserve"> underrepresented material.</w:t>
      </w:r>
    </w:p>
    <w:p w14:paraId="31E62BE4" w14:textId="07E1D808" w:rsidR="001A20CD" w:rsidRDefault="001A20CD" w:rsidP="001A20CD">
      <w:r>
        <w:t>Th</w:t>
      </w:r>
      <w:r w:rsidRPr="00700251">
        <w:t>e</w:t>
      </w:r>
      <w:r w:rsidRPr="00700251">
        <w:rPr>
          <w:sz w:val="21"/>
          <w:szCs w:val="21"/>
        </w:rPr>
        <w:t xml:space="preserve"> </w:t>
      </w:r>
      <w:r>
        <w:rPr>
          <w:szCs w:val="24"/>
        </w:rPr>
        <w:t>new</w:t>
      </w:r>
      <w:r w:rsidRPr="00700251">
        <w:rPr>
          <w:sz w:val="21"/>
          <w:szCs w:val="21"/>
        </w:rPr>
        <w:t xml:space="preserve"> </w:t>
      </w:r>
      <w:r w:rsidRPr="00700251">
        <w:t>model make</w:t>
      </w:r>
      <w:r>
        <w:t>s</w:t>
      </w:r>
      <w:r w:rsidRPr="00700251">
        <w:t xml:space="preserve"> it clear that</w:t>
      </w:r>
      <w:r>
        <w:t>:</w:t>
      </w:r>
    </w:p>
    <w:p w14:paraId="662E8B17" w14:textId="77777777" w:rsidR="001A20CD" w:rsidRDefault="001A20CD" w:rsidP="00801A32">
      <w:pPr>
        <w:pStyle w:val="ListParagraph"/>
        <w:numPr>
          <w:ilvl w:val="0"/>
          <w:numId w:val="20"/>
        </w:numPr>
        <w:ind w:left="567" w:hanging="567"/>
      </w:pPr>
      <w:r>
        <w:t>the representation assessment must be qualitative not quantitative; and</w:t>
      </w:r>
    </w:p>
    <w:p w14:paraId="229AD337" w14:textId="2608702D" w:rsidR="001A20CD" w:rsidRPr="00283B3F" w:rsidRDefault="001A20CD" w:rsidP="00801A32">
      <w:pPr>
        <w:pStyle w:val="ListParagraph"/>
        <w:numPr>
          <w:ilvl w:val="0"/>
          <w:numId w:val="20"/>
        </w:numPr>
        <w:ind w:left="567" w:hanging="567"/>
      </w:pPr>
      <w:r w:rsidRPr="00283B3F">
        <w:t>the number of objects held in public collections is not just a statistical exercise of type and brand; it requires a proper consideration of the significant features of</w:t>
      </w:r>
      <w:r w:rsidR="00F33A91">
        <w:t>,</w:t>
      </w:r>
      <w:r w:rsidRPr="00283B3F">
        <w:t xml:space="preserve"> and differences between, such </w:t>
      </w:r>
      <w:r>
        <w:t>material</w:t>
      </w:r>
      <w:r w:rsidR="00801A32">
        <w:t>—</w:t>
      </w:r>
      <w:r w:rsidRPr="00283B3F">
        <w:t>distinctions as to age, model, condition, completeness and significant amendments, repairs, additions or adaptations; and</w:t>
      </w:r>
    </w:p>
    <w:p w14:paraId="28A5A100" w14:textId="77777777" w:rsidR="001A20CD" w:rsidRPr="00283B3F" w:rsidRDefault="001A20CD" w:rsidP="00801A32">
      <w:pPr>
        <w:pStyle w:val="ListParagraph"/>
        <w:numPr>
          <w:ilvl w:val="0"/>
          <w:numId w:val="20"/>
        </w:numPr>
        <w:ind w:left="567" w:hanging="567"/>
      </w:pPr>
      <w:proofErr w:type="gramStart"/>
      <w:r w:rsidRPr="00283B3F">
        <w:t>the</w:t>
      </w:r>
      <w:proofErr w:type="gramEnd"/>
      <w:r w:rsidRPr="00283B3F">
        <w:t xml:space="preserve"> ‘quality’ test is not merely one of comparing physical attributes. The role, impact or effect that an object has had, may also distinguish it from other examples of similar physical characteristics. This may be on a national level or a local level.</w:t>
      </w:r>
    </w:p>
    <w:p w14:paraId="751E436E" w14:textId="4DDC9592" w:rsidR="001A20CD" w:rsidRDefault="001A20CD" w:rsidP="001A20CD">
      <w:r>
        <w:t>The definition of ‘Adequate representation’ should be clear, while allowing that its application will vary according to the unique circumstances of each application:</w:t>
      </w:r>
    </w:p>
    <w:p w14:paraId="250DC946" w14:textId="615A2E36" w:rsidR="001A20CD" w:rsidRPr="001B5D3A" w:rsidRDefault="001A20CD" w:rsidP="00801A32">
      <w:pPr>
        <w:ind w:left="567"/>
        <w:rPr>
          <w:i/>
          <w:sz w:val="20"/>
          <w:szCs w:val="20"/>
        </w:rPr>
      </w:pPr>
      <w:r w:rsidRPr="001B5D3A">
        <w:rPr>
          <w:b/>
          <w:i/>
          <w:sz w:val="20"/>
          <w:szCs w:val="20"/>
        </w:rPr>
        <w:lastRenderedPageBreak/>
        <w:t>Adequate representation</w:t>
      </w:r>
      <w:r w:rsidRPr="001B5D3A">
        <w:rPr>
          <w:i/>
          <w:sz w:val="20"/>
          <w:szCs w:val="20"/>
        </w:rPr>
        <w:t xml:space="preserve"> means that there are sufficient comparable examples of the material, considering equivalent quality, age, model and characteristics, held in Australian public collections.</w:t>
      </w:r>
      <w:r w:rsidR="00801A32">
        <w:rPr>
          <w:i/>
          <w:sz w:val="20"/>
          <w:szCs w:val="20"/>
        </w:rPr>
        <w:t xml:space="preserve"> </w:t>
      </w:r>
      <w:r w:rsidR="00244279">
        <w:rPr>
          <w:i/>
          <w:sz w:val="20"/>
          <w:szCs w:val="20"/>
        </w:rPr>
        <w:t xml:space="preserve">An assessment of </w:t>
      </w:r>
      <w:proofErr w:type="gramStart"/>
      <w:r w:rsidR="00244279">
        <w:rPr>
          <w:i/>
          <w:sz w:val="20"/>
          <w:szCs w:val="20"/>
        </w:rPr>
        <w:t>Adequate</w:t>
      </w:r>
      <w:proofErr w:type="gramEnd"/>
      <w:r w:rsidR="00244279">
        <w:rPr>
          <w:i/>
          <w:sz w:val="20"/>
          <w:szCs w:val="20"/>
        </w:rPr>
        <w:t xml:space="preserve"> r</w:t>
      </w:r>
      <w:r w:rsidRPr="001B5D3A">
        <w:rPr>
          <w:i/>
          <w:sz w:val="20"/>
          <w:szCs w:val="20"/>
        </w:rPr>
        <w:t>epresentation should include consideration of:</w:t>
      </w:r>
    </w:p>
    <w:p w14:paraId="1CEF5514" w14:textId="77777777" w:rsidR="001A20CD" w:rsidRPr="001B5D3A" w:rsidRDefault="001A20CD" w:rsidP="00801A32">
      <w:pPr>
        <w:pStyle w:val="ListParagraph"/>
        <w:numPr>
          <w:ilvl w:val="0"/>
          <w:numId w:val="23"/>
        </w:numPr>
        <w:ind w:left="1134" w:hanging="567"/>
        <w:rPr>
          <w:i/>
          <w:color w:val="333333"/>
          <w:sz w:val="20"/>
          <w:szCs w:val="20"/>
        </w:rPr>
      </w:pPr>
      <w:r w:rsidRPr="001B5D3A">
        <w:rPr>
          <w:i/>
          <w:sz w:val="20"/>
          <w:szCs w:val="20"/>
        </w:rPr>
        <w:t>the number of items of exact type in public collections and comparison of physical qualities, including condition, completeness (and in the case of documents and stamps such issues as whether the object is a master copy or original);</w:t>
      </w:r>
    </w:p>
    <w:p w14:paraId="249FA128" w14:textId="77777777" w:rsidR="001A20CD" w:rsidRPr="001B5D3A" w:rsidRDefault="001A20CD" w:rsidP="00801A32">
      <w:pPr>
        <w:pStyle w:val="ListParagraph"/>
        <w:numPr>
          <w:ilvl w:val="0"/>
          <w:numId w:val="23"/>
        </w:numPr>
        <w:ind w:left="1134" w:hanging="567"/>
        <w:rPr>
          <w:i/>
          <w:color w:val="333333"/>
          <w:sz w:val="20"/>
          <w:szCs w:val="20"/>
        </w:rPr>
      </w:pPr>
      <w:r w:rsidRPr="001B5D3A">
        <w:rPr>
          <w:i/>
          <w:sz w:val="20"/>
          <w:szCs w:val="20"/>
        </w:rPr>
        <w:t>the number of objects that are required to be considered as a complete representative sample for a material type (for example, in regards to primary type specimens);</w:t>
      </w:r>
    </w:p>
    <w:p w14:paraId="55C22B5B" w14:textId="77777777" w:rsidR="00AA7153" w:rsidRDefault="001A20CD" w:rsidP="00801A32">
      <w:pPr>
        <w:pStyle w:val="ListParagraph"/>
        <w:numPr>
          <w:ilvl w:val="0"/>
          <w:numId w:val="23"/>
        </w:numPr>
        <w:ind w:left="1134" w:hanging="567"/>
        <w:rPr>
          <w:sz w:val="20"/>
          <w:szCs w:val="20"/>
        </w:rPr>
      </w:pPr>
      <w:r w:rsidRPr="001B5D3A">
        <w:rPr>
          <w:i/>
          <w:sz w:val="20"/>
          <w:szCs w:val="20"/>
        </w:rPr>
        <w:t>the comparison with material of the same class / style / make and model</w:t>
      </w:r>
      <w:r w:rsidRPr="001B5D3A">
        <w:rPr>
          <w:sz w:val="20"/>
          <w:szCs w:val="20"/>
        </w:rPr>
        <w:t>;</w:t>
      </w:r>
    </w:p>
    <w:p w14:paraId="262F9AD1" w14:textId="77777777" w:rsidR="00AA7153" w:rsidRDefault="001A20CD" w:rsidP="00801A32">
      <w:pPr>
        <w:pStyle w:val="ListParagraph"/>
        <w:numPr>
          <w:ilvl w:val="0"/>
          <w:numId w:val="23"/>
        </w:numPr>
        <w:ind w:left="1134" w:hanging="567"/>
        <w:rPr>
          <w:i/>
          <w:sz w:val="20"/>
          <w:szCs w:val="20"/>
        </w:rPr>
      </w:pPr>
      <w:r w:rsidRPr="001B5D3A">
        <w:rPr>
          <w:i/>
          <w:sz w:val="20"/>
          <w:szCs w:val="20"/>
        </w:rPr>
        <w:t>whether there are unique features or adaptions made to the item that should be considered; and</w:t>
      </w:r>
    </w:p>
    <w:p w14:paraId="7330DD7B" w14:textId="15061A67" w:rsidR="001A20CD" w:rsidRPr="001B5D3A" w:rsidRDefault="001A20CD" w:rsidP="00801A32">
      <w:pPr>
        <w:pStyle w:val="ListParagraph"/>
        <w:numPr>
          <w:ilvl w:val="0"/>
          <w:numId w:val="23"/>
        </w:numPr>
        <w:ind w:left="1134" w:hanging="567"/>
        <w:rPr>
          <w:color w:val="333333"/>
          <w:sz w:val="20"/>
          <w:szCs w:val="20"/>
        </w:rPr>
      </w:pPr>
      <w:proofErr w:type="gramStart"/>
      <w:r w:rsidRPr="001B5D3A">
        <w:rPr>
          <w:i/>
          <w:sz w:val="20"/>
          <w:szCs w:val="20"/>
        </w:rPr>
        <w:t>comparison</w:t>
      </w:r>
      <w:proofErr w:type="gramEnd"/>
      <w:r w:rsidRPr="001B5D3A">
        <w:rPr>
          <w:i/>
          <w:sz w:val="20"/>
          <w:szCs w:val="20"/>
        </w:rPr>
        <w:t xml:space="preserve"> with material either of the same or similar subject matter or the same or similar association with events, persons or places.</w:t>
      </w:r>
      <w:bookmarkStart w:id="76" w:name="_Toc419448741"/>
      <w:bookmarkStart w:id="77" w:name="_Toc419455700"/>
    </w:p>
    <w:p w14:paraId="34ADA29B" w14:textId="77777777" w:rsidR="001A20CD" w:rsidRPr="00070287" w:rsidRDefault="001A20CD" w:rsidP="006B5E88">
      <w:pPr>
        <w:pStyle w:val="Heading3"/>
      </w:pPr>
      <w:r>
        <w:t>The representation must be in public c</w:t>
      </w:r>
      <w:r w:rsidRPr="00070287">
        <w:t>olle</w:t>
      </w:r>
      <w:r w:rsidRPr="00F905D7">
        <w:t>c</w:t>
      </w:r>
      <w:r w:rsidRPr="00070287">
        <w:t>tions</w:t>
      </w:r>
      <w:bookmarkEnd w:id="76"/>
      <w:bookmarkEnd w:id="77"/>
    </w:p>
    <w:p w14:paraId="0443F5F2" w14:textId="77777777" w:rsidR="001A20CD" w:rsidRDefault="001A20CD" w:rsidP="001A20CD">
      <w:bookmarkStart w:id="78" w:name="_Toc419455701"/>
      <w:r>
        <w:t>An earlier review of the Act asked whether the representation test should apply only to public collections or whether representation in private collections should be relevant. This Review shares the recommendations of earlier reviews that the representation test take account only of public institutions. It is important, as a matter of public policy, that the relevant collections be publicly accessible and not be privately owned</w:t>
      </w:r>
      <w:bookmarkStart w:id="79" w:name="_Toc419455702"/>
      <w:bookmarkEnd w:id="78"/>
      <w:r>
        <w:t>.</w:t>
      </w:r>
    </w:p>
    <w:p w14:paraId="09B3330A" w14:textId="77777777" w:rsidR="00AA7153" w:rsidRDefault="001A20CD" w:rsidP="001A20CD">
      <w:r>
        <w:t>There is a definition in the current Act regarding ‘principal collecting institution’ however there is no definition under the Regulations when it comes to representation in a public collection in Australia (which is a much wider concept). In addition there are other aspects of the scheme that refer to collecting institutions but without a consistent approach, including eligibility for funds from the National Cultural Heritage Account.</w:t>
      </w:r>
    </w:p>
    <w:p w14:paraId="04D776CF" w14:textId="77777777" w:rsidR="00AA7153" w:rsidRDefault="001A20CD" w:rsidP="00801A32">
      <w:pPr>
        <w:keepNext/>
      </w:pPr>
      <w:r>
        <w:t xml:space="preserve">To ensure that there is clear and consistent understanding as to what should be considered a public collection or collecting institution it is proposed that under the new model, a ‘public collection’ </w:t>
      </w:r>
      <w:r w:rsidR="00B33AF7">
        <w:t>be defined as one that is</w:t>
      </w:r>
      <w:r>
        <w:t>:</w:t>
      </w:r>
      <w:bookmarkEnd w:id="79"/>
    </w:p>
    <w:p w14:paraId="3AB3339F" w14:textId="67B37217" w:rsidR="00B33AF7" w:rsidRDefault="00B33AF7" w:rsidP="00801A32">
      <w:pPr>
        <w:pStyle w:val="ListParagraph"/>
        <w:keepNext/>
        <w:numPr>
          <w:ilvl w:val="0"/>
          <w:numId w:val="28"/>
        </w:numPr>
        <w:ind w:left="567" w:hanging="567"/>
      </w:pPr>
      <w:r>
        <w:t>Publicly accessible; and</w:t>
      </w:r>
    </w:p>
    <w:p w14:paraId="65E1276E" w14:textId="07D01B47" w:rsidR="001A20CD" w:rsidRDefault="001A20CD" w:rsidP="00801A32">
      <w:pPr>
        <w:pStyle w:val="ListParagraph"/>
        <w:numPr>
          <w:ilvl w:val="0"/>
          <w:numId w:val="28"/>
        </w:numPr>
        <w:ind w:left="567" w:hanging="567"/>
      </w:pPr>
      <w:r>
        <w:t>established under a law of:</w:t>
      </w:r>
    </w:p>
    <w:p w14:paraId="09B2841A" w14:textId="77777777" w:rsidR="001A20CD" w:rsidRDefault="001A20CD" w:rsidP="00801A32">
      <w:pPr>
        <w:pStyle w:val="ListParagraph"/>
        <w:numPr>
          <w:ilvl w:val="0"/>
          <w:numId w:val="6"/>
        </w:numPr>
        <w:ind w:left="1134" w:hanging="567"/>
      </w:pPr>
      <w:bookmarkStart w:id="80" w:name="_Toc419455703"/>
      <w:r>
        <w:t>the Commonwealth; or</w:t>
      </w:r>
      <w:bookmarkStart w:id="81" w:name="_Toc419455704"/>
      <w:bookmarkEnd w:id="80"/>
    </w:p>
    <w:p w14:paraId="61D2EECF" w14:textId="77777777" w:rsidR="00AA7153" w:rsidRDefault="00B33AF7" w:rsidP="00801A32">
      <w:pPr>
        <w:pStyle w:val="ListParagraph"/>
        <w:numPr>
          <w:ilvl w:val="0"/>
          <w:numId w:val="6"/>
        </w:numPr>
        <w:ind w:left="1134" w:hanging="567"/>
      </w:pPr>
      <w:r>
        <w:t>a state or t</w:t>
      </w:r>
      <w:r w:rsidR="001A20CD">
        <w:t>erritory; or</w:t>
      </w:r>
      <w:bookmarkEnd w:id="81"/>
    </w:p>
    <w:p w14:paraId="1AE08A7A" w14:textId="77777777" w:rsidR="00AA7153" w:rsidRDefault="001A20CD" w:rsidP="00801A32">
      <w:pPr>
        <w:pStyle w:val="ListParagraph"/>
        <w:numPr>
          <w:ilvl w:val="1"/>
          <w:numId w:val="28"/>
        </w:numPr>
        <w:ind w:left="1134" w:hanging="567"/>
      </w:pPr>
      <w:bookmarkStart w:id="82" w:name="_Toc419455706"/>
      <w:proofErr w:type="gramStart"/>
      <w:r>
        <w:t>owned</w:t>
      </w:r>
      <w:proofErr w:type="gramEnd"/>
      <w:r>
        <w:t xml:space="preserve"> and controlled by a not-for-profit organisation</w:t>
      </w:r>
      <w:bookmarkEnd w:id="82"/>
      <w:r>
        <w:t>.</w:t>
      </w:r>
    </w:p>
    <w:p w14:paraId="6A2CCB8C" w14:textId="77777777" w:rsidR="00244279" w:rsidRDefault="00244279" w:rsidP="00244279"/>
    <w:p w14:paraId="644D5F26" w14:textId="77777777" w:rsidR="00244279" w:rsidRDefault="00244279" w:rsidP="00244279"/>
    <w:p w14:paraId="07481098" w14:textId="70B18EE4" w:rsidR="00244279" w:rsidRDefault="007D671A" w:rsidP="007D671A">
      <w:pPr>
        <w:pStyle w:val="Subtitle"/>
      </w:pPr>
      <w:r>
        <w:t xml:space="preserve">Case Study: John </w:t>
      </w:r>
      <w:proofErr w:type="spellStart"/>
      <w:r>
        <w:t>Brack</w:t>
      </w:r>
      <w:proofErr w:type="spellEnd"/>
      <w:r>
        <w:t xml:space="preserve"> </w:t>
      </w:r>
    </w:p>
    <w:p w14:paraId="3077B479" w14:textId="766D997F" w:rsidR="007D671A" w:rsidRDefault="005F4E29" w:rsidP="007D671A">
      <w:pPr>
        <w:pStyle w:val="Subtitle"/>
      </w:pPr>
      <w:r>
        <w:t>Backs and Fronts (1969</w:t>
      </w:r>
      <w:proofErr w:type="gramStart"/>
      <w:r w:rsidR="007D671A">
        <w:t>)</w:t>
      </w:r>
      <w:r>
        <w:t>by</w:t>
      </w:r>
      <w:proofErr w:type="gramEnd"/>
      <w:r>
        <w:t xml:space="preserve"> John </w:t>
      </w:r>
      <w:proofErr w:type="spellStart"/>
      <w:r>
        <w:t>Brack</w:t>
      </w:r>
      <w:proofErr w:type="spellEnd"/>
      <w:r w:rsidR="007D671A">
        <w:t>, Oil on canvas painting</w:t>
      </w:r>
    </w:p>
    <w:p w14:paraId="644D333F" w14:textId="69C5922B" w:rsidR="00AA7153" w:rsidRDefault="007D671A" w:rsidP="007D671A">
      <w:r>
        <w:t xml:space="preserve">In 2015, a permanent export permit was granted for </w:t>
      </w:r>
      <w:r w:rsidRPr="00244279">
        <w:rPr>
          <w:i/>
        </w:rPr>
        <w:t>Backs and Fronts</w:t>
      </w:r>
      <w:r>
        <w:t xml:space="preserve"> (1969) by John</w:t>
      </w:r>
      <w:r w:rsidR="00244279">
        <w:t> </w:t>
      </w:r>
      <w:proofErr w:type="spellStart"/>
      <w:r>
        <w:t>Brack</w:t>
      </w:r>
      <w:proofErr w:type="spellEnd"/>
      <w:r>
        <w:t>. Under the current system this work is classed as an Australian Protected Object because it is over 30 years old and is valued over the $250,000 threshold. It therefore required a full significance assessment by an Expert Examiner, then consideration by the National Cultural Heritage Committee and a final decision by the Minister or Delegate.</w:t>
      </w:r>
    </w:p>
    <w:p w14:paraId="7B3F5A3F" w14:textId="08E35A95" w:rsidR="00172D73" w:rsidRDefault="007D671A" w:rsidP="007D671A">
      <w:r>
        <w:t>Under the new model, this object continues to meet the threshold for Australian Heritage Material (30 years old and valued over the $300,000 threshold) and would still require an application for a permanent export permit. However, this series o</w:t>
      </w:r>
      <w:r w:rsidR="00244279">
        <w:t>f works is well represented in n</w:t>
      </w:r>
      <w:r>
        <w:t>ational and state collecting institutions and works by this artist are represented in public collections across Australia. Thus, this work is likely to meet the representation test and be granted a permanent export permit</w:t>
      </w:r>
    </w:p>
    <w:p w14:paraId="781D3EAC" w14:textId="77777777" w:rsidR="001A20CD" w:rsidRDefault="001A20CD" w:rsidP="006B5E88">
      <w:pPr>
        <w:pStyle w:val="Heading3"/>
      </w:pPr>
      <w:r>
        <w:t>Assessment of adequate representation and export decision</w:t>
      </w:r>
    </w:p>
    <w:p w14:paraId="0F928673" w14:textId="77777777" w:rsidR="00AA7153" w:rsidRDefault="001A20CD" w:rsidP="001A20CD">
      <w:r>
        <w:t>A statement of representation is core to any permanent export decision. Accordingly the significance assessment must include a comparison of material of equivalent characteristics and quality in Australian public collections.</w:t>
      </w:r>
    </w:p>
    <w:p w14:paraId="5D85B9EA" w14:textId="00B3DF84" w:rsidR="001A20CD" w:rsidRPr="00070287" w:rsidRDefault="001A20CD" w:rsidP="006B5E88">
      <w:pPr>
        <w:pStyle w:val="Heading3"/>
      </w:pPr>
      <w:r>
        <w:t>Relation of methodology to decision</w:t>
      </w:r>
    </w:p>
    <w:p w14:paraId="6E3A1C53" w14:textId="77777777" w:rsidR="001A20CD" w:rsidRPr="00141B38" w:rsidRDefault="001A20CD" w:rsidP="001A20CD">
      <w:r w:rsidRPr="00141B38">
        <w:t xml:space="preserve">As a result of applying all of the methodology above, </w:t>
      </w:r>
      <w:r>
        <w:t>an a</w:t>
      </w:r>
      <w:r w:rsidRPr="00141B38">
        <w:t>ssessor should be in a position to deliver a report which:</w:t>
      </w:r>
    </w:p>
    <w:p w14:paraId="465D7F95" w14:textId="77777777" w:rsidR="001A20CD" w:rsidRPr="00141B38" w:rsidRDefault="001A20CD" w:rsidP="0035682E">
      <w:pPr>
        <w:pStyle w:val="ListParagraph"/>
        <w:numPr>
          <w:ilvl w:val="0"/>
          <w:numId w:val="31"/>
        </w:numPr>
        <w:ind w:left="567" w:hanging="283"/>
      </w:pPr>
      <w:r w:rsidRPr="00141B38">
        <w:t xml:space="preserve">provides a </w:t>
      </w:r>
      <w:r>
        <w:t xml:space="preserve">‘statement of significance’ which is a </w:t>
      </w:r>
      <w:r w:rsidRPr="00141B38">
        <w:t>summary of the meaning and importance of the object</w:t>
      </w:r>
      <w:r>
        <w:t xml:space="preserve"> by </w:t>
      </w:r>
      <w:r w:rsidRPr="00141B38">
        <w:t>articulat</w:t>
      </w:r>
      <w:r>
        <w:t>ing</w:t>
      </w:r>
      <w:r w:rsidRPr="00141B38">
        <w:t xml:space="preserve"> how and why the object is or is not significant and</w:t>
      </w:r>
      <w:r>
        <w:t xml:space="preserve">, </w:t>
      </w:r>
      <w:r w:rsidRPr="00141B38">
        <w:t>if significant, provides the degree of that significance in comparison to related objects; and</w:t>
      </w:r>
    </w:p>
    <w:p w14:paraId="0BF45278" w14:textId="77777777" w:rsidR="001A20CD" w:rsidRPr="00141B38" w:rsidRDefault="001A20CD" w:rsidP="0035682E">
      <w:pPr>
        <w:pStyle w:val="ListParagraph"/>
        <w:numPr>
          <w:ilvl w:val="0"/>
          <w:numId w:val="31"/>
        </w:numPr>
        <w:ind w:left="567" w:hanging="283"/>
      </w:pPr>
      <w:proofErr w:type="gramStart"/>
      <w:r w:rsidRPr="00141B38">
        <w:lastRenderedPageBreak/>
        <w:t>provides</w:t>
      </w:r>
      <w:proofErr w:type="gramEnd"/>
      <w:r>
        <w:t xml:space="preserve"> a ‘statement of representation’ which is a summary of</w:t>
      </w:r>
      <w:r w:rsidRPr="00141B38">
        <w:t xml:space="preserve"> information in regard to the representation of </w:t>
      </w:r>
      <w:r>
        <w:t xml:space="preserve">material of equivalent characteristics and quality </w:t>
      </w:r>
      <w:r w:rsidRPr="00141B38">
        <w:t xml:space="preserve">(or, where applicable, class of </w:t>
      </w:r>
      <w:r>
        <w:t>material</w:t>
      </w:r>
      <w:r w:rsidRPr="00141B38">
        <w:t>), in public collections.</w:t>
      </w:r>
    </w:p>
    <w:p w14:paraId="370C892E" w14:textId="0576BDCB" w:rsidR="001A20CD" w:rsidRDefault="001A20CD" w:rsidP="00E333A4">
      <w:pPr>
        <w:spacing w:after="0"/>
      </w:pPr>
      <w:r w:rsidRPr="00141B38">
        <w:t xml:space="preserve">This report will </w:t>
      </w:r>
      <w:r>
        <w:t>enable the decision-maker to make an</w:t>
      </w:r>
      <w:r w:rsidRPr="00141B38">
        <w:t xml:space="preserve"> evidence-based decision as </w:t>
      </w:r>
      <w:r w:rsidR="00F33A91">
        <w:t xml:space="preserve">to </w:t>
      </w:r>
      <w:r w:rsidRPr="00F905D7">
        <w:t xml:space="preserve">whether the </w:t>
      </w:r>
      <w:r w:rsidRPr="00F905D7">
        <w:rPr>
          <w:rFonts w:cs="Arial"/>
          <w:szCs w:val="24"/>
        </w:rPr>
        <w:t>retention of the material is important to the cultural heritage of current and future generations of Australians and therefore</w:t>
      </w:r>
      <w:r>
        <w:rPr>
          <w:rFonts w:cs="Arial"/>
          <w:i/>
          <w:szCs w:val="24"/>
        </w:rPr>
        <w:t xml:space="preserve"> </w:t>
      </w:r>
      <w:r w:rsidRPr="00141B38">
        <w:t>to the granting or refusal of export.</w:t>
      </w:r>
    </w:p>
    <w:p w14:paraId="6062BB9F" w14:textId="3479A55C" w:rsidR="001B6210" w:rsidRPr="00C12C07" w:rsidRDefault="00B33AF7" w:rsidP="00C12C07">
      <w:pPr>
        <w:rPr>
          <w:rFonts w:eastAsiaTheme="minorEastAsia"/>
          <w:i/>
          <w:sz w:val="20"/>
          <w:szCs w:val="20"/>
        </w:rPr>
      </w:pPr>
      <w:r>
        <w:rPr>
          <w:noProof/>
          <w:lang w:eastAsia="en-AU"/>
        </w:rPr>
        <w:lastRenderedPageBreak/>
        <w:drawing>
          <wp:inline distT="0" distB="0" distL="0" distR="0" wp14:anchorId="5919942D" wp14:editId="219EA1ED">
            <wp:extent cx="5731509" cy="7627439"/>
            <wp:effectExtent l="0" t="0" r="3175" b="0"/>
            <wp:docPr id="29" name="Picture 29" descr="Significance and representation summary&#10;&#10;1. Significance Assessment&#10;Required considerations and details: Primary Criteria and comparative analysis criteria. An assessment of primary and comparative criteria is required in order to ascertain the level of significance of the material. If assessed as significant go to step two, if not it is Australian Heritage Material&#10;&#10;2. Representation Assessment&#10;Required considerations and details: Level of representation of material of equivalent quality in Australian public collections.&#10;An assessment of the level of representation of material of equivalent characteristics and quality in Australian public collections. If assessed as not adequately represented in public collections in Australia you go to step three, if not it is Australian Heritage Material.&#10;&#10;3. Export Decision&#10;Required considerations and details: The retention of the material is important to the cultural heritage of Australia. A decision on export will be informed by the assessments above and made on the basis of whether the retention of the material is important to the cultural heritage of current and future generations of Australians. If its retention is important to the cultural heritage of current and future generations of Australians, it is Australian Protected Material or Declared Australian Protected Material, if not is Australian Heritage Material.&#10;&#10;" title="Figure 8—Significance and representation summary"/>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31509" cy="7627439"/>
                    </a:xfrm>
                    <a:prstGeom prst="rect">
                      <a:avLst/>
                    </a:prstGeom>
                    <a:ln>
                      <a:noFill/>
                    </a:ln>
                    <a:extLst>
                      <a:ext uri="{53640926-AAD7-44D8-BBD7-CCE9431645EC}">
                        <a14:shadowObscured xmlns:a14="http://schemas.microsoft.com/office/drawing/2010/main"/>
                      </a:ext>
                    </a:extLst>
                  </pic:spPr>
                </pic:pic>
              </a:graphicData>
            </a:graphic>
          </wp:inline>
        </w:drawing>
      </w:r>
      <w:r w:rsidR="00E333A4">
        <w:br/>
      </w:r>
      <w:r w:rsidRPr="00B33AF7">
        <w:rPr>
          <w:rFonts w:eastAsiaTheme="minorEastAsia"/>
          <w:i/>
          <w:sz w:val="20"/>
          <w:szCs w:val="20"/>
        </w:rPr>
        <w:t>Figure 8</w:t>
      </w:r>
      <w:r w:rsidR="00801A32">
        <w:rPr>
          <w:rFonts w:eastAsiaTheme="minorEastAsia"/>
          <w:i/>
          <w:sz w:val="20"/>
          <w:szCs w:val="20"/>
        </w:rPr>
        <w:t>—</w:t>
      </w:r>
      <w:r w:rsidR="001A20CD" w:rsidRPr="00B33AF7">
        <w:rPr>
          <w:rFonts w:eastAsiaTheme="minorEastAsia"/>
          <w:i/>
          <w:sz w:val="20"/>
          <w:szCs w:val="20"/>
        </w:rPr>
        <w:t>Significance and representation summary</w:t>
      </w:r>
    </w:p>
    <w:p w14:paraId="0F92D481" w14:textId="77777777" w:rsidR="001A20CD" w:rsidRPr="0064619D" w:rsidRDefault="001A20CD" w:rsidP="006B5E88">
      <w:pPr>
        <w:pStyle w:val="Heading2"/>
      </w:pPr>
      <w:bookmarkStart w:id="83" w:name="_Toc423334279"/>
      <w:bookmarkStart w:id="84" w:name="_Toc430867343"/>
      <w:bookmarkStart w:id="85" w:name="_Toc433906589"/>
      <w:bookmarkEnd w:id="28"/>
      <w:r w:rsidRPr="0064619D">
        <w:lastRenderedPageBreak/>
        <w:t>The National Cultural Heritage Committee and Expert Examiners</w:t>
      </w:r>
      <w:bookmarkEnd w:id="83"/>
      <w:bookmarkEnd w:id="84"/>
      <w:bookmarkEnd w:id="85"/>
    </w:p>
    <w:p w14:paraId="0EEF048D" w14:textId="77777777" w:rsidR="001A20CD" w:rsidRDefault="001A20CD" w:rsidP="001A20CD">
      <w:bookmarkStart w:id="86" w:name="_Toc419455709"/>
      <w:r w:rsidRPr="00FB0D3A">
        <w:t xml:space="preserve">In the current Act, </w:t>
      </w:r>
      <w:r w:rsidRPr="00D926A2">
        <w:t xml:space="preserve">the </w:t>
      </w:r>
      <w:r>
        <w:t xml:space="preserve">stated </w:t>
      </w:r>
      <w:r w:rsidRPr="00D926A2">
        <w:rPr>
          <w:bCs/>
        </w:rPr>
        <w:t>functions</w:t>
      </w:r>
      <w:r w:rsidRPr="00FB0D3A">
        <w:t xml:space="preserve"> of the National Cultural Heritage Committee </w:t>
      </w:r>
      <w:r>
        <w:t>(the 'Committee') are broad and noble.</w:t>
      </w:r>
      <w:r>
        <w:rPr>
          <w:rStyle w:val="FootnoteReference"/>
        </w:rPr>
        <w:footnoteReference w:id="49"/>
      </w:r>
      <w:r>
        <w:t xml:space="preserve"> However, </w:t>
      </w:r>
      <w:bookmarkEnd w:id="86"/>
      <w:r>
        <w:t>during much of its existence the Committee has been overwhelmed by prescribed roles that have overwhelmed its intended purpose.</w:t>
      </w:r>
      <w:bookmarkStart w:id="87" w:name="_Toc419455711"/>
    </w:p>
    <w:p w14:paraId="028E44BB" w14:textId="3255331A" w:rsidR="001A20CD" w:rsidRDefault="001A20CD" w:rsidP="001A20CD">
      <w:r>
        <w:t>I</w:t>
      </w:r>
      <w:r w:rsidRPr="00FB0D3A">
        <w:t xml:space="preserve">t is </w:t>
      </w:r>
      <w:r>
        <w:t xml:space="preserve">currently </w:t>
      </w:r>
      <w:r w:rsidRPr="00FB0D3A">
        <w:t xml:space="preserve">compulsory that all export applications go before the Committee and for all export applications to be referred to an </w:t>
      </w:r>
      <w:r>
        <w:t>Expert E</w:t>
      </w:r>
      <w:r w:rsidRPr="00FB0D3A">
        <w:t>xaminer. Making the Committee a compulsory part of the decision process is inefficient, unnecessarily bureaucratic and expensive in both time and resources. It cause</w:t>
      </w:r>
      <w:r>
        <w:t>s unnecessary delay in decision</w:t>
      </w:r>
      <w:r>
        <w:noBreakHyphen/>
      </w:r>
      <w:r w:rsidRPr="00FB0D3A">
        <w:t>making</w:t>
      </w:r>
      <w:r>
        <w:t xml:space="preserve">. This is </w:t>
      </w:r>
      <w:r w:rsidRPr="00FB0D3A">
        <w:t>no fault of the members of the Committee or the Department</w:t>
      </w:r>
      <w:r w:rsidR="00801A32">
        <w:t>—</w:t>
      </w:r>
      <w:r w:rsidRPr="00FB0D3A">
        <w:t>the problem is structural.</w:t>
      </w:r>
      <w:bookmarkStart w:id="88" w:name="_Toc419455712"/>
      <w:bookmarkEnd w:id="87"/>
    </w:p>
    <w:p w14:paraId="26EF738E" w14:textId="284B0AA7" w:rsidR="001A20CD" w:rsidRDefault="001A20CD" w:rsidP="001A20CD">
      <w:r w:rsidRPr="00FB0D3A">
        <w:t xml:space="preserve">The Committee meets </w:t>
      </w:r>
      <w:r w:rsidRPr="00560297">
        <w:t xml:space="preserve">on average </w:t>
      </w:r>
      <w:r w:rsidRPr="00FB0D3A">
        <w:t>t</w:t>
      </w:r>
      <w:r>
        <w:t>hree times</w:t>
      </w:r>
      <w:r w:rsidRPr="00FB0D3A">
        <w:t xml:space="preserve"> a year</w:t>
      </w:r>
      <w:r>
        <w:t>,</w:t>
      </w:r>
      <w:r w:rsidRPr="00FB0D3A">
        <w:t xml:space="preserve"> so a property owner may have to</w:t>
      </w:r>
      <w:r>
        <w:t xml:space="preserve"> wait several months before the C</w:t>
      </w:r>
      <w:r w:rsidRPr="00560297">
        <w:t xml:space="preserve">ommittee considers the application. Sometimes that consideration </w:t>
      </w:r>
      <w:r>
        <w:t>can be</w:t>
      </w:r>
      <w:r w:rsidRPr="00560297">
        <w:t xml:space="preserve"> concluded in a short period be</w:t>
      </w:r>
      <w:r>
        <w:t xml:space="preserve">cause it is straightforward, however at </w:t>
      </w:r>
      <w:r w:rsidRPr="00560297">
        <w:t>other times the process of expert examination and then committee consideration takes a considerable time. Sometimes that delay is caused by the paucity of provenance m</w:t>
      </w:r>
      <w:r w:rsidRPr="00FB0D3A">
        <w:t xml:space="preserve">aterial provided by the owner; sometimes the examiner is busy on other things. The decision-time for contentious applications has sometimes extended for more than two years, as applications have waited for consideration at </w:t>
      </w:r>
      <w:r>
        <w:t>tri-annual meetings</w:t>
      </w:r>
      <w:r w:rsidR="00F33A91">
        <w:t>,</w:t>
      </w:r>
      <w:r w:rsidRPr="00FB0D3A">
        <w:t xml:space="preserve"> only to be sent for second and third expert opinions. This is clearly unacceptable to all parties involved.</w:t>
      </w:r>
      <w:bookmarkStart w:id="89" w:name="_Toc419455713"/>
      <w:bookmarkEnd w:id="88"/>
    </w:p>
    <w:p w14:paraId="00FE622C" w14:textId="77777777" w:rsidR="00AA7153" w:rsidRDefault="001A20CD" w:rsidP="001A20CD">
      <w:r>
        <w:t>M</w:t>
      </w:r>
      <w:r w:rsidRPr="00FB0D3A">
        <w:t xml:space="preserve">any applications </w:t>
      </w:r>
      <w:r>
        <w:t xml:space="preserve">(especially for temporary export) </w:t>
      </w:r>
      <w:r w:rsidRPr="00FB0D3A">
        <w:t>are v</w:t>
      </w:r>
      <w:r>
        <w:t xml:space="preserve">ery straightforward </w:t>
      </w:r>
      <w:r w:rsidR="00F33A91">
        <w:t>and could</w:t>
      </w:r>
      <w:r>
        <w:t xml:space="preserve"> easily and cheaply</w:t>
      </w:r>
      <w:r w:rsidR="00F33A91">
        <w:t xml:space="preserve"> be</w:t>
      </w:r>
      <w:r w:rsidRPr="00FB0D3A">
        <w:t xml:space="preserve"> dealt with as an administrative matter. </w:t>
      </w:r>
      <w:bookmarkStart w:id="90" w:name="_Toc419455714"/>
      <w:bookmarkEnd w:id="89"/>
      <w:r>
        <w:t>This would allow greater focus of time and resources on the difficult applications that require more expertise and consideration.</w:t>
      </w:r>
    </w:p>
    <w:p w14:paraId="2C7CFB5B" w14:textId="56186598" w:rsidR="001A20CD" w:rsidRDefault="001A20CD" w:rsidP="006B5E88">
      <w:pPr>
        <w:pStyle w:val="Heading3"/>
      </w:pPr>
      <w:bookmarkStart w:id="91" w:name="_Toc419448763"/>
      <w:bookmarkStart w:id="92" w:name="_Toc419455715"/>
      <w:bookmarkEnd w:id="90"/>
      <w:r w:rsidRPr="00070287">
        <w:t>Re-configuration of the Committee function</w:t>
      </w:r>
      <w:bookmarkStart w:id="93" w:name="_Toc419455716"/>
      <w:bookmarkEnd w:id="91"/>
      <w:bookmarkEnd w:id="92"/>
    </w:p>
    <w:p w14:paraId="51C38F93" w14:textId="77777777" w:rsidR="001A20CD" w:rsidRPr="00FB0D3A" w:rsidRDefault="001A20CD" w:rsidP="001A20CD">
      <w:r>
        <w:t xml:space="preserve">During consultation the point was made that the Committee has a leadership role in the cultural heritage sector, provides an educative function and promotes awareness of the Act. While these are important in a sector that has limited opportunity for advocacy at the national level, on balance, I believe the standing Committee is not the </w:t>
      </w:r>
      <w:r>
        <w:lastRenderedPageBreak/>
        <w:t>most effective mechanism for these things. Accordingly, I am recommending a modernised, more flexible approach.</w:t>
      </w:r>
    </w:p>
    <w:p w14:paraId="016BFC26" w14:textId="77777777" w:rsidR="00AA7153" w:rsidRDefault="001A20CD" w:rsidP="001A20CD">
      <w:r w:rsidRPr="00FB0D3A">
        <w:t xml:space="preserve">Having a standing committee is not the most efficient way of achieving the </w:t>
      </w:r>
      <w:r>
        <w:t xml:space="preserve">intended </w:t>
      </w:r>
      <w:r w:rsidRPr="00FB0D3A">
        <w:t xml:space="preserve">purposes of the </w:t>
      </w:r>
      <w:r>
        <w:t>Committee</w:t>
      </w:r>
      <w:r w:rsidRPr="00FB0D3A">
        <w:rPr>
          <w:i/>
          <w:iCs/>
        </w:rPr>
        <w:t xml:space="preserve">. </w:t>
      </w:r>
      <w:r w:rsidRPr="00FB0D3A">
        <w:t>It is unreasonable to expect the Committee to be able to fulfil all of the functions set out in section 16 and this has been shown in practice. For example, the provision of strategic</w:t>
      </w:r>
      <w:r>
        <w:t xml:space="preserve"> policy </w:t>
      </w:r>
      <w:r w:rsidRPr="00FB0D3A">
        <w:t>advice to the Department and to the Minister requires different expertise and experience to that required by specialised and complex signific</w:t>
      </w:r>
      <w:r>
        <w:t>ance assessments, or to maintain the register of experts. The process for providing the section</w:t>
      </w:r>
      <w:r w:rsidR="0064619D">
        <w:t xml:space="preserve"> </w:t>
      </w:r>
      <w:r>
        <w:t>16 functions should be more flexible.</w:t>
      </w:r>
      <w:bookmarkEnd w:id="93"/>
    </w:p>
    <w:p w14:paraId="6900F7C9" w14:textId="3A08DF51" w:rsidR="001A20CD" w:rsidRPr="00FB0D3A" w:rsidRDefault="001A20CD" w:rsidP="001A20CD">
      <w:bookmarkStart w:id="94" w:name="_Toc419455717"/>
      <w:r w:rsidRPr="00FB0D3A">
        <w:t xml:space="preserve">Accordingly it is proposed that there be no standing Committee. In its place there should be a </w:t>
      </w:r>
      <w:r>
        <w:t>Register</w:t>
      </w:r>
      <w:r w:rsidRPr="00FB0D3A">
        <w:t xml:space="preserve"> of Cultural Property Experts.</w:t>
      </w:r>
      <w:bookmarkEnd w:id="94"/>
    </w:p>
    <w:p w14:paraId="0726027F" w14:textId="77777777" w:rsidR="00AA7153" w:rsidRDefault="001A20CD" w:rsidP="001A20CD">
      <w:bookmarkStart w:id="95" w:name="_Toc419455718"/>
      <w:r>
        <w:t>The Register would be in two parts: one, the expert examiners; the other, a group of people with a range of experience and expertise in the cultural property sector including</w:t>
      </w:r>
      <w:r w:rsidRPr="00FB0D3A">
        <w:t xml:space="preserve"> senior administrators of collecting institutions</w:t>
      </w:r>
      <w:r>
        <w:t xml:space="preserve">, other </w:t>
      </w:r>
      <w:r w:rsidRPr="00FB0D3A">
        <w:t>acknowledged leaders in various fields of cultural property</w:t>
      </w:r>
      <w:r>
        <w:t xml:space="preserve"> and, importantly, Traditional Owners and representatives.</w:t>
      </w:r>
    </w:p>
    <w:p w14:paraId="55E2C817" w14:textId="77777777" w:rsidR="00AA7153" w:rsidRDefault="001A20CD" w:rsidP="001A20CD">
      <w:r>
        <w:t>Thus structured, t</w:t>
      </w:r>
      <w:r w:rsidRPr="00FB0D3A">
        <w:t xml:space="preserve">he </w:t>
      </w:r>
      <w:r>
        <w:t>Register w</w:t>
      </w:r>
      <w:r w:rsidRPr="00FB0D3A">
        <w:t>ould be a flexible</w:t>
      </w:r>
      <w:r>
        <w:t xml:space="preserve"> pool</w:t>
      </w:r>
      <w:r w:rsidRPr="00FB0D3A">
        <w:t xml:space="preserve"> from which the Department and the Minister </w:t>
      </w:r>
      <w:r>
        <w:t>could</w:t>
      </w:r>
      <w:r w:rsidRPr="00FB0D3A">
        <w:t xml:space="preserve"> call for advice from an appropriate number of people with the most appropriate experience and expertise.</w:t>
      </w:r>
      <w:bookmarkEnd w:id="95"/>
      <w:r>
        <w:t xml:space="preserve"> In particular, this would allow ad hoc panels to be formed for specific circumstances, from the individuals with the most relevant attributes.</w:t>
      </w:r>
    </w:p>
    <w:p w14:paraId="70D68A22" w14:textId="77777777" w:rsidR="00AA7153" w:rsidRDefault="001A20CD" w:rsidP="001A20CD">
      <w:r>
        <w:t>While it is acknowledged that this approach may forgo the corporate memory elements of a standing committee, it does ensure that the most specifically relevant qualities can be retained for each advice sought.</w:t>
      </w:r>
    </w:p>
    <w:p w14:paraId="7D73F751" w14:textId="7822F9D0" w:rsidR="001A20CD" w:rsidRPr="00070287" w:rsidRDefault="001A20CD" w:rsidP="006B5E88">
      <w:pPr>
        <w:pStyle w:val="Heading4"/>
      </w:pPr>
      <w:bookmarkStart w:id="96" w:name="_Toc419448764"/>
      <w:bookmarkStart w:id="97" w:name="_Toc419455720"/>
      <w:r w:rsidRPr="00070287">
        <w:t>Advice as to Significance or contentious applications</w:t>
      </w:r>
      <w:bookmarkEnd w:id="96"/>
      <w:bookmarkEnd w:id="97"/>
    </w:p>
    <w:p w14:paraId="12376FBC" w14:textId="648376A8" w:rsidR="00AA7153" w:rsidRDefault="001A20CD" w:rsidP="001A20CD">
      <w:bookmarkStart w:id="98" w:name="_Toc419455721"/>
      <w:r w:rsidRPr="00FB0D3A">
        <w:t xml:space="preserve">When the Department wishes to </w:t>
      </w:r>
      <w:r>
        <w:t>seek advice</w:t>
      </w:r>
      <w:r w:rsidRPr="00FB0D3A">
        <w:t xml:space="preserve"> on difficult decisions as to significance assessment</w:t>
      </w:r>
      <w:r>
        <w:t>s it has received</w:t>
      </w:r>
      <w:r w:rsidRPr="00FB0D3A">
        <w:t xml:space="preserve">, the Department will </w:t>
      </w:r>
      <w:r>
        <w:t xml:space="preserve">be able to </w:t>
      </w:r>
      <w:r w:rsidRPr="00FB0D3A">
        <w:t xml:space="preserve">choose appropriate </w:t>
      </w:r>
      <w:r>
        <w:t>persons from the Register to form a</w:t>
      </w:r>
      <w:r w:rsidRPr="00FB0D3A">
        <w:t xml:space="preserve"> </w:t>
      </w:r>
      <w:r>
        <w:t>p</w:t>
      </w:r>
      <w:r w:rsidRPr="00FB0D3A">
        <w:t xml:space="preserve">anel to give that advice. </w:t>
      </w:r>
      <w:r>
        <w:t>In reality, this is likely to be similar to current practice</w:t>
      </w:r>
      <w:r w:rsidR="00801A32">
        <w:t>—</w:t>
      </w:r>
      <w:r>
        <w:t>just faster and with less bureaucracy.</w:t>
      </w:r>
    </w:p>
    <w:p w14:paraId="16EEA07F" w14:textId="04403F09" w:rsidR="001A20CD" w:rsidRPr="00FB0D3A" w:rsidRDefault="001A20CD" w:rsidP="001A20CD">
      <w:r w:rsidRPr="00FB0D3A">
        <w:lastRenderedPageBreak/>
        <w:t xml:space="preserve">In this way, experts in the relevant specialty will </w:t>
      </w:r>
      <w:r>
        <w:t>provide</w:t>
      </w:r>
      <w:r w:rsidRPr="00FB0D3A">
        <w:t xml:space="preserve"> the assessment without taking up the time of others whose expertise lies elsewhere. </w:t>
      </w:r>
      <w:bookmarkEnd w:id="98"/>
      <w:r w:rsidRPr="00FB0D3A">
        <w:t xml:space="preserve">For example, if the application </w:t>
      </w:r>
      <w:r w:rsidRPr="00830584">
        <w:t xml:space="preserve">involves </w:t>
      </w:r>
      <w:r>
        <w:t>Aboriginal or Torres Strait Islander</w:t>
      </w:r>
      <w:r w:rsidRPr="00830584">
        <w:t xml:space="preserve"> </w:t>
      </w:r>
      <w:r>
        <w:t>M</w:t>
      </w:r>
      <w:r w:rsidRPr="00830584">
        <w:t xml:space="preserve">aterial, the Department would be able to </w:t>
      </w:r>
      <w:r>
        <w:t xml:space="preserve">call on a group of </w:t>
      </w:r>
      <w:r w:rsidRPr="00830584">
        <w:t>expert Aboriginal or Torres Strait Islander people</w:t>
      </w:r>
      <w:r>
        <w:t xml:space="preserve"> and curators</w:t>
      </w:r>
      <w:r w:rsidR="00C12C07">
        <w:t xml:space="preserve"> to advise as to significance. </w:t>
      </w:r>
      <w:r>
        <w:t>In contrast, at the moment the</w:t>
      </w:r>
      <w:r w:rsidRPr="00830584">
        <w:t xml:space="preserve"> Committee </w:t>
      </w:r>
      <w:r>
        <w:t>has just</w:t>
      </w:r>
      <w:r w:rsidRPr="00830584">
        <w:t xml:space="preserve"> one specified position</w:t>
      </w:r>
      <w:r>
        <w:t xml:space="preserve"> for an Aboriginal or Torres Strait Islander person</w:t>
      </w:r>
      <w:r w:rsidRPr="00830584">
        <w:t xml:space="preserve"> who, rather </w:t>
      </w:r>
      <w:r>
        <w:t>inappropriately</w:t>
      </w:r>
      <w:r w:rsidRPr="00830584">
        <w:t xml:space="preserve">, </w:t>
      </w:r>
      <w:r>
        <w:t>may be</w:t>
      </w:r>
      <w:r w:rsidRPr="00830584">
        <w:t xml:space="preserve"> expected to be able to </w:t>
      </w:r>
      <w:proofErr w:type="gramStart"/>
      <w:r w:rsidRPr="00830584">
        <w:t>advise</w:t>
      </w:r>
      <w:proofErr w:type="gramEnd"/>
      <w:r w:rsidRPr="00830584">
        <w:t xml:space="preserve"> on all </w:t>
      </w:r>
      <w:r>
        <w:t>such</w:t>
      </w:r>
      <w:r w:rsidRPr="00830584">
        <w:t xml:space="preserve"> material.</w:t>
      </w:r>
    </w:p>
    <w:p w14:paraId="5B8FE846" w14:textId="2EACC5AE" w:rsidR="001A20CD" w:rsidRPr="00070287" w:rsidRDefault="001A20CD" w:rsidP="006B5E88">
      <w:pPr>
        <w:pStyle w:val="Heading4"/>
      </w:pPr>
      <w:bookmarkStart w:id="99" w:name="_Toc419448765"/>
      <w:bookmarkStart w:id="100" w:name="_Toc419455722"/>
      <w:r w:rsidRPr="00070287">
        <w:t>Advice as to sectorial issues</w:t>
      </w:r>
      <w:bookmarkEnd w:id="99"/>
      <w:bookmarkEnd w:id="100"/>
    </w:p>
    <w:p w14:paraId="3ACEB1DA" w14:textId="77777777" w:rsidR="001A20CD" w:rsidRDefault="001A20CD" w:rsidP="001A20CD">
      <w:bookmarkStart w:id="101" w:name="_Toc419455723"/>
      <w:r>
        <w:t>Likewise, w</w:t>
      </w:r>
      <w:r w:rsidRPr="00FB0D3A">
        <w:t>here the Department or the Minister requires particular sector</w:t>
      </w:r>
      <w:r>
        <w:t>i</w:t>
      </w:r>
      <w:r w:rsidRPr="00FB0D3A">
        <w:t>al advice</w:t>
      </w:r>
      <w:r>
        <w:t xml:space="preserve"> on broader issues</w:t>
      </w:r>
      <w:r w:rsidRPr="00FB0D3A">
        <w:t xml:space="preserve">, </w:t>
      </w:r>
      <w:r>
        <w:t>a group would be selected from</w:t>
      </w:r>
      <w:r w:rsidRPr="00FB0D3A">
        <w:t xml:space="preserve"> the</w:t>
      </w:r>
      <w:r>
        <w:t xml:space="preserve"> Register </w:t>
      </w:r>
      <w:r w:rsidRPr="00FB0D3A">
        <w:t xml:space="preserve">of Cultural Property Experts </w:t>
      </w:r>
      <w:r>
        <w:t>to</w:t>
      </w:r>
      <w:r w:rsidRPr="00FB0D3A">
        <w:t xml:space="preserve"> provid</w:t>
      </w:r>
      <w:r>
        <w:t>e the best</w:t>
      </w:r>
      <w:r w:rsidRPr="00FB0D3A">
        <w:t xml:space="preserve">-informed advice as to the particular issue. This small group would become the </w:t>
      </w:r>
      <w:r>
        <w:t>panel</w:t>
      </w:r>
      <w:r w:rsidRPr="00FB0D3A">
        <w:t xml:space="preserve"> for the purposes of the advice sought. In other words, </w:t>
      </w:r>
      <w:r>
        <w:t xml:space="preserve">the constituent members of the panel </w:t>
      </w:r>
      <w:r w:rsidRPr="00FB0D3A">
        <w:t>would be different according to the issue upon which advice is sought. While</w:t>
      </w:r>
      <w:r>
        <w:t xml:space="preserve"> it</w:t>
      </w:r>
      <w:r w:rsidRPr="00FB0D3A">
        <w:t xml:space="preserve"> is </w:t>
      </w:r>
      <w:r w:rsidRPr="00830584">
        <w:t>acknowledged that the success of this system is very dependent on the secretariat functions performed by the Department</w:t>
      </w:r>
      <w:r>
        <w:t xml:space="preserve">, </w:t>
      </w:r>
      <w:r w:rsidRPr="00830584">
        <w:t>so too is any committee system.</w:t>
      </w:r>
      <w:bookmarkEnd w:id="101"/>
    </w:p>
    <w:p w14:paraId="2689CBAB" w14:textId="018E8FE0" w:rsidR="001A20CD" w:rsidRPr="00FB0D3A" w:rsidRDefault="001A20CD" w:rsidP="001A20CD">
      <w:r>
        <w:t>Similarly, it is envisaged that a panel could be drawn together from time to time to provide advice on the updating of the Con</w:t>
      </w:r>
      <w:r w:rsidR="00F33A91">
        <w:t xml:space="preserve">trol List, perhaps to review </w:t>
      </w:r>
      <w:r>
        <w:t>value thresholds or to advise on whether additional categories or objects should be included in the Declared Australian Protected Material list.</w:t>
      </w:r>
    </w:p>
    <w:p w14:paraId="0F571FF0" w14:textId="77777777" w:rsidR="001A20CD" w:rsidRPr="00070287" w:rsidRDefault="001A20CD" w:rsidP="006B5E88">
      <w:pPr>
        <w:pStyle w:val="Heading4"/>
      </w:pPr>
      <w:bookmarkStart w:id="102" w:name="_Toc419448766"/>
      <w:bookmarkStart w:id="103" w:name="_Toc419455724"/>
      <w:r>
        <w:t xml:space="preserve">Flexibility of </w:t>
      </w:r>
      <w:bookmarkEnd w:id="102"/>
      <w:bookmarkEnd w:id="103"/>
      <w:r>
        <w:t>access to expertise</w:t>
      </w:r>
    </w:p>
    <w:p w14:paraId="1C70F23D" w14:textId="77777777" w:rsidR="001A20CD" w:rsidRPr="00FB0D3A" w:rsidRDefault="001A20CD" w:rsidP="001A20CD">
      <w:bookmarkStart w:id="104" w:name="_Toc419455725"/>
      <w:r>
        <w:t xml:space="preserve">The process by which the current Committee is required to fulfil its role is inherently inefficient in that it takes no account of modern communication technologies with which we are now all very familiar. The Committee’s permitted processes are unnecessarily prescribed by the Act and restrictions around teleconferencing and out-of-session work lead to unnecessary delays for applicants and can be burdensome for Committee members. </w:t>
      </w:r>
      <w:r w:rsidRPr="00FB0D3A">
        <w:t>It is imp</w:t>
      </w:r>
      <w:r>
        <w:t>ortant that any group drawn to form a p</w:t>
      </w:r>
      <w:r w:rsidRPr="00FB0D3A">
        <w:t xml:space="preserve">anel of Cultural Property Experts be </w:t>
      </w:r>
      <w:r>
        <w:t>permitted</w:t>
      </w:r>
      <w:r w:rsidRPr="00FB0D3A">
        <w:t xml:space="preserve"> to provide advice in the most appropriate way for the question at hand.</w:t>
      </w:r>
      <w:r>
        <w:t xml:space="preserve"> </w:t>
      </w:r>
      <w:r w:rsidRPr="00FB0D3A">
        <w:t xml:space="preserve">The legislation should neither prescribe nor proscribe the manner in which advice can be </w:t>
      </w:r>
      <w:r>
        <w:t xml:space="preserve">sought or </w:t>
      </w:r>
      <w:r w:rsidRPr="00FB0D3A">
        <w:t xml:space="preserve">given. </w:t>
      </w:r>
      <w:r>
        <w:t>Unlike the current scheme, a</w:t>
      </w:r>
      <w:r w:rsidRPr="00FB0D3A">
        <w:t xml:space="preserve">ll communication technologies should be </w:t>
      </w:r>
      <w:r>
        <w:t xml:space="preserve">equally </w:t>
      </w:r>
      <w:r w:rsidRPr="00FB0D3A">
        <w:t>available</w:t>
      </w:r>
      <w:r>
        <w:t xml:space="preserve"> </w:t>
      </w:r>
      <w:r w:rsidRPr="00FB0D3A">
        <w:t>to assis</w:t>
      </w:r>
      <w:r>
        <w:t xml:space="preserve">t the advice givers </w:t>
      </w:r>
      <w:r w:rsidRPr="00FB0D3A">
        <w:t>to provide their counsel.</w:t>
      </w:r>
    </w:p>
    <w:p w14:paraId="3409BC8B" w14:textId="77777777" w:rsidR="001A20CD" w:rsidRPr="00FB0D3A" w:rsidRDefault="001A20CD" w:rsidP="001A20CD">
      <w:r w:rsidRPr="00FB0D3A">
        <w:lastRenderedPageBreak/>
        <w:t xml:space="preserve">For example, if the Minister seeks advice on whether particular </w:t>
      </w:r>
      <w:r>
        <w:t>material</w:t>
      </w:r>
      <w:r w:rsidRPr="00FB0D3A">
        <w:t xml:space="preserve"> should be Declared Australian Protected </w:t>
      </w:r>
      <w:r>
        <w:t>Material</w:t>
      </w:r>
      <w:r w:rsidRPr="00FB0D3A">
        <w:t xml:space="preserve">, it may be appropriate to convene members in a face-to-face meeting. Alternatively, where the Department is seeking a second opinion on a contentious application for the export of historic military material, it may </w:t>
      </w:r>
      <w:r>
        <w:t xml:space="preserve">be more appropriate to </w:t>
      </w:r>
      <w:r w:rsidRPr="009F7126">
        <w:t>facilitate the co-ordinated advice from a number of appropriately qualified members, electronically.</w:t>
      </w:r>
      <w:bookmarkEnd w:id="104"/>
    </w:p>
    <w:p w14:paraId="7492E4AE" w14:textId="77777777" w:rsidR="001A20CD" w:rsidRDefault="001A20CD" w:rsidP="001A20CD">
      <w:bookmarkStart w:id="105" w:name="_Toc419455728"/>
      <w:r>
        <w:t>Further, t</w:t>
      </w:r>
      <w:r w:rsidRPr="00830584">
        <w:t>he le</w:t>
      </w:r>
      <w:r w:rsidRPr="0023112E">
        <w:t>g</w:t>
      </w:r>
      <w:r w:rsidRPr="00830584">
        <w:t>islation should not impose a limit on the nu</w:t>
      </w:r>
      <w:r>
        <w:t>mber of persons appointed to a p</w:t>
      </w:r>
      <w:r w:rsidRPr="00830584">
        <w:t xml:space="preserve">anel of Cultural Property Experts. Matters such as the number of members and the balance of expertise </w:t>
      </w:r>
      <w:r>
        <w:t>should be</w:t>
      </w:r>
      <w:r w:rsidRPr="00830584">
        <w:t xml:space="preserve"> an administrative matter and </w:t>
      </w:r>
      <w:r>
        <w:t>determined</w:t>
      </w:r>
      <w:r w:rsidRPr="00830584">
        <w:t xml:space="preserve"> by the Department</w:t>
      </w:r>
      <w:r>
        <w:t>.</w:t>
      </w:r>
      <w:bookmarkEnd w:id="105"/>
      <w:r>
        <w:t xml:space="preserve"> It should not be fossilised in legislation.</w:t>
      </w:r>
    </w:p>
    <w:p w14:paraId="6386E95D" w14:textId="3B32A62D" w:rsidR="00172D73" w:rsidRDefault="008B2A3C" w:rsidP="008B2A3C">
      <w:pPr>
        <w:pStyle w:val="Subtitle"/>
      </w:pPr>
      <w:r>
        <w:t>Survey Response</w:t>
      </w:r>
    </w:p>
    <w:p w14:paraId="211DD062" w14:textId="5ABD5885" w:rsidR="008B2A3C" w:rsidRPr="008B2A3C" w:rsidRDefault="008B2A3C" w:rsidP="001A20CD">
      <w:r w:rsidRPr="008B2A3C">
        <w:t>68% of respondents agreed to a large or very large extent to the reconfiguration of the Expert Examiner and National Cultural Herit</w:t>
      </w:r>
      <w:r w:rsidR="00C12C07">
        <w:t>age Committee structure into a R</w:t>
      </w:r>
      <w:r w:rsidRPr="008B2A3C">
        <w:t>egister of Cultural Property Experts to examine significance and representation</w:t>
      </w:r>
    </w:p>
    <w:p w14:paraId="0FD016BF" w14:textId="04D250DE" w:rsidR="008B2A3C" w:rsidRDefault="008B2A3C" w:rsidP="001A20CD">
      <w:r w:rsidRPr="00C17362">
        <w:rPr>
          <w:noProof/>
          <w:lang w:eastAsia="en-AU"/>
        </w:rPr>
        <w:drawing>
          <wp:inline distT="0" distB="0" distL="0" distR="0" wp14:anchorId="1375020F" wp14:editId="6FEA06DB">
            <wp:extent cx="3465901" cy="1980000"/>
            <wp:effectExtent l="0" t="0" r="1270" b="1270"/>
            <wp:docPr id="31" name="Picture 31" descr="The extent to which respondents support the reconfiguration of the Expert Examiner and National Cultural Heritage Committee structure into a register of Cultural Property Experts:&#10;&#10;30% To a very large extent&#10;36% To a large extent&#10;20% To a moderate extent&#10;5% To a small extent&#10;5% Not at all&#10;4% Unsure&#10;" title="Figure 9 - The extent to which respondents support the reconfiguration of the Expert Examiner and National Cultural Heritage Committee structure into a register of Cultural Property Exp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465901" cy="1980000"/>
                    </a:xfrm>
                    <a:prstGeom prst="rect">
                      <a:avLst/>
                    </a:prstGeom>
                    <a:noFill/>
                    <a:ln>
                      <a:noFill/>
                    </a:ln>
                  </pic:spPr>
                </pic:pic>
              </a:graphicData>
            </a:graphic>
          </wp:inline>
        </w:drawing>
      </w:r>
    </w:p>
    <w:p w14:paraId="666354C7" w14:textId="541B21AB" w:rsidR="003A5D13" w:rsidRPr="00DF4C7F" w:rsidRDefault="00B33AF7" w:rsidP="008B2A3C">
      <w:pPr>
        <w:ind w:left="567"/>
        <w:rPr>
          <w:b/>
          <w:bCs/>
          <w:vanish/>
        </w:rPr>
      </w:pPr>
      <w:r w:rsidRPr="00A15F5D">
        <w:rPr>
          <w:rFonts w:eastAsia="Times New Roman" w:cs="Arial"/>
          <w:bCs/>
          <w:i/>
          <w:sz w:val="20"/>
          <w:szCs w:val="20"/>
          <w:lang w:eastAsia="en-AU"/>
        </w:rPr>
        <w:t>Figure 9</w:t>
      </w:r>
      <w:r w:rsidR="00AA7153">
        <w:rPr>
          <w:rFonts w:eastAsia="Times New Roman" w:cs="Arial"/>
          <w:bCs/>
          <w:i/>
          <w:sz w:val="20"/>
          <w:szCs w:val="20"/>
          <w:lang w:eastAsia="en-AU"/>
        </w:rPr>
        <w:t>—</w:t>
      </w:r>
      <w:proofErr w:type="gramStart"/>
      <w:r w:rsidR="003A5D13" w:rsidRPr="00A15F5D">
        <w:rPr>
          <w:rFonts w:eastAsia="Times New Roman" w:cs="Arial"/>
          <w:bCs/>
          <w:i/>
          <w:sz w:val="20"/>
          <w:szCs w:val="20"/>
          <w:lang w:eastAsia="en-AU"/>
        </w:rPr>
        <w:t>The</w:t>
      </w:r>
      <w:proofErr w:type="gramEnd"/>
      <w:r w:rsidR="003A5D13" w:rsidRPr="00A15F5D">
        <w:rPr>
          <w:rFonts w:eastAsia="Times New Roman" w:cs="Arial"/>
          <w:bCs/>
          <w:i/>
          <w:sz w:val="20"/>
          <w:szCs w:val="20"/>
          <w:lang w:eastAsia="en-AU"/>
        </w:rPr>
        <w:t xml:space="preserve"> extent to which respondents support the reconfiguration of the Expert Examiner and National Cultural Herit</w:t>
      </w:r>
      <w:r w:rsidR="00C12C07">
        <w:rPr>
          <w:rFonts w:eastAsia="Times New Roman" w:cs="Arial"/>
          <w:bCs/>
          <w:i/>
          <w:sz w:val="20"/>
          <w:szCs w:val="20"/>
          <w:lang w:eastAsia="en-AU"/>
        </w:rPr>
        <w:t>age Committee structure into a R</w:t>
      </w:r>
      <w:r w:rsidR="003A5D13" w:rsidRPr="00A15F5D">
        <w:rPr>
          <w:rFonts w:eastAsia="Times New Roman" w:cs="Arial"/>
          <w:bCs/>
          <w:i/>
          <w:sz w:val="20"/>
          <w:szCs w:val="20"/>
          <w:lang w:eastAsia="en-AU"/>
        </w:rPr>
        <w:t>egister of Cultural Property Experts</w:t>
      </w:r>
      <w:r w:rsidR="003A5D13" w:rsidRPr="008B2A3C">
        <w:rPr>
          <w:b/>
          <w:bCs/>
          <w:sz w:val="20"/>
          <w:szCs w:val="20"/>
        </w:rPr>
        <w:t>.</w:t>
      </w:r>
      <w:r w:rsidR="003A5D13">
        <w:rPr>
          <w:rStyle w:val="FootnoteReference"/>
          <w:rFonts w:eastAsia="Times New Roman" w:cs="Arial"/>
          <w:b/>
          <w:i/>
          <w:sz w:val="20"/>
          <w:szCs w:val="20"/>
          <w:lang w:eastAsia="en-AU"/>
        </w:rPr>
        <w:footnoteReference w:id="50"/>
      </w:r>
    </w:p>
    <w:p w14:paraId="08BDE737" w14:textId="77777777" w:rsidR="00172D73" w:rsidRDefault="00172D73" w:rsidP="008B2A3C">
      <w:pPr>
        <w:ind w:left="567"/>
        <w:rPr>
          <w:rFonts w:asciiTheme="majorHAnsi" w:eastAsiaTheme="majorEastAsia" w:hAnsiTheme="majorHAnsi" w:cstheme="majorBidi"/>
          <w:bCs/>
          <w:color w:val="1F7377"/>
        </w:rPr>
      </w:pPr>
      <w:bookmarkStart w:id="106" w:name="_Toc419448769"/>
      <w:bookmarkStart w:id="107" w:name="_Toc419455733"/>
      <w:r>
        <w:rPr>
          <w:b/>
        </w:rPr>
        <w:br w:type="page"/>
      </w:r>
    </w:p>
    <w:p w14:paraId="1493F33E" w14:textId="77777777" w:rsidR="00AA7153" w:rsidRDefault="001A20CD" w:rsidP="006B5E88">
      <w:pPr>
        <w:pStyle w:val="Heading3"/>
      </w:pPr>
      <w:r>
        <w:rPr>
          <w:b w:val="0"/>
        </w:rPr>
        <w:lastRenderedPageBreak/>
        <w:t xml:space="preserve"> </w:t>
      </w:r>
      <w:r w:rsidRPr="00070287">
        <w:t>The role of Expert Examiner</w:t>
      </w:r>
      <w:bookmarkEnd w:id="106"/>
      <w:bookmarkEnd w:id="107"/>
      <w:r w:rsidRPr="00070287">
        <w:t>s</w:t>
      </w:r>
    </w:p>
    <w:p w14:paraId="6914B737" w14:textId="499C075D" w:rsidR="00AA7153" w:rsidRDefault="001A20CD" w:rsidP="001A20CD">
      <w:bookmarkStart w:id="108" w:name="_Toc419455734"/>
      <w:r w:rsidRPr="00FB0D3A">
        <w:t>At the moment the significance assessments are undertaken by p</w:t>
      </w:r>
      <w:r>
        <w:t xml:space="preserve">ersons called Expert Examiners. </w:t>
      </w:r>
      <w:r w:rsidRPr="00FB0D3A">
        <w:t>These experts provide an invaluable link between the legislation and the different cultural heritage sectors, undertaking thorough research and providing a firm knowledge base for recommendations and decisions.</w:t>
      </w:r>
      <w:bookmarkEnd w:id="108"/>
    </w:p>
    <w:p w14:paraId="6DC2D8BA" w14:textId="2248F8E4" w:rsidR="00AA7153" w:rsidRDefault="001A20CD" w:rsidP="001A20CD">
      <w:bookmarkStart w:id="109" w:name="_Toc419455735"/>
      <w:r w:rsidRPr="00FB0D3A">
        <w:t xml:space="preserve">Some Expert Examiners have been concerned that the recommendations they provide, while not the final decision, may be seen as such by their sector and have adverse professional </w:t>
      </w:r>
      <w:r>
        <w:t>repercussions. For example, an Expert E</w:t>
      </w:r>
      <w:r w:rsidRPr="00FB0D3A">
        <w:t>xaminer may be of the view that the export of an object should be permitted</w:t>
      </w:r>
      <w:r w:rsidR="00801A32">
        <w:t>—</w:t>
      </w:r>
      <w:r w:rsidRPr="00FB0D3A">
        <w:t xml:space="preserve">knowing that other members of a sector may disagree. Similarly, an examiner might </w:t>
      </w:r>
      <w:r>
        <w:t>be uncomfortable</w:t>
      </w:r>
      <w:r w:rsidRPr="00FB0D3A">
        <w:t xml:space="preserve"> to recommend against export where the applicant is an auction house with which they have a professional relationship. While </w:t>
      </w:r>
      <w:r>
        <w:t>some of these situations may not be</w:t>
      </w:r>
      <w:r w:rsidRPr="00FB0D3A">
        <w:t xml:space="preserve"> direct conflicts of interest, they are legitimate concerns in small, highly specialised fields populated with very passionate individuals.</w:t>
      </w:r>
      <w:bookmarkEnd w:id="109"/>
    </w:p>
    <w:p w14:paraId="24754560" w14:textId="5AC5B523" w:rsidR="001A20CD" w:rsidRPr="00FB0D3A" w:rsidRDefault="001A20CD" w:rsidP="001A20CD">
      <w:bookmarkStart w:id="110" w:name="_Toc419455736"/>
      <w:r w:rsidRPr="00FB0D3A">
        <w:t xml:space="preserve">In the </w:t>
      </w:r>
      <w:r>
        <w:t>new model</w:t>
      </w:r>
      <w:r w:rsidRPr="00FB0D3A">
        <w:t xml:space="preserve"> it </w:t>
      </w:r>
      <w:r>
        <w:t>is</w:t>
      </w:r>
      <w:r w:rsidRPr="00FB0D3A">
        <w:t xml:space="preserve"> absolutely clear that the </w:t>
      </w:r>
      <w:r>
        <w:t xml:space="preserve">sole </w:t>
      </w:r>
      <w:r w:rsidRPr="00FB0D3A">
        <w:t xml:space="preserve">role of the expert is to assess the significance of the material for which export permission is sought. It </w:t>
      </w:r>
      <w:r>
        <w:t>is no longer</w:t>
      </w:r>
      <w:r w:rsidRPr="00FB0D3A">
        <w:t xml:space="preserve"> the expert</w:t>
      </w:r>
      <w:r>
        <w:t>’</w:t>
      </w:r>
      <w:r w:rsidRPr="00FB0D3A">
        <w:t>s role to make recommendation</w:t>
      </w:r>
      <w:r>
        <w:t>s as to export permission</w:t>
      </w:r>
      <w:r w:rsidRPr="00FB0D3A">
        <w:t>.</w:t>
      </w:r>
      <w:r>
        <w:t xml:space="preserve"> By limiting the</w:t>
      </w:r>
      <w:r w:rsidRPr="00FB0D3A">
        <w:t xml:space="preserve"> task to describ</w:t>
      </w:r>
      <w:r>
        <w:t>ing</w:t>
      </w:r>
      <w:r w:rsidRPr="00FB0D3A">
        <w:t xml:space="preserve"> the significance of the object</w:t>
      </w:r>
      <w:bookmarkEnd w:id="110"/>
      <w:r>
        <w:t xml:space="preserve"> and providing information regarding representation, the new model will ensure that </w:t>
      </w:r>
      <w:r w:rsidRPr="00FB0D3A">
        <w:t>expert</w:t>
      </w:r>
      <w:r>
        <w:t>s are better able to give fearless advice.</w:t>
      </w:r>
    </w:p>
    <w:p w14:paraId="41F34CAA" w14:textId="5E432578" w:rsidR="001A20CD" w:rsidRDefault="001A20CD" w:rsidP="001A20CD">
      <w:bookmarkStart w:id="111" w:name="_Toc419455737"/>
      <w:r w:rsidRPr="00FB0D3A">
        <w:t xml:space="preserve">To make clear this </w:t>
      </w:r>
      <w:r>
        <w:t>change</w:t>
      </w:r>
      <w:r w:rsidRPr="00FB0D3A">
        <w:t xml:space="preserve"> of function</w:t>
      </w:r>
      <w:r>
        <w:t>,</w:t>
      </w:r>
      <w:r w:rsidRPr="00FB0D3A">
        <w:t xml:space="preserve"> </w:t>
      </w:r>
      <w:r>
        <w:t xml:space="preserve">the new model no longer uses </w:t>
      </w:r>
      <w:r w:rsidRPr="00FB0D3A">
        <w:t>the term 'Expert</w:t>
      </w:r>
      <w:r>
        <w:t xml:space="preserve"> Examiner' and i</w:t>
      </w:r>
      <w:r w:rsidRPr="00FB0D3A">
        <w:t>n its place, the term 'Expert Cultural Significance Assessor'</w:t>
      </w:r>
      <w:r w:rsidR="00C12C07">
        <w:t xml:space="preserve"> (‘Assessor</w:t>
      </w:r>
      <w:r>
        <w:t>’)</w:t>
      </w:r>
      <w:r w:rsidRPr="00FB0D3A">
        <w:t xml:space="preserve"> </w:t>
      </w:r>
      <w:r>
        <w:t>has been</w:t>
      </w:r>
      <w:r w:rsidRPr="00FB0D3A">
        <w:t xml:space="preserve"> adopted.</w:t>
      </w:r>
      <w:bookmarkEnd w:id="111"/>
    </w:p>
    <w:p w14:paraId="385AA6A5" w14:textId="77777777" w:rsidR="00AA7153" w:rsidRDefault="001A20CD" w:rsidP="006B5E88">
      <w:pPr>
        <w:pStyle w:val="Heading3"/>
      </w:pPr>
      <w:bookmarkStart w:id="112" w:name="_Toc419448770"/>
      <w:bookmarkStart w:id="113" w:name="_Toc419455739"/>
      <w:r w:rsidRPr="00070287">
        <w:t>Expert Cultural Significance Assessors</w:t>
      </w:r>
      <w:bookmarkEnd w:id="112"/>
      <w:bookmarkEnd w:id="113"/>
    </w:p>
    <w:p w14:paraId="100D3676" w14:textId="77777777" w:rsidR="00AA7153" w:rsidRDefault="001A20CD" w:rsidP="001A20CD">
      <w:bookmarkStart w:id="114" w:name="_Toc419455740"/>
      <w:r>
        <w:t>Currently, a single examiner carries out the significance assessment unless additional opinions are requested by the applicant or the Committee</w:t>
      </w:r>
      <w:r w:rsidRPr="00FB0D3A">
        <w:t>. Over the years several submissions made to previous reviews have alleged corruption, bias or conflict of interest on the part of examiners. While such accusations are occasional</w:t>
      </w:r>
      <w:r>
        <w:t>ly to be expected, obtaining</w:t>
      </w:r>
      <w:r w:rsidRPr="00FB0D3A">
        <w:t xml:space="preserve"> two expert opinions would considerably enhance the robustness of the system.</w:t>
      </w:r>
    </w:p>
    <w:p w14:paraId="284D5556" w14:textId="08B7D904" w:rsidR="001A20CD" w:rsidRDefault="001A20CD" w:rsidP="001A20CD">
      <w:bookmarkStart w:id="115" w:name="_Toc419455741"/>
      <w:r>
        <w:lastRenderedPageBreak/>
        <w:t>While it is generally recommended that two Assessors should carry out s</w:t>
      </w:r>
      <w:r w:rsidRPr="00FB0D3A">
        <w:t>ignificance assessments</w:t>
      </w:r>
      <w:bookmarkStart w:id="116" w:name="_Toc419455742"/>
      <w:bookmarkEnd w:id="115"/>
      <w:r>
        <w:t xml:space="preserve">, </w:t>
      </w:r>
      <w:r w:rsidRPr="00FB0D3A">
        <w:t xml:space="preserve">there may be circumstances where a case is so straightforward (or obscure) that one would </w:t>
      </w:r>
      <w:r>
        <w:t xml:space="preserve">(or must) </w:t>
      </w:r>
      <w:r w:rsidRPr="00FB0D3A">
        <w:t xml:space="preserve">suffice. This should be left to administrative discretion. Requiring two assessments where one is sufficient (or only one is practicable) </w:t>
      </w:r>
      <w:r>
        <w:t>would create</w:t>
      </w:r>
      <w:r w:rsidRPr="00FB0D3A">
        <w:t xml:space="preserve"> unnecessary delay in decision-making.</w:t>
      </w:r>
      <w:bookmarkStart w:id="117" w:name="_Toc419455743"/>
      <w:bookmarkEnd w:id="116"/>
    </w:p>
    <w:p w14:paraId="39CF9AEF" w14:textId="77777777" w:rsidR="001A20CD" w:rsidRDefault="001A20CD" w:rsidP="001A20CD">
      <w:r>
        <w:t>In addition, it is recommended that one of the</w:t>
      </w:r>
      <w:r w:rsidRPr="00FB0D3A">
        <w:t xml:space="preserve"> Assessors should usually be from a public collecting institution. Th</w:t>
      </w:r>
      <w:r>
        <w:t>is is because:</w:t>
      </w:r>
      <w:bookmarkStart w:id="118" w:name="_Toc419455744"/>
      <w:bookmarkEnd w:id="117"/>
    </w:p>
    <w:p w14:paraId="6C77A2BB" w14:textId="77777777" w:rsidR="001A20CD" w:rsidRDefault="001A20CD" w:rsidP="00E333A4">
      <w:pPr>
        <w:pStyle w:val="ListParagraph"/>
        <w:numPr>
          <w:ilvl w:val="0"/>
          <w:numId w:val="28"/>
        </w:numPr>
        <w:ind w:left="567" w:hanging="567"/>
      </w:pPr>
      <w:r w:rsidRPr="00FB0D3A">
        <w:t>our public collecting institutions are repositories of great knowledge;</w:t>
      </w:r>
      <w:bookmarkStart w:id="119" w:name="_Toc419455746"/>
      <w:bookmarkEnd w:id="118"/>
    </w:p>
    <w:p w14:paraId="44AACCF4" w14:textId="77777777" w:rsidR="001A20CD" w:rsidRDefault="001A20CD" w:rsidP="00E333A4">
      <w:pPr>
        <w:pStyle w:val="ListParagraph"/>
        <w:numPr>
          <w:ilvl w:val="0"/>
          <w:numId w:val="28"/>
        </w:numPr>
        <w:ind w:left="567" w:hanging="567"/>
      </w:pPr>
      <w:r w:rsidRPr="00FB0D3A">
        <w:t>it would increase the probity of the assessment given that they would not have any personal financial interest in the assessment; and</w:t>
      </w:r>
      <w:bookmarkStart w:id="120" w:name="_Toc419455747"/>
      <w:bookmarkEnd w:id="119"/>
    </w:p>
    <w:p w14:paraId="67859191" w14:textId="77777777" w:rsidR="001A20CD" w:rsidRDefault="001A20CD" w:rsidP="00E333A4">
      <w:pPr>
        <w:pStyle w:val="ListParagraph"/>
        <w:numPr>
          <w:ilvl w:val="0"/>
          <w:numId w:val="28"/>
        </w:numPr>
        <w:ind w:left="567" w:hanging="567"/>
      </w:pPr>
      <w:proofErr w:type="gramStart"/>
      <w:r w:rsidRPr="00FB0D3A">
        <w:t>as</w:t>
      </w:r>
      <w:proofErr w:type="gramEnd"/>
      <w:r w:rsidRPr="00FB0D3A">
        <w:t xml:space="preserve"> adequate representation is one of the elements in determining significance, the familiar</w:t>
      </w:r>
      <w:r>
        <w:t>ity of these A</w:t>
      </w:r>
      <w:r w:rsidRPr="00FB0D3A">
        <w:t xml:space="preserve">ssessors with public collections </w:t>
      </w:r>
      <w:r>
        <w:t>would assist this research</w:t>
      </w:r>
      <w:r w:rsidRPr="00FB0D3A">
        <w:t>.</w:t>
      </w:r>
      <w:bookmarkEnd w:id="120"/>
    </w:p>
    <w:p w14:paraId="20203CC9" w14:textId="77777777" w:rsidR="00AA7153" w:rsidRDefault="001A20CD" w:rsidP="001A20CD">
      <w:r w:rsidRPr="00FB0D3A">
        <w:t xml:space="preserve">It is sometimes argued that it is </w:t>
      </w:r>
      <w:r>
        <w:t>difficult</w:t>
      </w:r>
      <w:r w:rsidRPr="00FB0D3A">
        <w:t xml:space="preserve"> </w:t>
      </w:r>
      <w:r>
        <w:t xml:space="preserve">enough </w:t>
      </w:r>
      <w:r w:rsidRPr="00FB0D3A">
        <w:t xml:space="preserve">to get one </w:t>
      </w:r>
      <w:r>
        <w:t>Assessor</w:t>
      </w:r>
      <w:r w:rsidRPr="00FB0D3A">
        <w:t xml:space="preserve"> to do the assessment</w:t>
      </w:r>
      <w:r>
        <w:t>.</w:t>
      </w:r>
      <w:r w:rsidRPr="00FB0D3A">
        <w:t xml:space="preserve"> </w:t>
      </w:r>
      <w:r>
        <w:t xml:space="preserve">This concern </w:t>
      </w:r>
      <w:r w:rsidRPr="00FB0D3A">
        <w:t>is understandable</w:t>
      </w:r>
      <w:r>
        <w:t xml:space="preserve"> g</w:t>
      </w:r>
      <w:r w:rsidRPr="00FB0D3A">
        <w:t>iven that</w:t>
      </w:r>
      <w:r>
        <w:t>,</w:t>
      </w:r>
      <w:r w:rsidRPr="00FB0D3A">
        <w:t xml:space="preserve"> </w:t>
      </w:r>
      <w:r>
        <w:t>currently</w:t>
      </w:r>
      <w:r w:rsidRPr="00576D3A">
        <w:t xml:space="preserve">, </w:t>
      </w:r>
      <w:r w:rsidRPr="00576D3A">
        <w:rPr>
          <w:b/>
        </w:rPr>
        <w:t>all</w:t>
      </w:r>
      <w:r w:rsidRPr="00FB0D3A">
        <w:t xml:space="preserve"> application</w:t>
      </w:r>
      <w:r>
        <w:t>s must have a full s</w:t>
      </w:r>
      <w:r w:rsidRPr="00FB0D3A">
        <w:t>ignific</w:t>
      </w:r>
      <w:r>
        <w:t>ance assessment undertaken and these can require extensive research</w:t>
      </w:r>
      <w:r w:rsidRPr="00FB0D3A">
        <w:t>.</w:t>
      </w:r>
      <w:r>
        <w:t xml:space="preserve"> </w:t>
      </w:r>
      <w:r w:rsidRPr="00FB0D3A">
        <w:t>However, with the adoption of</w:t>
      </w:r>
      <w:r>
        <w:t xml:space="preserve"> the new model </w:t>
      </w:r>
      <w:r w:rsidRPr="00FB0D3A">
        <w:t xml:space="preserve">there </w:t>
      </w:r>
      <w:r>
        <w:t>would</w:t>
      </w:r>
      <w:r w:rsidRPr="00FB0D3A">
        <w:t xml:space="preserve"> be many fewer r</w:t>
      </w:r>
      <w:r>
        <w:t>eferrals for expert assessment.</w:t>
      </w:r>
      <w:r>
        <w:rPr>
          <w:rStyle w:val="FootnoteReference"/>
        </w:rPr>
        <w:footnoteReference w:id="51"/>
      </w:r>
    </w:p>
    <w:p w14:paraId="2F6E2A44" w14:textId="65EF15B2" w:rsidR="001A20CD" w:rsidRDefault="001A20CD" w:rsidP="00DC2B9B">
      <w:pPr>
        <w:pStyle w:val="Heading4"/>
      </w:pPr>
      <w:bookmarkStart w:id="121" w:name="_Toc419455729"/>
      <w:r>
        <w:t>Expanding the pool of expertise</w:t>
      </w:r>
    </w:p>
    <w:p w14:paraId="209A471C" w14:textId="77777777" w:rsidR="00AA7153" w:rsidRDefault="001A20CD" w:rsidP="001A20CD">
      <w:r w:rsidRPr="00FB0D3A">
        <w:t xml:space="preserve">It is important that the pool of expertise </w:t>
      </w:r>
      <w:r>
        <w:t>on the Register be expanded.</w:t>
      </w:r>
      <w:r w:rsidRPr="00FB0D3A">
        <w:t xml:space="preserve"> As has been noted in previous reviews of the Act, </w:t>
      </w:r>
      <w:r>
        <w:t>the</w:t>
      </w:r>
      <w:r w:rsidRPr="00FB0D3A">
        <w:t xml:space="preserve"> method of identifying and qualifying </w:t>
      </w:r>
      <w:r>
        <w:t>Assessors</w:t>
      </w:r>
      <w:r w:rsidRPr="00FB0D3A">
        <w:t xml:space="preserve"> </w:t>
      </w:r>
      <w:r>
        <w:t>is a long-standing problem. C</w:t>
      </w:r>
      <w:r w:rsidRPr="00FB0D3A">
        <w:t>oncerted effort must be put into</w:t>
      </w:r>
      <w:r>
        <w:t xml:space="preserve"> expanding the pool of expertise.</w:t>
      </w:r>
    </w:p>
    <w:p w14:paraId="6D8862CE" w14:textId="77777777" w:rsidR="00AA7153" w:rsidRDefault="001A20CD" w:rsidP="001A20CD">
      <w:r>
        <w:t>On the basis that t</w:t>
      </w:r>
      <w:r w:rsidRPr="00FB0D3A">
        <w:t xml:space="preserve">he best people to </w:t>
      </w:r>
      <w:r>
        <w:t>identify</w:t>
      </w:r>
      <w:r w:rsidRPr="00FB0D3A">
        <w:t xml:space="preserve"> experts in a field are other acknowledged experts</w:t>
      </w:r>
      <w:r>
        <w:t>, e</w:t>
      </w:r>
      <w:r w:rsidRPr="00FB0D3A">
        <w:t xml:space="preserve">ach year, </w:t>
      </w:r>
      <w:r>
        <w:t>everyone on the Register</w:t>
      </w:r>
      <w:r w:rsidRPr="00FB0D3A">
        <w:t xml:space="preserve"> should be asked to </w:t>
      </w:r>
      <w:r>
        <w:t>nominate</w:t>
      </w:r>
      <w:r w:rsidRPr="00FB0D3A">
        <w:t xml:space="preserve"> persons that they believe would </w:t>
      </w:r>
      <w:r>
        <w:t>be suitable additions to the Register</w:t>
      </w:r>
      <w:r w:rsidRPr="00FB0D3A">
        <w:t>.</w:t>
      </w:r>
      <w:bookmarkEnd w:id="121"/>
    </w:p>
    <w:p w14:paraId="4C19DFB5" w14:textId="77777777" w:rsidR="00AA7153" w:rsidRDefault="001A20CD" w:rsidP="001A20CD">
      <w:bookmarkStart w:id="122" w:name="_Toc419455731"/>
      <w:r>
        <w:t xml:space="preserve">With the reconfiguration of the Committee, </w:t>
      </w:r>
      <w:bookmarkStart w:id="123" w:name="_Toc419455748"/>
      <w:r>
        <w:t>t</w:t>
      </w:r>
      <w:r w:rsidRPr="00FB0D3A">
        <w:t xml:space="preserve">he process for identification, selection, training and oversight of </w:t>
      </w:r>
      <w:r>
        <w:t>the Assessors w</w:t>
      </w:r>
      <w:r w:rsidRPr="00FB0D3A">
        <w:t>ould be a function of the Department</w:t>
      </w:r>
      <w:r>
        <w:t>, underpinned by peer referrals from current Assessors</w:t>
      </w:r>
      <w:bookmarkEnd w:id="123"/>
      <w:r>
        <w:t xml:space="preserve">. </w:t>
      </w:r>
      <w:r w:rsidRPr="00A35721">
        <w:t xml:space="preserve">At the moment, the Minister </w:t>
      </w:r>
      <w:r w:rsidRPr="00A35721">
        <w:lastRenderedPageBreak/>
        <w:t xml:space="preserve">makes </w:t>
      </w:r>
      <w:r>
        <w:t xml:space="preserve">the </w:t>
      </w:r>
      <w:r w:rsidRPr="00A35721">
        <w:t>appointments to the Committee</w:t>
      </w:r>
      <w:r>
        <w:t xml:space="preserve"> and additions to the Register are made by the Committee</w:t>
      </w:r>
      <w:r w:rsidRPr="00A35721">
        <w:t xml:space="preserve">. </w:t>
      </w:r>
      <w:r>
        <w:t>In the new model, t</w:t>
      </w:r>
      <w:r w:rsidRPr="00A35721">
        <w:t xml:space="preserve">he Department </w:t>
      </w:r>
      <w:r>
        <w:t xml:space="preserve">would administer membership of </w:t>
      </w:r>
      <w:r w:rsidRPr="00A35721">
        <w:t>the Register of Cultural Property Experts.</w:t>
      </w:r>
      <w:bookmarkEnd w:id="122"/>
    </w:p>
    <w:p w14:paraId="4F07311E" w14:textId="24437CDD" w:rsidR="001A20CD" w:rsidRDefault="001A20CD" w:rsidP="00DC2B9B">
      <w:pPr>
        <w:pStyle w:val="Heading4"/>
      </w:pPr>
      <w:bookmarkStart w:id="124" w:name="_Toc419455732"/>
      <w:r>
        <w:t>Payment for expertise</w:t>
      </w:r>
    </w:p>
    <w:p w14:paraId="61F4231D" w14:textId="77777777" w:rsidR="001A20CD" w:rsidRDefault="001A20CD" w:rsidP="001A20CD">
      <w:r>
        <w:t>Experts would continue to be paid for their significance assessments. Similarly, e</w:t>
      </w:r>
      <w:r w:rsidRPr="00A35721">
        <w:t xml:space="preserve">xperts who are called on to form a </w:t>
      </w:r>
      <w:r>
        <w:t>p</w:t>
      </w:r>
      <w:r w:rsidRPr="00A35721">
        <w:t>a</w:t>
      </w:r>
      <w:r>
        <w:t>nel for advice either on contentious applications or strategic policy advice,</w:t>
      </w:r>
      <w:r w:rsidRPr="00A35721">
        <w:t xml:space="preserve"> </w:t>
      </w:r>
      <w:r w:rsidRPr="00F32137">
        <w:t>would be paid appropriate sitting fees.</w:t>
      </w:r>
      <w:bookmarkEnd w:id="124"/>
    </w:p>
    <w:p w14:paraId="6DF3F9DB" w14:textId="77777777" w:rsidR="001A20CD" w:rsidRDefault="001A20CD" w:rsidP="00DC2B9B">
      <w:pPr>
        <w:pStyle w:val="Heading4"/>
      </w:pPr>
      <w:r>
        <w:t>Terms of appointment</w:t>
      </w:r>
    </w:p>
    <w:p w14:paraId="43C53D18" w14:textId="6202F829" w:rsidR="001A20CD" w:rsidRDefault="001A20CD" w:rsidP="001A20CD">
      <w:bookmarkStart w:id="125" w:name="_Toc419455749"/>
      <w:bookmarkEnd w:id="114"/>
      <w:r w:rsidRPr="00FB0D3A">
        <w:t xml:space="preserve">The term of appointment for Assessors </w:t>
      </w:r>
      <w:r>
        <w:t>w</w:t>
      </w:r>
      <w:r w:rsidRPr="00FB0D3A">
        <w:t>ould be for renewable periods</w:t>
      </w:r>
      <w:r>
        <w:t>. I suggest 5 years for institutional assessors and 3 years for others.</w:t>
      </w:r>
      <w:r w:rsidRPr="00FB0D3A">
        <w:t xml:space="preserve"> There </w:t>
      </w:r>
      <w:r>
        <w:t>w</w:t>
      </w:r>
      <w:r w:rsidRPr="00FB0D3A">
        <w:t xml:space="preserve">ould be a review of any </w:t>
      </w:r>
      <w:r>
        <w:t>Assessor</w:t>
      </w:r>
      <w:r w:rsidRPr="00FB0D3A">
        <w:t xml:space="preserve"> before reappointment: people change, reputations may diminish, incompetence or competence may be established, required expertise or care may be shown to be lacking. Assessors may also wish to nominate 'sabbatical' periods, where they will be temporarily removed from the </w:t>
      </w:r>
      <w:r>
        <w:t>R</w:t>
      </w:r>
      <w:r w:rsidRPr="00FB0D3A">
        <w:t>egi</w:t>
      </w:r>
      <w:r w:rsidR="00F33A91">
        <w:t>ster when focusing on other matters</w:t>
      </w:r>
      <w:r w:rsidRPr="00FB0D3A">
        <w:t>.</w:t>
      </w:r>
      <w:bookmarkEnd w:id="125"/>
    </w:p>
    <w:p w14:paraId="00C5A933" w14:textId="04F02E73" w:rsidR="001A20CD" w:rsidRDefault="00B33AF7" w:rsidP="00DC2B9B">
      <w:pPr>
        <w:pStyle w:val="Heading4"/>
      </w:pPr>
      <w:r>
        <w:t>Protection of A</w:t>
      </w:r>
      <w:r w:rsidR="001A20CD">
        <w:t>ssessors from legal liability</w:t>
      </w:r>
    </w:p>
    <w:p w14:paraId="25806323" w14:textId="77777777" w:rsidR="00AA7153" w:rsidRDefault="001A20CD" w:rsidP="001A20CD">
      <w:r>
        <w:t>As the Assessors will no long</w:t>
      </w:r>
      <w:r w:rsidR="00F33A91">
        <w:t xml:space="preserve">er </w:t>
      </w:r>
      <w:r w:rsidR="00B33AF7">
        <w:t>provid</w:t>
      </w:r>
      <w:r w:rsidR="00F33A91">
        <w:t>e</w:t>
      </w:r>
      <w:r w:rsidR="00B33AF7">
        <w:t xml:space="preserve"> recommendations</w:t>
      </w:r>
      <w:r>
        <w:t xml:space="preserve"> (only assessments and information), they can no longer be seen to be a ‘decision-maker’ in any legal sense. To provide clear protection for them, the model includes a provision modelled on s</w:t>
      </w:r>
      <w:r w:rsidR="00B33AF7">
        <w:t xml:space="preserve">ection </w:t>
      </w:r>
      <w:r>
        <w:t xml:space="preserve">7E of the New Zealand </w:t>
      </w:r>
      <w:r w:rsidRPr="00792C52">
        <w:rPr>
          <w:i/>
        </w:rPr>
        <w:t>Protected Objects Act 1975</w:t>
      </w:r>
      <w:r>
        <w:t>, providing that they may not be held personally liable for any advice provided in good faith.</w:t>
      </w:r>
    </w:p>
    <w:p w14:paraId="15948B42" w14:textId="17A81027" w:rsidR="001A20CD" w:rsidRDefault="001A20CD" w:rsidP="00DC2B9B">
      <w:pPr>
        <w:pStyle w:val="Heading4"/>
      </w:pPr>
      <w:bookmarkStart w:id="126" w:name="_Toc419455750"/>
      <w:r>
        <w:t>New assessment forms</w:t>
      </w:r>
    </w:p>
    <w:p w14:paraId="37E1AF7E" w14:textId="77777777" w:rsidR="00AA7153" w:rsidRDefault="001A20CD" w:rsidP="001A20CD">
      <w:r>
        <w:t>As a matter of implementation, n</w:t>
      </w:r>
      <w:r w:rsidRPr="00FB0D3A">
        <w:t>ew assessment re</w:t>
      </w:r>
      <w:r>
        <w:t>porting forms should be issued to:</w:t>
      </w:r>
    </w:p>
    <w:p w14:paraId="38F2A44E" w14:textId="77777777" w:rsidR="00AA7153" w:rsidRDefault="001A20CD" w:rsidP="00E333A4">
      <w:pPr>
        <w:pStyle w:val="ListParagraph"/>
        <w:numPr>
          <w:ilvl w:val="0"/>
          <w:numId w:val="76"/>
        </w:numPr>
        <w:ind w:left="567" w:hanging="567"/>
      </w:pPr>
      <w:r>
        <w:t xml:space="preserve">facilitate </w:t>
      </w:r>
      <w:r w:rsidRPr="00FB0D3A">
        <w:t>the p</w:t>
      </w:r>
      <w:r>
        <w:t>rovision of factual information;</w:t>
      </w:r>
    </w:p>
    <w:p w14:paraId="1D84D6A3" w14:textId="68164219" w:rsidR="001A20CD" w:rsidRDefault="001A20CD" w:rsidP="00E333A4">
      <w:pPr>
        <w:pStyle w:val="ListParagraph"/>
        <w:numPr>
          <w:ilvl w:val="0"/>
          <w:numId w:val="76"/>
        </w:numPr>
        <w:ind w:left="567" w:hanging="567"/>
      </w:pPr>
      <w:r>
        <w:t>set out the provenance information;</w:t>
      </w:r>
    </w:p>
    <w:p w14:paraId="4CA61ACE" w14:textId="77777777" w:rsidR="00AA7153" w:rsidRDefault="001A20CD" w:rsidP="00E333A4">
      <w:pPr>
        <w:pStyle w:val="ListParagraph"/>
        <w:numPr>
          <w:ilvl w:val="0"/>
          <w:numId w:val="76"/>
        </w:numPr>
        <w:ind w:left="567" w:hanging="567"/>
      </w:pPr>
      <w:r>
        <w:t>articulate the</w:t>
      </w:r>
      <w:r w:rsidRPr="00FB0D3A">
        <w:t xml:space="preserve"> significance level</w:t>
      </w:r>
      <w:r>
        <w:t>; and</w:t>
      </w:r>
    </w:p>
    <w:p w14:paraId="2CBE62FA" w14:textId="77777777" w:rsidR="00AA7153" w:rsidRDefault="001A20CD" w:rsidP="00E333A4">
      <w:pPr>
        <w:pStyle w:val="ListParagraph"/>
        <w:numPr>
          <w:ilvl w:val="0"/>
          <w:numId w:val="76"/>
        </w:numPr>
        <w:ind w:left="567" w:hanging="567"/>
      </w:pPr>
      <w:proofErr w:type="gramStart"/>
      <w:r>
        <w:t>provide</w:t>
      </w:r>
      <w:proofErr w:type="gramEnd"/>
      <w:r>
        <w:t xml:space="preserve"> comparative information in regard to representation in public collections</w:t>
      </w:r>
      <w:r w:rsidRPr="00FB0D3A">
        <w:t>.</w:t>
      </w:r>
      <w:bookmarkEnd w:id="126"/>
    </w:p>
    <w:p w14:paraId="424D4520" w14:textId="3D41F098" w:rsidR="00AA7153" w:rsidRDefault="001A20CD" w:rsidP="001B5D3A">
      <w:bookmarkStart w:id="127" w:name="_Toc419455751"/>
      <w:r>
        <w:t xml:space="preserve">In brief, it is important that the forms be structured in a way that will assist the </w:t>
      </w:r>
      <w:r w:rsidR="00C12C07">
        <w:t>A</w:t>
      </w:r>
      <w:r>
        <w:t>ssessor to apply the correct criteria and provide quality information on which the decision-maker can rely.</w:t>
      </w:r>
    </w:p>
    <w:p w14:paraId="5BF1198D" w14:textId="1EE7EBC9" w:rsidR="00172D73" w:rsidRDefault="001A20CD" w:rsidP="001A20CD">
      <w:pPr>
        <w:rPr>
          <w:i/>
          <w:sz w:val="20"/>
          <w:szCs w:val="20"/>
          <w:highlight w:val="yellow"/>
        </w:rPr>
      </w:pPr>
      <w:bookmarkStart w:id="128" w:name="Figure4"/>
      <w:r>
        <w:rPr>
          <w:noProof/>
          <w:lang w:eastAsia="en-AU"/>
        </w:rPr>
        <w:lastRenderedPageBreak/>
        <w:drawing>
          <wp:inline distT="0" distB="0" distL="0" distR="0" wp14:anchorId="3D39D562" wp14:editId="6B92AA6E">
            <wp:extent cx="5307724" cy="2423142"/>
            <wp:effectExtent l="0" t="0" r="7620" b="0"/>
            <wp:docPr id="9" name="Picture 9" descr="The flow chart depicts the roles of the Expert Cultural Assessors and Panel of Cultural Property Experts identified on the Register of Cultural Property Experts. The Register of Cultural Property Experts lists individuals who can provide advice as a recognised Expert Cultural Significance Assessor or Cultural Property Experts.&#10;&#10;The role of the Expert Cultural Significance Assessor is to provide significance assessments and information on representation of cultural material as part of a significance assessment. The role of the Panel of Cultural Property Expert is to provide detailed and specific advice to verify significance; provide advice on contentious applications; and provide input on policy issues relating to the sector. &#10;" title="Figure 10 – Register of Cultural Property Exp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16331"/>
                    <a:stretch/>
                  </pic:blipFill>
                  <pic:spPr bwMode="auto">
                    <a:xfrm>
                      <a:off x="0" y="0"/>
                      <a:ext cx="5303467" cy="2421199"/>
                    </a:xfrm>
                    <a:prstGeom prst="rect">
                      <a:avLst/>
                    </a:prstGeom>
                    <a:noFill/>
                    <a:ln>
                      <a:noFill/>
                    </a:ln>
                    <a:extLst>
                      <a:ext uri="{53640926-AAD7-44D8-BBD7-CCE9431645EC}">
                        <a14:shadowObscured xmlns:a14="http://schemas.microsoft.com/office/drawing/2010/main"/>
                      </a:ext>
                    </a:extLst>
                  </pic:spPr>
                </pic:pic>
              </a:graphicData>
            </a:graphic>
          </wp:inline>
        </w:drawing>
      </w:r>
      <w:bookmarkEnd w:id="128"/>
    </w:p>
    <w:p w14:paraId="112075D8" w14:textId="43BD9144" w:rsidR="001A20CD" w:rsidRPr="00297278" w:rsidRDefault="00172D73" w:rsidP="00297278">
      <w:pPr>
        <w:pStyle w:val="Caption"/>
        <w:ind w:left="284"/>
        <w:jc w:val="left"/>
        <w:rPr>
          <w:rFonts w:ascii="Arial" w:hAnsi="Arial" w:cs="Arial"/>
          <w:i/>
          <w:sz w:val="20"/>
          <w:szCs w:val="20"/>
        </w:rPr>
      </w:pPr>
      <w:r w:rsidRPr="00297278">
        <w:rPr>
          <w:rFonts w:ascii="Arial" w:hAnsi="Arial" w:cs="Arial"/>
          <w:i/>
          <w:sz w:val="20"/>
          <w:szCs w:val="20"/>
        </w:rPr>
        <w:t xml:space="preserve">Figure </w:t>
      </w:r>
      <w:r w:rsidR="00B33AF7" w:rsidRPr="00297278">
        <w:rPr>
          <w:rFonts w:ascii="Arial" w:hAnsi="Arial" w:cs="Arial"/>
          <w:i/>
          <w:sz w:val="20"/>
          <w:szCs w:val="20"/>
        </w:rPr>
        <w:t>10</w:t>
      </w:r>
      <w:r w:rsidR="00801A32">
        <w:rPr>
          <w:rFonts w:ascii="Arial" w:hAnsi="Arial" w:cs="Arial"/>
          <w:i/>
          <w:sz w:val="20"/>
          <w:szCs w:val="20"/>
        </w:rPr>
        <w:t>—</w:t>
      </w:r>
      <w:r w:rsidR="001A20CD" w:rsidRPr="00297278">
        <w:rPr>
          <w:rFonts w:ascii="Arial" w:hAnsi="Arial" w:cs="Arial"/>
          <w:i/>
          <w:sz w:val="20"/>
          <w:szCs w:val="20"/>
        </w:rPr>
        <w:t>Register of Cultural Property Experts</w:t>
      </w:r>
    </w:p>
    <w:p w14:paraId="2555A2D5" w14:textId="77777777" w:rsidR="001A20CD" w:rsidRPr="00070287" w:rsidRDefault="001A20CD" w:rsidP="00052178">
      <w:pPr>
        <w:pStyle w:val="Heading2"/>
      </w:pPr>
      <w:bookmarkStart w:id="129" w:name="_Toc430867344"/>
      <w:bookmarkStart w:id="130" w:name="_Toc433906590"/>
      <w:bookmarkEnd w:id="127"/>
      <w:r>
        <w:t>Making the</w:t>
      </w:r>
      <w:r w:rsidRPr="00070287">
        <w:t xml:space="preserve"> system </w:t>
      </w:r>
      <w:r>
        <w:t>faster and more efficient</w:t>
      </w:r>
      <w:bookmarkEnd w:id="129"/>
      <w:bookmarkEnd w:id="130"/>
    </w:p>
    <w:p w14:paraId="26CC8BF2" w14:textId="77777777" w:rsidR="00AA7153" w:rsidRDefault="001A20CD" w:rsidP="001A20CD">
      <w:bookmarkStart w:id="131" w:name="_Toc419455761"/>
      <w:r w:rsidRPr="00FB0D3A">
        <w:t>Unde</w:t>
      </w:r>
      <w:r>
        <w:t>r the current Act, the process for decision-making</w:t>
      </w:r>
      <w:r w:rsidRPr="00FB0D3A">
        <w:t xml:space="preserve"> </w:t>
      </w:r>
      <w:r>
        <w:t>is</w:t>
      </w:r>
      <w:r w:rsidRPr="00FB0D3A">
        <w:t xml:space="preserve"> </w:t>
      </w:r>
      <w:r>
        <w:t>prescribed</w:t>
      </w:r>
      <w:r w:rsidRPr="00FB0D3A">
        <w:t xml:space="preserve"> </w:t>
      </w:r>
      <w:r>
        <w:t>and</w:t>
      </w:r>
      <w:r w:rsidRPr="00FB0D3A">
        <w:t xml:space="preserve"> inflexible. It involves multiple </w:t>
      </w:r>
      <w:r>
        <w:t>procedural stages and</w:t>
      </w:r>
      <w:r w:rsidRPr="00FB0D3A">
        <w:t xml:space="preserve"> can be incredibly time-consuming</w:t>
      </w:r>
      <w:r>
        <w:t xml:space="preserve">. In addition, the process is </w:t>
      </w:r>
      <w:r w:rsidRPr="00FB0D3A">
        <w:t xml:space="preserve">the same for both the temporary export of a vintage car attending a rally in New Zealand and the permanent export of a George </w:t>
      </w:r>
      <w:r>
        <w:t xml:space="preserve">Cross </w:t>
      </w:r>
      <w:r w:rsidRPr="00FB0D3A">
        <w:t>awarded in World War II.</w:t>
      </w:r>
    </w:p>
    <w:p w14:paraId="025F47B5" w14:textId="2F64B23E" w:rsidR="001A20CD" w:rsidRPr="00FB0D3A" w:rsidRDefault="001A20CD" w:rsidP="001A20CD">
      <w:r w:rsidRPr="00FB0D3A">
        <w:t xml:space="preserve">Some exemptions, known as General Permits, are made for public collecting institutions temporarily exporting </w:t>
      </w:r>
      <w:r>
        <w:t>material</w:t>
      </w:r>
      <w:r w:rsidRPr="00FB0D3A">
        <w:t xml:space="preserve"> from their own collection but otherwise all exports are dealt with </w:t>
      </w:r>
      <w:r>
        <w:t>according to</w:t>
      </w:r>
      <w:r w:rsidRPr="00FB0D3A">
        <w:t xml:space="preserve"> the same process</w:t>
      </w:r>
      <w:r w:rsidR="00801A32">
        <w:t>—</w:t>
      </w:r>
      <w:r>
        <w:t>irrespective of the type of material or the degree of risk attending the export</w:t>
      </w:r>
      <w:r w:rsidRPr="00FB0D3A">
        <w:t>.</w:t>
      </w:r>
      <w:bookmarkEnd w:id="131"/>
    </w:p>
    <w:p w14:paraId="70403B0E" w14:textId="77777777" w:rsidR="00AA7153" w:rsidRDefault="001A20CD" w:rsidP="001A20CD">
      <w:bookmarkStart w:id="132" w:name="_Toc419455762"/>
      <w:r w:rsidRPr="00FB0D3A">
        <w:t xml:space="preserve">This leads to a process </w:t>
      </w:r>
      <w:r>
        <w:t>that</w:t>
      </w:r>
      <w:r w:rsidRPr="00FB0D3A">
        <w:t xml:space="preserve"> is cumbersome and frustrating for applicants</w:t>
      </w:r>
      <w:r>
        <w:t xml:space="preserve"> and</w:t>
      </w:r>
      <w:r w:rsidRPr="00FB0D3A">
        <w:t xml:space="preserve"> </w:t>
      </w:r>
      <w:r>
        <w:t xml:space="preserve">it </w:t>
      </w:r>
      <w:r w:rsidRPr="00FB0D3A">
        <w:t xml:space="preserve">places a significant administrative burden on the </w:t>
      </w:r>
      <w:r>
        <w:t>Department. Similarly, it</w:t>
      </w:r>
      <w:r w:rsidRPr="00FB0D3A">
        <w:t xml:space="preserve"> </w:t>
      </w:r>
      <w:r>
        <w:t xml:space="preserve">often </w:t>
      </w:r>
      <w:r w:rsidRPr="00FB0D3A">
        <w:t xml:space="preserve">places unreasonable expectations </w:t>
      </w:r>
      <w:r>
        <w:t>on the Expert E</w:t>
      </w:r>
      <w:r w:rsidRPr="00FB0D3A">
        <w:t>xami</w:t>
      </w:r>
      <w:r>
        <w:t>ners, the</w:t>
      </w:r>
      <w:r w:rsidRPr="00FB0D3A">
        <w:t xml:space="preserve"> Committee and the Minister (or delegate) </w:t>
      </w:r>
      <w:r>
        <w:t>where quick</w:t>
      </w:r>
      <w:r w:rsidRPr="00FB0D3A">
        <w:t xml:space="preserve"> recommendations and decisions </w:t>
      </w:r>
      <w:r>
        <w:t>are required or expected</w:t>
      </w:r>
      <w:r w:rsidRPr="00FB0D3A">
        <w:t>.</w:t>
      </w:r>
      <w:bookmarkStart w:id="133" w:name="_Toc419455763"/>
      <w:bookmarkEnd w:id="132"/>
      <w:r>
        <w:t xml:space="preserve"> Concerns about the delays caused by this process were raised in consultation, particularly by the commercial art sector but also in several others.</w:t>
      </w:r>
    </w:p>
    <w:p w14:paraId="0DC2FE80" w14:textId="1716D747" w:rsidR="001A20CD" w:rsidRDefault="001A20CD" w:rsidP="006B5E88">
      <w:pPr>
        <w:pStyle w:val="Heading3"/>
      </w:pPr>
      <w:r>
        <w:t xml:space="preserve">A new </w:t>
      </w:r>
      <w:r w:rsidR="00C12C07">
        <w:t>decision-</w:t>
      </w:r>
      <w:r>
        <w:t>tree</w:t>
      </w:r>
    </w:p>
    <w:p w14:paraId="0CAA3637" w14:textId="77777777" w:rsidR="001A20CD" w:rsidRDefault="001A20CD" w:rsidP="001A20CD">
      <w:r w:rsidRPr="00FB0D3A">
        <w:t>While recognising the importance of a clearly articulated decision-making process, the proposed mechanisms for decisions are designed to be flexible, responsive and appropriate to the level of risk posed by the export. The feat</w:t>
      </w:r>
      <w:r>
        <w:t>ures of the new model are:</w:t>
      </w:r>
      <w:bookmarkStart w:id="134" w:name="_Toc419455764"/>
      <w:bookmarkEnd w:id="133"/>
    </w:p>
    <w:p w14:paraId="78EE9AEB" w14:textId="77777777" w:rsidR="001A20CD" w:rsidRDefault="001A20CD" w:rsidP="00E333A4">
      <w:pPr>
        <w:pStyle w:val="ListParagraph"/>
        <w:numPr>
          <w:ilvl w:val="0"/>
          <w:numId w:val="7"/>
        </w:numPr>
        <w:ind w:left="567" w:hanging="567"/>
      </w:pPr>
      <w:r w:rsidRPr="00FB0D3A">
        <w:lastRenderedPageBreak/>
        <w:t>a shortened decision-tree, ensuring faster and more cost-effective processing of applications;</w:t>
      </w:r>
      <w:bookmarkStart w:id="135" w:name="_Toc419455765"/>
      <w:bookmarkEnd w:id="134"/>
    </w:p>
    <w:p w14:paraId="74BA1963" w14:textId="77777777" w:rsidR="001A20CD" w:rsidRDefault="001A20CD" w:rsidP="00E333A4">
      <w:pPr>
        <w:pStyle w:val="ListParagraph"/>
        <w:numPr>
          <w:ilvl w:val="0"/>
          <w:numId w:val="7"/>
        </w:numPr>
        <w:ind w:left="567" w:hanging="567"/>
      </w:pPr>
      <w:r w:rsidRPr="00FB0D3A">
        <w:t>separate decision-making processes for temporary and permanent exports;</w:t>
      </w:r>
      <w:bookmarkStart w:id="136" w:name="_Toc419455766"/>
      <w:bookmarkEnd w:id="135"/>
    </w:p>
    <w:p w14:paraId="226CDA16" w14:textId="77777777" w:rsidR="001A20CD" w:rsidRDefault="001A20CD" w:rsidP="00E333A4">
      <w:pPr>
        <w:pStyle w:val="ListParagraph"/>
        <w:numPr>
          <w:ilvl w:val="0"/>
          <w:numId w:val="7"/>
        </w:numPr>
        <w:ind w:left="567" w:hanging="567"/>
      </w:pPr>
      <w:r w:rsidRPr="00FB0D3A">
        <w:t xml:space="preserve">broadened eligibility for </w:t>
      </w:r>
      <w:r>
        <w:t>G</w:t>
      </w:r>
      <w:r w:rsidRPr="00FB0D3A">
        <w:t xml:space="preserve">eneral </w:t>
      </w:r>
      <w:r>
        <w:t>P</w:t>
      </w:r>
      <w:r w:rsidRPr="00FB0D3A">
        <w:t>ermits;</w:t>
      </w:r>
      <w:bookmarkStart w:id="137" w:name="_Toc419455767"/>
      <w:bookmarkEnd w:id="136"/>
    </w:p>
    <w:p w14:paraId="44F73FDB" w14:textId="77777777" w:rsidR="001A20CD" w:rsidRDefault="001A20CD" w:rsidP="00E333A4">
      <w:pPr>
        <w:pStyle w:val="ListParagraph"/>
        <w:numPr>
          <w:ilvl w:val="0"/>
          <w:numId w:val="7"/>
        </w:numPr>
        <w:ind w:left="567" w:hanging="567"/>
      </w:pPr>
      <w:r w:rsidRPr="00FB0D3A">
        <w:t>increased transparency in both the information provided on application and the reasons for decision;</w:t>
      </w:r>
      <w:bookmarkStart w:id="138" w:name="_Toc419455768"/>
      <w:bookmarkEnd w:id="137"/>
      <w:r>
        <w:t xml:space="preserve"> and</w:t>
      </w:r>
    </w:p>
    <w:p w14:paraId="3FCBB61E" w14:textId="77777777" w:rsidR="00AA7153" w:rsidRDefault="001A20CD" w:rsidP="00E333A4">
      <w:pPr>
        <w:pStyle w:val="ListParagraph"/>
        <w:numPr>
          <w:ilvl w:val="0"/>
          <w:numId w:val="7"/>
        </w:numPr>
        <w:ind w:left="567" w:hanging="567"/>
      </w:pPr>
      <w:bookmarkStart w:id="139" w:name="_Toc419455769"/>
      <w:bookmarkEnd w:id="138"/>
      <w:proofErr w:type="gramStart"/>
      <w:r>
        <w:t>the</w:t>
      </w:r>
      <w:proofErr w:type="gramEnd"/>
      <w:r>
        <w:t xml:space="preserve"> retention of Certificates of Exemption for material legally exported from Australia prior to 1987.</w:t>
      </w:r>
      <w:bookmarkEnd w:id="139"/>
    </w:p>
    <w:p w14:paraId="70C76719" w14:textId="6B268510" w:rsidR="001A20CD" w:rsidRDefault="00297278" w:rsidP="00297278">
      <w:pPr>
        <w:pStyle w:val="Subtitle"/>
      </w:pPr>
      <w:r>
        <w:t>Survey Response</w:t>
      </w:r>
    </w:p>
    <w:p w14:paraId="0FB0DBFA" w14:textId="7D89F837" w:rsidR="00297278" w:rsidRDefault="00297278" w:rsidP="001A20CD">
      <w:pPr>
        <w:rPr>
          <w:noProof/>
          <w:lang w:eastAsia="en-AU"/>
        </w:rPr>
      </w:pPr>
      <w:r w:rsidRPr="00297278">
        <w:t>63% of respondents agreed to a very large extent or to a large extent that the proposed export process is an improvement to the current system.</w:t>
      </w:r>
      <w:r w:rsidRPr="00297278">
        <w:rPr>
          <w:noProof/>
          <w:lang w:eastAsia="en-AU"/>
        </w:rPr>
        <w:t xml:space="preserve"> </w:t>
      </w:r>
      <w:r w:rsidRPr="00C17362">
        <w:rPr>
          <w:noProof/>
          <w:lang w:eastAsia="en-AU"/>
        </w:rPr>
        <w:drawing>
          <wp:inline distT="0" distB="0" distL="0" distR="0" wp14:anchorId="17EB2361" wp14:editId="6F61E4C3">
            <wp:extent cx="3322956" cy="1980000"/>
            <wp:effectExtent l="0" t="0" r="0" b="1270"/>
            <wp:docPr id="672" name="Picture 672" descr="The extent to which respondents thought the proposed export process outlined in the diagram is an improvement to the current system:&#10;&#10;24% To a very large extent&#10;39% To a large extent&#10;19% To a moderate extent&#10;6% To a small extent&#10;6% Not at all&#10;5% Unsure&#10;" title="Figure 11 - The extent to which respondents thought the proposed export process outlined in the diagram is an improvement to the curr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322956" cy="1980000"/>
                    </a:xfrm>
                    <a:prstGeom prst="rect">
                      <a:avLst/>
                    </a:prstGeom>
                    <a:noFill/>
                    <a:ln>
                      <a:noFill/>
                    </a:ln>
                  </pic:spPr>
                </pic:pic>
              </a:graphicData>
            </a:graphic>
          </wp:inline>
        </w:drawing>
      </w:r>
    </w:p>
    <w:p w14:paraId="3CF89E6E" w14:textId="73E2FB1E" w:rsidR="0064619D" w:rsidRPr="001B5D3A" w:rsidRDefault="00B33AF7" w:rsidP="00172D73">
      <w:pPr>
        <w:pStyle w:val="Caption"/>
        <w:ind w:left="284"/>
        <w:jc w:val="left"/>
        <w:rPr>
          <w:rFonts w:ascii="Arial" w:hAnsi="Arial" w:cs="Arial"/>
          <w:i/>
          <w:sz w:val="20"/>
          <w:szCs w:val="20"/>
        </w:rPr>
      </w:pPr>
      <w:r>
        <w:rPr>
          <w:rFonts w:ascii="Arial" w:hAnsi="Arial" w:cs="Arial"/>
          <w:i/>
          <w:sz w:val="20"/>
          <w:szCs w:val="20"/>
        </w:rPr>
        <w:t>Figure 11</w:t>
      </w:r>
      <w:r w:rsidR="00AA7153">
        <w:rPr>
          <w:rFonts w:ascii="Arial" w:hAnsi="Arial" w:cs="Arial"/>
          <w:i/>
          <w:sz w:val="20"/>
          <w:szCs w:val="20"/>
        </w:rPr>
        <w:t>—</w:t>
      </w:r>
      <w:proofErr w:type="gramStart"/>
      <w:r w:rsidR="0064619D" w:rsidRPr="001B5D3A">
        <w:rPr>
          <w:rFonts w:ascii="Arial" w:hAnsi="Arial" w:cs="Arial"/>
          <w:i/>
          <w:sz w:val="20"/>
          <w:szCs w:val="20"/>
        </w:rPr>
        <w:t>The</w:t>
      </w:r>
      <w:proofErr w:type="gramEnd"/>
      <w:r w:rsidR="0064619D" w:rsidRPr="001B5D3A">
        <w:rPr>
          <w:rFonts w:ascii="Arial" w:hAnsi="Arial" w:cs="Arial"/>
          <w:i/>
          <w:sz w:val="20"/>
          <w:szCs w:val="20"/>
        </w:rPr>
        <w:t xml:space="preserve"> extent to which respondents thought the proposed export process outlined in the diagram is an improvement to the current system</w:t>
      </w:r>
      <w:r w:rsidR="00BD628A" w:rsidRPr="001B5D3A">
        <w:rPr>
          <w:rFonts w:ascii="Arial" w:hAnsi="Arial" w:cs="Arial"/>
          <w:i/>
          <w:sz w:val="20"/>
          <w:szCs w:val="20"/>
        </w:rPr>
        <w:t>.</w:t>
      </w:r>
      <w:r w:rsidR="0064619D" w:rsidRPr="001B5D3A">
        <w:rPr>
          <w:rStyle w:val="FootnoteReference"/>
          <w:rFonts w:ascii="Arial" w:hAnsi="Arial" w:cs="Arial"/>
          <w:i/>
          <w:sz w:val="20"/>
          <w:szCs w:val="20"/>
        </w:rPr>
        <w:footnoteReference w:id="52"/>
      </w:r>
    </w:p>
    <w:p w14:paraId="22CB0F23" w14:textId="77777777" w:rsidR="001A20CD" w:rsidRPr="00070287" w:rsidRDefault="001A20CD" w:rsidP="006B5E88">
      <w:pPr>
        <w:pStyle w:val="Heading3"/>
      </w:pPr>
      <w:bookmarkStart w:id="140" w:name="_Toc419448744"/>
      <w:bookmarkStart w:id="141" w:name="_Toc419455771"/>
      <w:r>
        <w:t>New and extended temporary export p</w:t>
      </w:r>
      <w:r w:rsidRPr="00070287">
        <w:t>rocesses</w:t>
      </w:r>
      <w:bookmarkEnd w:id="140"/>
      <w:bookmarkEnd w:id="141"/>
    </w:p>
    <w:p w14:paraId="47971C32" w14:textId="122F0E8E" w:rsidR="00AA7153" w:rsidRDefault="001A20CD" w:rsidP="001A20CD">
      <w:bookmarkStart w:id="142" w:name="_Toc419455770"/>
      <w:bookmarkStart w:id="143" w:name="_Toc419455772"/>
      <w:r>
        <w:t>The current Act provides for only two types of permits</w:t>
      </w:r>
      <w:r w:rsidR="00801A32">
        <w:t>—</w:t>
      </w:r>
      <w:r w:rsidRPr="0033173A">
        <w:t xml:space="preserve">an Export Permit (which can have conditions, the most commonly used condition being ‘temporary export’) and a General Permit (available only to </w:t>
      </w:r>
      <w:r>
        <w:t>‘</w:t>
      </w:r>
      <w:r w:rsidRPr="0033173A">
        <w:t>p</w:t>
      </w:r>
      <w:r>
        <w:t>rincipal</w:t>
      </w:r>
      <w:r w:rsidRPr="0033173A">
        <w:t xml:space="preserve"> collecting institutions</w:t>
      </w:r>
      <w:r>
        <w:t>’).</w:t>
      </w:r>
    </w:p>
    <w:p w14:paraId="22898CBE" w14:textId="77777777" w:rsidR="00AA7153" w:rsidRDefault="001A20CD" w:rsidP="001A20CD">
      <w:r>
        <w:t>The new model retains the ability to place conditions on all types of permits, but provides new tools to speed and simplify the temporary export permits process.</w:t>
      </w:r>
      <w:bookmarkEnd w:id="142"/>
    </w:p>
    <w:p w14:paraId="5FA27A13" w14:textId="0B219624" w:rsidR="001A20CD" w:rsidRPr="00D81D12" w:rsidRDefault="001A20CD" w:rsidP="001A20CD">
      <w:r>
        <w:t>I</w:t>
      </w:r>
      <w:r w:rsidRPr="00FB0D3A">
        <w:t>n many inst</w:t>
      </w:r>
      <w:r>
        <w:t>ances, and perhaps the majority,</w:t>
      </w:r>
      <w:r w:rsidRPr="00FB0D3A">
        <w:t xml:space="preserve"> people o</w:t>
      </w:r>
      <w:r>
        <w:t xml:space="preserve">r organisations that apply for </w:t>
      </w:r>
      <w:r w:rsidRPr="00FB0D3A">
        <w:t xml:space="preserve">temporary export permits </w:t>
      </w:r>
      <w:r>
        <w:t>can be</w:t>
      </w:r>
      <w:r w:rsidRPr="00FB0D3A">
        <w:t xml:space="preserve"> trusted to care for the material and bring it back to </w:t>
      </w:r>
      <w:r w:rsidRPr="00FB0D3A">
        <w:lastRenderedPageBreak/>
        <w:t>Australia. Examples include public collecting institutions lending a work to an overseas institution for the purposes of public exhibition; a car club organising a rally in New Zealand; a stamp collectors' association taking a collection to London to compete in</w:t>
      </w:r>
      <w:r w:rsidR="00F33A91">
        <w:t xml:space="preserve"> an</w:t>
      </w:r>
      <w:r w:rsidRPr="00FB0D3A">
        <w:t xml:space="preserve"> international competition; an auction house touring works </w:t>
      </w:r>
      <w:r>
        <w:t>to promote</w:t>
      </w:r>
      <w:r w:rsidRPr="00FB0D3A">
        <w:t xml:space="preserve"> an upcoming sale within Australia.</w:t>
      </w:r>
      <w:bookmarkStart w:id="144" w:name="_Toc419448746"/>
      <w:bookmarkStart w:id="145" w:name="_Toc419455779"/>
    </w:p>
    <w:p w14:paraId="7732178C" w14:textId="77777777" w:rsidR="001A20CD" w:rsidRPr="00070287" w:rsidRDefault="001A20CD" w:rsidP="006B5E88">
      <w:pPr>
        <w:pStyle w:val="Heading4"/>
      </w:pPr>
      <w:r>
        <w:t>Streamlined procedure for t</w:t>
      </w:r>
      <w:r w:rsidRPr="00070287">
        <w:t>emporary export permits</w:t>
      </w:r>
      <w:bookmarkEnd w:id="144"/>
      <w:bookmarkEnd w:id="145"/>
    </w:p>
    <w:p w14:paraId="57BE3E3C" w14:textId="77777777" w:rsidR="001A20CD" w:rsidRDefault="001A20CD" w:rsidP="001A20CD">
      <w:bookmarkStart w:id="146" w:name="_Toc419455780"/>
      <w:r w:rsidRPr="00570907">
        <w:t xml:space="preserve">The Department </w:t>
      </w:r>
      <w:r>
        <w:t>will</w:t>
      </w:r>
      <w:r w:rsidRPr="00570907">
        <w:t xml:space="preserve"> be empowered to issue </w:t>
      </w:r>
      <w:r>
        <w:t xml:space="preserve">temporary </w:t>
      </w:r>
      <w:r w:rsidRPr="00570907">
        <w:t>export permits</w:t>
      </w:r>
      <w:r>
        <w:t xml:space="preserve"> for periods of up to two years</w:t>
      </w:r>
      <w:r>
        <w:rPr>
          <w:rStyle w:val="FootnoteReference"/>
        </w:rPr>
        <w:footnoteReference w:id="53"/>
      </w:r>
      <w:r w:rsidRPr="00570907">
        <w:t xml:space="preserve"> witho</w:t>
      </w:r>
      <w:r>
        <w:t>ut the need for a significance assessment, unless:</w:t>
      </w:r>
      <w:bookmarkStart w:id="147" w:name="_Toc419455781"/>
      <w:bookmarkEnd w:id="146"/>
    </w:p>
    <w:p w14:paraId="38665EB0" w14:textId="77777777" w:rsidR="001A20CD" w:rsidRDefault="001A20CD" w:rsidP="00E333A4">
      <w:pPr>
        <w:pStyle w:val="ListParagraph"/>
        <w:numPr>
          <w:ilvl w:val="0"/>
          <w:numId w:val="8"/>
        </w:numPr>
        <w:ind w:left="567" w:hanging="567"/>
      </w:pPr>
      <w:r>
        <w:t>it is uncertain</w:t>
      </w:r>
      <w:r w:rsidRPr="00570907">
        <w:t xml:space="preserve"> whether the </w:t>
      </w:r>
      <w:r>
        <w:t>material</w:t>
      </w:r>
      <w:r w:rsidRPr="00570907">
        <w:t xml:space="preserve"> is in fact D</w:t>
      </w:r>
      <w:r>
        <w:t>eclared Australian Protected Material</w:t>
      </w:r>
      <w:r w:rsidRPr="00570907">
        <w:t>;</w:t>
      </w:r>
      <w:bookmarkEnd w:id="147"/>
      <w:r>
        <w:t xml:space="preserve"> </w:t>
      </w:r>
      <w:bookmarkStart w:id="148" w:name="_Toc419455782"/>
      <w:r>
        <w:t>or</w:t>
      </w:r>
    </w:p>
    <w:p w14:paraId="4A4B4613" w14:textId="77777777" w:rsidR="001A20CD" w:rsidRDefault="001A20CD" w:rsidP="00E333A4">
      <w:pPr>
        <w:pStyle w:val="ListParagraph"/>
        <w:numPr>
          <w:ilvl w:val="0"/>
          <w:numId w:val="8"/>
        </w:numPr>
        <w:ind w:left="567" w:hanging="567"/>
      </w:pPr>
      <w:proofErr w:type="gramStart"/>
      <w:r>
        <w:t>the</w:t>
      </w:r>
      <w:proofErr w:type="gramEnd"/>
      <w:r>
        <w:t xml:space="preserve"> Department </w:t>
      </w:r>
      <w:r w:rsidRPr="00570907">
        <w:t xml:space="preserve">has concerns about the potential non-return of the </w:t>
      </w:r>
      <w:bookmarkEnd w:id="148"/>
      <w:r>
        <w:t>material.</w:t>
      </w:r>
    </w:p>
    <w:p w14:paraId="496635EC" w14:textId="77777777" w:rsidR="00A15F5D" w:rsidRDefault="00A15F5D" w:rsidP="00A15F5D">
      <w:pPr>
        <w:pStyle w:val="Subtitle"/>
      </w:pPr>
      <w:r>
        <w:t>Case Study: Temporary export of stamp collection</w:t>
      </w:r>
    </w:p>
    <w:p w14:paraId="33EC68B1" w14:textId="77777777" w:rsidR="00AA7153" w:rsidRDefault="00A15F5D" w:rsidP="00A15F5D">
      <w:r>
        <w:t>In 2014, an applicant sought to temporarily export their stamp collection, for exhibition at an annual, one-week international stamp fair. As the collection met the current criteria as an Australian Protected Object the application was sent to an Expert Examiner for an assessment. The application was then considered by the National Cultural Heritage Committee for recommendation and then onto the Minister or delegate for decision. Notwithstanding that the permit was granted in 2014, the entire process had to be re-undertaken for the collector to participate in a 2015 fair.</w:t>
      </w:r>
    </w:p>
    <w:p w14:paraId="49177690" w14:textId="11E90834" w:rsidR="00BD628A" w:rsidRDefault="00A15F5D" w:rsidP="00A15F5D">
      <w:r>
        <w:t>Under the new model, the Department could simply issue a temporary export permit for the collection each year, if it were satisfied that it was not Declared Australian Protected Material and there were no other risks. Alternatively, the collector could join a philatelic society which holds a General Permit (see Part 19 below).</w:t>
      </w:r>
    </w:p>
    <w:p w14:paraId="652CC11B" w14:textId="79AF689B" w:rsidR="001A20CD" w:rsidRDefault="00C12C07" w:rsidP="006B5E88">
      <w:pPr>
        <w:pStyle w:val="Heading3"/>
      </w:pPr>
      <w:r>
        <w:t>Greater s</w:t>
      </w:r>
      <w:r w:rsidR="001A20CD">
        <w:t>afeguards for temporary exports</w:t>
      </w:r>
    </w:p>
    <w:p w14:paraId="00F903ED" w14:textId="77777777" w:rsidR="001A20CD" w:rsidRDefault="001A20CD" w:rsidP="001A20CD">
      <w:r>
        <w:t xml:space="preserve">During consultation, questions were raised about the process for confirming the return of material that had gone out under a temporary permit. It comes down to two things: </w:t>
      </w:r>
      <w:r>
        <w:lastRenderedPageBreak/>
        <w:t>proof that what was exported was returned and the availability of a strong sanction regime for non-return.</w:t>
      </w:r>
    </w:p>
    <w:p w14:paraId="32AD254A" w14:textId="77777777" w:rsidR="00AA7153" w:rsidRDefault="001A20CD" w:rsidP="001A20CD">
      <w:r>
        <w:t xml:space="preserve">The current practice, of requiring the submission of a declaration, should be retained. However what associated documentation should accompany that documentation is important. For example, it could require photographs duly witnessed prior to export and upon return; it could require the provision of import documentation required under other legislation such as those required by Border Protection and Quarantine. It would be a simple matter for a copy </w:t>
      </w:r>
      <w:r w:rsidR="00091756">
        <w:t>of these to be provided to the D</w:t>
      </w:r>
      <w:r>
        <w:t>epartment to ensure that what was exported, has been returned. This is an administrative matter but the new legislative framework must provide for it.</w:t>
      </w:r>
    </w:p>
    <w:p w14:paraId="39BDC7E1" w14:textId="77777777" w:rsidR="00AA7153" w:rsidRDefault="001A20CD" w:rsidP="001A20CD">
      <w:r>
        <w:t>As to sanctions, it is proposed that under the new classification system, any Australian Heritage Material which is granted temporary export is, for the period that it is out of Australia, assigned the classification of Australian Protected Material.</w:t>
      </w:r>
      <w:r>
        <w:rPr>
          <w:rStyle w:val="FootnoteReference"/>
        </w:rPr>
        <w:footnoteReference w:id="54"/>
      </w:r>
      <w:r>
        <w:t xml:space="preserve"> The classification of the material as Australian Protected Material while it is overseas allows higher level protection by ens</w:t>
      </w:r>
      <w:r w:rsidR="00F33A91">
        <w:t>uring that non-compliance can</w:t>
      </w:r>
      <w:r>
        <w:t xml:space="preserve"> incur the full palette of sanctions.</w:t>
      </w:r>
    </w:p>
    <w:p w14:paraId="13FF57D5" w14:textId="377C61B9" w:rsidR="001A20CD" w:rsidRDefault="001A20CD" w:rsidP="006B5E88">
      <w:pPr>
        <w:pStyle w:val="Heading3"/>
      </w:pPr>
      <w:r>
        <w:t>Extensions to be permitted ‘in situ’</w:t>
      </w:r>
    </w:p>
    <w:p w14:paraId="45D93BA7" w14:textId="77777777" w:rsidR="001A20CD" w:rsidRPr="00185671" w:rsidRDefault="001A20CD" w:rsidP="001A20CD">
      <w:r>
        <w:t>Extensions to temporary permits should be permitted without the material having to physically return to Australia. This is a waste of everyone’s time. If there is no question as to the material’s condition or safety, nor any indication of non-compliance with the terms of the temporary permit, then an extension should be available without requiring interim physical return as a pre-condition.</w:t>
      </w:r>
    </w:p>
    <w:p w14:paraId="39D25521" w14:textId="77777777" w:rsidR="001A20CD" w:rsidRDefault="001A20CD" w:rsidP="00052178">
      <w:pPr>
        <w:pStyle w:val="Heading2"/>
      </w:pPr>
      <w:r>
        <w:t xml:space="preserve"> </w:t>
      </w:r>
      <w:bookmarkStart w:id="149" w:name="_Toc433906591"/>
      <w:r>
        <w:t>General Permits</w:t>
      </w:r>
      <w:bookmarkEnd w:id="149"/>
    </w:p>
    <w:p w14:paraId="4F6EAC36" w14:textId="77777777" w:rsidR="00AA7153" w:rsidRDefault="001A20CD" w:rsidP="006B5E88">
      <w:pPr>
        <w:pStyle w:val="Heading3"/>
      </w:pPr>
      <w:r w:rsidRPr="00070287">
        <w:t xml:space="preserve">Extension of </w:t>
      </w:r>
      <w:r>
        <w:t>the collecting institutions</w:t>
      </w:r>
      <w:r w:rsidRPr="00070287">
        <w:t xml:space="preserve"> General Permit system</w:t>
      </w:r>
    </w:p>
    <w:p w14:paraId="78044945" w14:textId="77777777" w:rsidR="00AA7153" w:rsidRDefault="001A20CD" w:rsidP="001A20CD">
      <w:r w:rsidRPr="00FB0D3A">
        <w:t xml:space="preserve">Currently, General Permits are granted to a small group of </w:t>
      </w:r>
      <w:r>
        <w:t xml:space="preserve">public </w:t>
      </w:r>
      <w:r w:rsidRPr="00FB0D3A">
        <w:t xml:space="preserve">collecting institutions, allowing them to temporarily export </w:t>
      </w:r>
      <w:r>
        <w:t>material</w:t>
      </w:r>
      <w:r w:rsidRPr="00FB0D3A">
        <w:t xml:space="preserve"> from within their collections without applying for individual permits.</w:t>
      </w:r>
      <w:r>
        <w:rPr>
          <w:rStyle w:val="FootnoteReference"/>
        </w:rPr>
        <w:footnoteReference w:id="55"/>
      </w:r>
      <w:r w:rsidRPr="00FB0D3A">
        <w:t xml:space="preserve"> At the end of each financial year, the </w:t>
      </w:r>
      <w:r w:rsidRPr="00FB0D3A">
        <w:lastRenderedPageBreak/>
        <w:t>institutions p</w:t>
      </w:r>
      <w:r>
        <w:t xml:space="preserve">rovide a report to the Department </w:t>
      </w:r>
      <w:r w:rsidRPr="00FB0D3A">
        <w:t>on activity under the General Permit. This works effectively in addressing low-risk, temporary exports without clogging the system with applications and assessments.</w:t>
      </w:r>
      <w:bookmarkEnd w:id="143"/>
    </w:p>
    <w:p w14:paraId="46CC48A8" w14:textId="76817509" w:rsidR="00AA7153" w:rsidRDefault="001A20CD" w:rsidP="001A20CD">
      <w:r>
        <w:t>For example, if a museum is organising an international touring exhibition it is very likely that the exhibition will include objects from within its own collection as well as others that it selects and borrows from public and private collections. At the moment, the museum can export its own material under its General Permit but must seek a temporary export</w:t>
      </w:r>
      <w:r w:rsidR="00F33A91">
        <w:t xml:space="preserve"> permit</w:t>
      </w:r>
      <w:r>
        <w:t xml:space="preserve"> for the material that it is borrowing for the very same purpose. That material must go through a full significance and representation assessment</w:t>
      </w:r>
      <w:r w:rsidR="00801A32">
        <w:t>—</w:t>
      </w:r>
      <w:r>
        <w:t>notwithstanding that one already knows (by the fact that it has been selected for an international touring exhibition) that it is likely to be significant.</w:t>
      </w:r>
    </w:p>
    <w:p w14:paraId="45639E81" w14:textId="577BE350" w:rsidR="001A20CD" w:rsidRDefault="001A20CD" w:rsidP="001A20CD">
      <w:r>
        <w:t>Under the new model, General Permits issued to collecting institutions would no longer be limited to accessioned material but would extend to cover material that they borrow pursuant to a formal loan agreement.</w:t>
      </w:r>
      <w:r>
        <w:rPr>
          <w:rStyle w:val="FootnoteReference"/>
        </w:rPr>
        <w:t>.</w:t>
      </w:r>
    </w:p>
    <w:p w14:paraId="19C4A258" w14:textId="77777777" w:rsidR="001A20CD" w:rsidRDefault="001A20CD" w:rsidP="006B5E88">
      <w:pPr>
        <w:pStyle w:val="Heading3"/>
      </w:pPr>
      <w:r>
        <w:t>Renewal of General Permits</w:t>
      </w:r>
    </w:p>
    <w:p w14:paraId="3CD94DE6" w14:textId="7A634D63" w:rsidR="00AA7153" w:rsidRDefault="001A20CD" w:rsidP="001A20CD">
      <w:r>
        <w:t>It is expected that most General Permits would be valid for five years and renewable. However, in regard to institutions established by Commonwealth, state or territory legislation</w:t>
      </w:r>
      <w:r w:rsidR="00F33A91">
        <w:t>,</w:t>
      </w:r>
      <w:r>
        <w:t xml:space="preserve"> the process of application and renewal would be inefficient. These trusted organisations have ongoing governance and reporting requirements to government therefore it is proposed that an organisation with such oversight obligations should be granted a permit that is not limited by a fixed term. However ongoing reporting on export will be required and sanctions (including termination) for misuse will apply.</w:t>
      </w:r>
    </w:p>
    <w:p w14:paraId="0F517A4E" w14:textId="260C31A5" w:rsidR="001A20CD" w:rsidRDefault="001A20CD" w:rsidP="006B5E88">
      <w:pPr>
        <w:pStyle w:val="Heading3"/>
      </w:pPr>
      <w:r>
        <w:t>Extension of the General Permit system to other organisations</w:t>
      </w:r>
    </w:p>
    <w:p w14:paraId="28DCF576" w14:textId="77777777" w:rsidR="00AA7153" w:rsidRDefault="001A20CD" w:rsidP="001A20CD">
      <w:bookmarkStart w:id="150" w:name="_Toc419455773"/>
      <w:r>
        <w:t>The new model would extend the eligibility criteria for General Permits to a broad range of other trusted organisations which could include collecting institutions, special interest groups, universities and auction houses. This would allow the General Permit system to</w:t>
      </w:r>
      <w:r w:rsidRPr="00FB0D3A">
        <w:t xml:space="preserve"> </w:t>
      </w:r>
      <w:r>
        <w:t>deal with a considerable proportion</w:t>
      </w:r>
      <w:r w:rsidRPr="00FB0D3A">
        <w:t xml:space="preserve"> of the temporary expo</w:t>
      </w:r>
      <w:r>
        <w:t>rt applications</w:t>
      </w:r>
      <w:r w:rsidRPr="00FB0D3A">
        <w:t xml:space="preserve"> in a p</w:t>
      </w:r>
      <w:r>
        <w:t>rompt and cost-effective manner.</w:t>
      </w:r>
    </w:p>
    <w:p w14:paraId="7A6BA8DC" w14:textId="77777777" w:rsidR="00AA7153" w:rsidRDefault="001A20CD" w:rsidP="001A20CD">
      <w:r w:rsidRPr="00FB0D3A">
        <w:t>E</w:t>
      </w:r>
      <w:r>
        <w:t xml:space="preserve">ligibility criteria would apply so that risk may be better assessed or reduced </w:t>
      </w:r>
      <w:r w:rsidRPr="00FB0D3A">
        <w:t xml:space="preserve">but would be broad </w:t>
      </w:r>
      <w:r>
        <w:t xml:space="preserve">enough to capture a wide range of organisations. An applicant </w:t>
      </w:r>
      <w:r>
        <w:lastRenderedPageBreak/>
        <w:t xml:space="preserve">organisation would be required to provide </w:t>
      </w:r>
      <w:r w:rsidRPr="00132C0B">
        <w:t>inf</w:t>
      </w:r>
      <w:r>
        <w:t>ormation about its governance,</w:t>
      </w:r>
      <w:r w:rsidRPr="00132C0B">
        <w:t xml:space="preserve"> membership structure, nature of its activities and </w:t>
      </w:r>
      <w:r>
        <w:t xml:space="preserve">an </w:t>
      </w:r>
      <w:r w:rsidRPr="00132C0B">
        <w:t xml:space="preserve">explanation </w:t>
      </w:r>
      <w:r>
        <w:t xml:space="preserve">as </w:t>
      </w:r>
      <w:r w:rsidRPr="00132C0B">
        <w:t xml:space="preserve">to the need for a </w:t>
      </w:r>
      <w:r>
        <w:t>General Permit</w:t>
      </w:r>
      <w:r w:rsidRPr="00132C0B">
        <w:t xml:space="preserve">. </w:t>
      </w:r>
      <w:r>
        <w:t>Organisations would be approved</w:t>
      </w:r>
      <w:r w:rsidRPr="00FB0D3A">
        <w:t xml:space="preserve"> according to risk</w:t>
      </w:r>
      <w:bookmarkEnd w:id="150"/>
      <w:r>
        <w:t>.</w:t>
      </w:r>
    </w:p>
    <w:p w14:paraId="3E772522" w14:textId="77777777" w:rsidR="00AA7153" w:rsidRDefault="001A20CD" w:rsidP="001A20CD">
      <w:r>
        <w:t>For example an approved vintage car peak body may be granted a General Permit to export the vintage cars of its members to attend a rally in an overseas country on the basis that they would be returning at the end of that event. The risks of non-return are low and the consequences to the organiser of failure would be high: available s</w:t>
      </w:r>
      <w:r w:rsidRPr="00DA786F">
        <w:t>anctions for a breach would include revo</w:t>
      </w:r>
      <w:r>
        <w:t xml:space="preserve">cation of the General Permit, </w:t>
      </w:r>
      <w:r w:rsidRPr="00DA786F">
        <w:t xml:space="preserve">fines and forfeiture of the </w:t>
      </w:r>
      <w:r>
        <w:t>vehicle</w:t>
      </w:r>
      <w:r w:rsidRPr="00DA786F">
        <w:t>.</w:t>
      </w:r>
    </w:p>
    <w:p w14:paraId="540B28CA" w14:textId="790FF708" w:rsidR="00BD628A" w:rsidRDefault="001A20CD" w:rsidP="001A20CD">
      <w:r>
        <w:t>By way of further example, at the moment, if an auction house</w:t>
      </w:r>
      <w:r w:rsidRPr="00132C0B">
        <w:t xml:space="preserve"> </w:t>
      </w:r>
      <w:r>
        <w:t xml:space="preserve">wishes to take a collection of works to New York or London to promote a local sale that will be </w:t>
      </w:r>
      <w:r w:rsidR="00F33A91">
        <w:t xml:space="preserve">held in Australia, it must </w:t>
      </w:r>
      <w:r w:rsidRPr="00132C0B">
        <w:t>apply for a temp</w:t>
      </w:r>
      <w:r>
        <w:t>orary export permit for each object and each object must go through the</w:t>
      </w:r>
      <w:r w:rsidRPr="00132C0B">
        <w:t xml:space="preserve"> full signifi</w:t>
      </w:r>
      <w:r>
        <w:t>cance assessment procedure. This puts</w:t>
      </w:r>
      <w:r w:rsidRPr="00132C0B">
        <w:t xml:space="preserve"> auction</w:t>
      </w:r>
      <w:r>
        <w:t xml:space="preserve"> houses (and their clients) </w:t>
      </w:r>
      <w:r w:rsidRPr="00132C0B">
        <w:t>to unnecessary expense and delay</w:t>
      </w:r>
      <w:r>
        <w:t xml:space="preserve"> for what is only a temporary, low risk, promotional, purpose. It deleteriously affects the ability of auction houses to promote overseas the sale of Australian material</w:t>
      </w:r>
      <w:r w:rsidR="00801A32">
        <w:t>—</w:t>
      </w:r>
      <w:r>
        <w:t>notwithstanding that the sale is to be held in Australia. The situation is even more inefficient and constrictive given that, if the works are subsequently sold to a foreign purchaser, the buyer will have to reapply for a permanent export permit.</w:t>
      </w:r>
    </w:p>
    <w:p w14:paraId="352BD9F3" w14:textId="77777777" w:rsidR="00AA7153" w:rsidRDefault="001A20CD" w:rsidP="001A20CD">
      <w:r>
        <w:t>The extension of eligibility of General Permits was widely tested in the consultation process using the examples of auction houses and special interest groups. While broadly positive about the concept, many stakeholders (including those who were being suggested as candidates for General Permits under the new model) reiterated the need to ensure that rigorous oversight of the suitability of organisations and compliance with conditions would be crucial to ensure the safety of heritage material being exported under them. It was noted that, even within ‘categories’ of organisations (for example, special interest groups) the standards of control, organisation and governance might vary quite widely.</w:t>
      </w:r>
      <w:r>
        <w:rPr>
          <w:rStyle w:val="FootnoteReference"/>
        </w:rPr>
        <w:footnoteReference w:id="56"/>
      </w:r>
    </w:p>
    <w:p w14:paraId="52919B7B" w14:textId="77777777" w:rsidR="00AA7153" w:rsidRDefault="001A20CD" w:rsidP="001A20CD">
      <w:r>
        <w:t xml:space="preserve">It is for this reason that, rather than the different categories of General Permits envisaged in the Position Paper, the new model adopts a single General Permit type </w:t>
      </w:r>
      <w:r>
        <w:lastRenderedPageBreak/>
        <w:t>but makes clear that conditions should be varied for each individual organisation and export purpose. This system allows the goals of streamlining the temporary export permit system to be met while ensuring the appropriate protection of heritage material is achieved.</w:t>
      </w:r>
    </w:p>
    <w:p w14:paraId="31386F4C" w14:textId="6E551EF5" w:rsidR="00A15F5D" w:rsidRDefault="00A15F5D" w:rsidP="00A15F5D">
      <w:pPr>
        <w:pStyle w:val="Subtitle"/>
      </w:pPr>
      <w:r>
        <w:t>Case Study: General Permits</w:t>
      </w:r>
    </w:p>
    <w:p w14:paraId="16709901" w14:textId="57753947" w:rsidR="00AA7153" w:rsidRDefault="00A15F5D" w:rsidP="00A15F5D">
      <w:r>
        <w:t xml:space="preserve">Since 2002 the majority of temporary export permit applications </w:t>
      </w:r>
      <w:r w:rsidR="00C12C07">
        <w:t xml:space="preserve">have </w:t>
      </w:r>
      <w:r>
        <w:t>c</w:t>
      </w:r>
      <w:r w:rsidR="00C12C07">
        <w:t>o</w:t>
      </w:r>
      <w:r>
        <w:t>me from organisations that may be eligible for a General Permit under the new model. Of 290 applications, approximately 170 of these were from organisations that may be eligible for General Permits under the new model, including: other collecting institutions, cultural organisations, auction houses, universities and research facilities.</w:t>
      </w:r>
    </w:p>
    <w:p w14:paraId="2C44FD10" w14:textId="073B8A2B" w:rsidR="00A15F5D" w:rsidRDefault="00A15F5D" w:rsidP="00A15F5D">
      <w:r>
        <w:t xml:space="preserve">This demonstrates that if trusted organisations were granted General Permits for the temporary export of material it would greatly ease the pressure on the Department and </w:t>
      </w:r>
      <w:r w:rsidR="00C12C07">
        <w:t>Expert E</w:t>
      </w:r>
      <w:r>
        <w:t>xaminers. This would in turn allow resources to be focused on the processing of other, potentially more risky, applications therefore making those processes more efficient.</w:t>
      </w:r>
    </w:p>
    <w:p w14:paraId="13CD77A0" w14:textId="5C002D51" w:rsidR="00A15F5D" w:rsidRDefault="00A15F5D" w:rsidP="00A15F5D">
      <w:pPr>
        <w:pStyle w:val="Subtitle"/>
      </w:pPr>
      <w:r>
        <w:t>Case Study: General Permits</w:t>
      </w:r>
      <w:r w:rsidR="00AA7153">
        <w:t>—</w:t>
      </w:r>
      <w:r>
        <w:t>Parliament House Art Collection</w:t>
      </w:r>
    </w:p>
    <w:p w14:paraId="4022A07B" w14:textId="77777777" w:rsidR="00AA7153" w:rsidRDefault="00A15F5D" w:rsidP="00A15F5D">
      <w:r>
        <w:t>In 2015, the Parliament House Art Collection (PHAC) sought to temporarily export a work from its collection for an international exhibition. It met the criteria as an Australian Protected Object. While an Australian Government agency with a significant collection of artworks, the PHAC does not meet the criteria of a ‘Principal Collecting Institution’ and therefore is not eligible for a General Permit under the current Act.</w:t>
      </w:r>
    </w:p>
    <w:p w14:paraId="65722EDE" w14:textId="77777777" w:rsidR="00AA7153" w:rsidRDefault="00A15F5D" w:rsidP="00A15F5D">
      <w:r>
        <w:t>This meant that the application required a full assessment by an Expert Examiner, consideration by the National Cultural Heritage Committee and decision by the Minister or delegate.</w:t>
      </w:r>
    </w:p>
    <w:p w14:paraId="2511D675" w14:textId="0B73683A" w:rsidR="00A15F5D" w:rsidRDefault="00A15F5D" w:rsidP="00A15F5D">
      <w:r>
        <w:t>Under the new model, the PHAC would be eligible for a General Permit and would merely need to report temporary export activity to the Department in line with the conditions of its permit.</w:t>
      </w:r>
    </w:p>
    <w:p w14:paraId="78652F17" w14:textId="77777777" w:rsidR="001A20CD" w:rsidRDefault="001A20CD" w:rsidP="006B5E88">
      <w:pPr>
        <w:pStyle w:val="Heading3"/>
      </w:pPr>
      <w:r>
        <w:lastRenderedPageBreak/>
        <w:t>Conditions on General Permits</w:t>
      </w:r>
    </w:p>
    <w:p w14:paraId="1A57B569" w14:textId="77777777" w:rsidR="00AA7153" w:rsidRDefault="001A20CD" w:rsidP="001A20CD">
      <w:r>
        <w:t xml:space="preserve">As noted above, the conditions imposed on a General Permit may differ according </w:t>
      </w:r>
      <w:r w:rsidRPr="00E80A27">
        <w:rPr>
          <w:szCs w:val="24"/>
        </w:rPr>
        <w:t>to the type of organisatio</w:t>
      </w:r>
      <w:r>
        <w:rPr>
          <w:szCs w:val="24"/>
        </w:rPr>
        <w:t>n or the activity being undertaken.</w:t>
      </w:r>
      <w:r>
        <w:t xml:space="preserve"> The conditions may include the regularity of reporting (e.g. on each use of the permit versus </w:t>
      </w:r>
      <w:r w:rsidRPr="00FB0D3A">
        <w:t>annual</w:t>
      </w:r>
      <w:r>
        <w:t>ly)</w:t>
      </w:r>
      <w:r w:rsidRPr="00FB0D3A">
        <w:t>; length of the export period (e.g. two years v</w:t>
      </w:r>
      <w:r>
        <w:t>ersu</w:t>
      </w:r>
      <w:r w:rsidRPr="00FB0D3A">
        <w:t>s three months)</w:t>
      </w:r>
      <w:r>
        <w:t>;</w:t>
      </w:r>
      <w:r w:rsidRPr="00FB0D3A">
        <w:t xml:space="preserve"> the eligible purposes for export (e.g. exhibitions, research, participation in events)</w:t>
      </w:r>
      <w:r>
        <w:t>; and whether Declared Australian Protected Material can be exported under the General Permit</w:t>
      </w:r>
      <w:r w:rsidRPr="00FB0D3A">
        <w:t>.</w:t>
      </w:r>
    </w:p>
    <w:p w14:paraId="2771156F" w14:textId="77777777" w:rsidR="00AA7153" w:rsidRDefault="001A20CD" w:rsidP="001A20CD">
      <w:r>
        <w:t>General Permits would be issued by the Department</w:t>
      </w:r>
      <w:r w:rsidRPr="00FB0D3A">
        <w:t xml:space="preserve"> for a </w:t>
      </w:r>
      <w:r>
        <w:t xml:space="preserve">set </w:t>
      </w:r>
      <w:r w:rsidRPr="00FB0D3A">
        <w:t>period at which time they</w:t>
      </w:r>
      <w:r>
        <w:t xml:space="preserve"> would be reviewed. I</w:t>
      </w:r>
      <w:r w:rsidRPr="00FB0D3A">
        <w:t>f misused</w:t>
      </w:r>
      <w:r>
        <w:t>, General Permits</w:t>
      </w:r>
      <w:r w:rsidRPr="00FB0D3A">
        <w:t xml:space="preserve"> </w:t>
      </w:r>
      <w:r>
        <w:t>can</w:t>
      </w:r>
      <w:r w:rsidRPr="00FB0D3A">
        <w:t xml:space="preserve"> be revoked a</w:t>
      </w:r>
      <w:r>
        <w:t>t the discretion of the Department</w:t>
      </w:r>
      <w:r w:rsidRPr="00FB0D3A">
        <w:t xml:space="preserve"> at any time.</w:t>
      </w:r>
    </w:p>
    <w:p w14:paraId="746A66B4" w14:textId="77777777" w:rsidR="00AA7153" w:rsidRDefault="001A20CD" w:rsidP="001A20CD">
      <w:bookmarkStart w:id="151" w:name="_Toc419455778"/>
      <w:r w:rsidRPr="00FB0D3A">
        <w:t xml:space="preserve">To ensure that </w:t>
      </w:r>
      <w:r>
        <w:t>material</w:t>
      </w:r>
      <w:r w:rsidRPr="00FB0D3A">
        <w:t xml:space="preserve"> exported under a </w:t>
      </w:r>
      <w:r>
        <w:t>General Permit</w:t>
      </w:r>
      <w:r w:rsidRPr="00FB0D3A">
        <w:t xml:space="preserve"> </w:t>
      </w:r>
      <w:r>
        <w:t xml:space="preserve">is </w:t>
      </w:r>
      <w:r w:rsidRPr="00FB0D3A">
        <w:t>returned, the legislation should provide for severe sanctions</w:t>
      </w:r>
      <w:r>
        <w:t xml:space="preserve"> for the breach of any conditions of the permit</w:t>
      </w:r>
      <w:r w:rsidRPr="00FB0D3A">
        <w:t>.</w:t>
      </w:r>
      <w:r>
        <w:rPr>
          <w:rStyle w:val="FootnoteReference"/>
        </w:rPr>
        <w:footnoteReference w:id="57"/>
      </w:r>
      <w:bookmarkEnd w:id="151"/>
    </w:p>
    <w:p w14:paraId="5C364526" w14:textId="77777777" w:rsidR="00A15F5D" w:rsidRDefault="00A15F5D" w:rsidP="00E333A4">
      <w:pPr>
        <w:pStyle w:val="Subtitle"/>
        <w:keepNext/>
      </w:pPr>
      <w:r>
        <w:t>Survey Response</w:t>
      </w:r>
    </w:p>
    <w:p w14:paraId="15B6BB3F" w14:textId="27AA7E34" w:rsidR="001A20CD" w:rsidRDefault="00A15F5D" w:rsidP="00E333A4">
      <w:pPr>
        <w:keepNext/>
      </w:pPr>
      <w:r>
        <w:t>62% of respondents agree to a very large extent or to a large extent that the extension of the General Permit system is an appropriate streamlining of the temporary export process.</w:t>
      </w:r>
    </w:p>
    <w:p w14:paraId="52B85D51" w14:textId="1218A6C9" w:rsidR="00A15F5D" w:rsidRDefault="00A15F5D" w:rsidP="00E333A4">
      <w:pPr>
        <w:keepNext/>
      </w:pPr>
      <w:r w:rsidRPr="00C17362">
        <w:rPr>
          <w:noProof/>
          <w:lang w:eastAsia="en-AU"/>
        </w:rPr>
        <w:drawing>
          <wp:inline distT="0" distB="0" distL="0" distR="0" wp14:anchorId="56C32032" wp14:editId="16B6FA54">
            <wp:extent cx="3133864" cy="2014627"/>
            <wp:effectExtent l="0" t="0" r="0" b="5080"/>
            <wp:docPr id="673" name="Picture 673" descr="The extent to which respondents think the extension of the General Permit system is an appropriate streamlining of the temporary export process:&#10;&#10;20% To a very large extent&#10;42% To a large extent&#10;17% To a moderate extent&#10;1% To a small extent&#10;9% Not at all&#10;10% Unsure&#10;" title="Figure 12 - The extent to which respondents think the extension of the General Permit system is an appropriate streamlining of the temporary expor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133864" cy="2014627"/>
                    </a:xfrm>
                    <a:prstGeom prst="rect">
                      <a:avLst/>
                    </a:prstGeom>
                    <a:noFill/>
                    <a:ln>
                      <a:noFill/>
                    </a:ln>
                  </pic:spPr>
                </pic:pic>
              </a:graphicData>
            </a:graphic>
          </wp:inline>
        </w:drawing>
      </w:r>
    </w:p>
    <w:p w14:paraId="5A3C86A1" w14:textId="1D50EF9F" w:rsidR="00BD628A" w:rsidRPr="001B5D3A" w:rsidRDefault="00B33AF7" w:rsidP="00C06615">
      <w:pPr>
        <w:pStyle w:val="Caption"/>
        <w:keepNext w:val="0"/>
        <w:ind w:left="284"/>
        <w:jc w:val="left"/>
        <w:rPr>
          <w:rFonts w:ascii="Arial" w:hAnsi="Arial" w:cs="Arial"/>
          <w:i/>
          <w:sz w:val="20"/>
          <w:szCs w:val="20"/>
        </w:rPr>
      </w:pPr>
      <w:r>
        <w:rPr>
          <w:rFonts w:ascii="Arial" w:hAnsi="Arial" w:cs="Arial"/>
          <w:i/>
          <w:sz w:val="20"/>
          <w:szCs w:val="20"/>
        </w:rPr>
        <w:t>Figure 12</w:t>
      </w:r>
      <w:r w:rsidR="00AA7153">
        <w:rPr>
          <w:rFonts w:ascii="Arial" w:hAnsi="Arial" w:cs="Arial"/>
          <w:i/>
          <w:sz w:val="20"/>
          <w:szCs w:val="20"/>
        </w:rPr>
        <w:t>—</w:t>
      </w:r>
      <w:proofErr w:type="gramStart"/>
      <w:r w:rsidR="00BD628A" w:rsidRPr="001B5D3A">
        <w:rPr>
          <w:rFonts w:ascii="Arial" w:hAnsi="Arial" w:cs="Arial"/>
          <w:i/>
          <w:sz w:val="20"/>
          <w:szCs w:val="20"/>
        </w:rPr>
        <w:t>The</w:t>
      </w:r>
      <w:proofErr w:type="gramEnd"/>
      <w:r w:rsidR="00BD628A" w:rsidRPr="001B5D3A">
        <w:rPr>
          <w:rFonts w:ascii="Arial" w:hAnsi="Arial" w:cs="Arial"/>
          <w:i/>
          <w:sz w:val="20"/>
          <w:szCs w:val="20"/>
        </w:rPr>
        <w:t xml:space="preserve"> extent to which respondents think the extension of the General Permit system is an appropriate streamlining of the temporary export process.</w:t>
      </w:r>
      <w:r w:rsidR="00BD628A" w:rsidRPr="001B5D3A">
        <w:rPr>
          <w:rStyle w:val="FootnoteReference"/>
          <w:rFonts w:ascii="Arial" w:hAnsi="Arial" w:cs="Arial"/>
          <w:i/>
          <w:sz w:val="20"/>
          <w:szCs w:val="20"/>
        </w:rPr>
        <w:footnoteReference w:id="58"/>
      </w:r>
    </w:p>
    <w:p w14:paraId="745ABC47" w14:textId="77777777" w:rsidR="00AA7153" w:rsidRDefault="001A20CD" w:rsidP="00052178">
      <w:pPr>
        <w:pStyle w:val="Heading2"/>
      </w:pPr>
      <w:bookmarkStart w:id="152" w:name="_Toc419455783"/>
      <w:bookmarkStart w:id="153" w:name="_Toc433906592"/>
      <w:r w:rsidRPr="00070287">
        <w:lastRenderedPageBreak/>
        <w:t xml:space="preserve">Retention of </w:t>
      </w:r>
      <w:bookmarkStart w:id="154" w:name="_Toc419448747"/>
      <w:bookmarkStart w:id="155" w:name="_Toc419455785"/>
      <w:bookmarkEnd w:id="152"/>
      <w:r>
        <w:t>Certificates of Exemption for material exported p</w:t>
      </w:r>
      <w:r w:rsidRPr="00070287">
        <w:t xml:space="preserve">rior </w:t>
      </w:r>
      <w:r w:rsidR="00A15F5D">
        <w:br/>
      </w:r>
      <w:r w:rsidRPr="00070287">
        <w:t>to 1987</w:t>
      </w:r>
      <w:bookmarkEnd w:id="153"/>
      <w:bookmarkEnd w:id="154"/>
      <w:bookmarkEnd w:id="155"/>
    </w:p>
    <w:p w14:paraId="0D5EA558" w14:textId="77777777" w:rsidR="00AA7153" w:rsidRDefault="001A20CD" w:rsidP="001A20CD">
      <w:bookmarkStart w:id="156" w:name="_Toc419455786"/>
      <w:r w:rsidRPr="00FB0D3A">
        <w:t xml:space="preserve">Sometimes, the owner of </w:t>
      </w:r>
      <w:r>
        <w:t>material</w:t>
      </w:r>
      <w:r w:rsidRPr="00FB0D3A">
        <w:t xml:space="preserve"> exported from Australia</w:t>
      </w:r>
      <w:r w:rsidRPr="00107FE9">
        <w:t xml:space="preserve"> prior to 198</w:t>
      </w:r>
      <w:r>
        <w:t>7</w:t>
      </w:r>
      <w:r w:rsidRPr="00107FE9">
        <w:t xml:space="preserve"> (when the legislation was first enacted) </w:t>
      </w:r>
      <w:r w:rsidRPr="00FB0D3A">
        <w:t xml:space="preserve">may wish to re-import that </w:t>
      </w:r>
      <w:r>
        <w:t>material</w:t>
      </w:r>
      <w:r w:rsidRPr="00FB0D3A">
        <w:t xml:space="preserve"> on a temporary basis. These objects may be coming to Australia for an exhibition, or ahead of an auction to be held in Australia. Currently, that owner can apply for a Certificate of Exemption</w:t>
      </w:r>
      <w:r>
        <w:t xml:space="preserve"> which allows for the material to be re-exported without being subject to the Act. This is a useful and important mechanism that recognises the circulation of important Australian cultural material but respects the principle of legislation not applying retrospectively.</w:t>
      </w:r>
    </w:p>
    <w:p w14:paraId="44C551AE" w14:textId="77777777" w:rsidR="00AA7153" w:rsidRDefault="001A20CD" w:rsidP="001A20CD">
      <w:r>
        <w:t>For example, a Certificate of Export was issued in 2013 for the Royal Collection of Australian Stamps from Buckingham Palace. The stamps had been exported from Australia in the early twentieth century and were being exhibited as part of the International Stamp Exhibition in Melbourne. Although the collection would undoubtedly meet the current Australian Protected Object criteria, the Certificate of Exemption allowed the collection to be imported to Australia and later returned to its lawful owner.</w:t>
      </w:r>
      <w:bookmarkStart w:id="157" w:name="_Toc419455787"/>
      <w:bookmarkEnd w:id="156"/>
    </w:p>
    <w:p w14:paraId="63BEF5F2" w14:textId="02F9D0A1" w:rsidR="001A20CD" w:rsidRDefault="001A20CD" w:rsidP="001A20CD">
      <w:r>
        <w:t>It is proposed to retain this mechanism.</w:t>
      </w:r>
    </w:p>
    <w:p w14:paraId="2FEE2533" w14:textId="77777777" w:rsidR="001A20CD" w:rsidRDefault="001A20CD" w:rsidP="00292161">
      <w:pPr>
        <w:pStyle w:val="Heading3"/>
      </w:pPr>
      <w:r>
        <w:t>Factors to be taken into account for Certificates of Exemption</w:t>
      </w:r>
    </w:p>
    <w:p w14:paraId="5CC98E7D" w14:textId="77777777" w:rsidR="00AA7153" w:rsidRDefault="001A20CD" w:rsidP="001A20CD">
      <w:r>
        <w:t>As useful as the Certificate of Exemption may be, what is missing from the current Act is clarity as to when it should be granted and the factors that should be considered. Under the current Act, the decision-maker receives no explicit guidance.</w:t>
      </w:r>
    </w:p>
    <w:p w14:paraId="0725C203" w14:textId="60DB6BF5" w:rsidR="001A20CD" w:rsidRDefault="001A20CD" w:rsidP="001A20CD">
      <w:r>
        <w:t>Under the new model, Certificates cannot be granted for Ancestral remains. Further, the following should be considered in the decision to grant or deny a certificate:</w:t>
      </w:r>
    </w:p>
    <w:p w14:paraId="4E908ECF" w14:textId="77777777" w:rsidR="001A20CD" w:rsidRDefault="001A20CD" w:rsidP="00E333A4">
      <w:pPr>
        <w:pStyle w:val="ListParagraph"/>
        <w:numPr>
          <w:ilvl w:val="0"/>
          <w:numId w:val="72"/>
        </w:numPr>
        <w:ind w:left="567" w:hanging="567"/>
      </w:pPr>
      <w:r>
        <w:t>cultural sensitivities regarding the material (including consultation which may be required for Aboriginal or Torres Strait Islander Material);</w:t>
      </w:r>
    </w:p>
    <w:p w14:paraId="1AC36B00" w14:textId="77777777" w:rsidR="001A20CD" w:rsidRDefault="001A20CD" w:rsidP="00E333A4">
      <w:pPr>
        <w:pStyle w:val="ListParagraph"/>
        <w:numPr>
          <w:ilvl w:val="0"/>
          <w:numId w:val="72"/>
        </w:numPr>
        <w:ind w:left="567" w:hanging="567"/>
      </w:pPr>
      <w:r>
        <w:t>the purpose for which it is being imported (including whether there is likelihood of it remaining in Australia e.g. it is being imported to be offered for sale); and</w:t>
      </w:r>
    </w:p>
    <w:p w14:paraId="55ECA3A2" w14:textId="77777777" w:rsidR="001A20CD" w:rsidRDefault="001A20CD" w:rsidP="00E333A4">
      <w:pPr>
        <w:pStyle w:val="ListParagraph"/>
        <w:numPr>
          <w:ilvl w:val="0"/>
          <w:numId w:val="72"/>
        </w:numPr>
        <w:ind w:left="567" w:hanging="567"/>
      </w:pPr>
      <w:proofErr w:type="gramStart"/>
      <w:r>
        <w:t>whether</w:t>
      </w:r>
      <w:proofErr w:type="gramEnd"/>
      <w:r>
        <w:t xml:space="preserve"> the initial export from Australia was legal (either under the Act or another export regulation).</w:t>
      </w:r>
    </w:p>
    <w:p w14:paraId="724E6660" w14:textId="77777777" w:rsidR="001A20CD" w:rsidRDefault="001A20CD" w:rsidP="001A20CD">
      <w:r>
        <w:lastRenderedPageBreak/>
        <w:t xml:space="preserve">Confusion about the transferability and longevity of Certificates of Exemption was raised in consultation, particularly where the material is being imported for sale and a new purchaser may wish to re-export. The new model makes explicit that the permits and certificates attach to the </w:t>
      </w:r>
      <w:r w:rsidRPr="000F624C">
        <w:rPr>
          <w:b/>
        </w:rPr>
        <w:t>material</w:t>
      </w:r>
      <w:r w:rsidRPr="00ED18F6">
        <w:t xml:space="preserve">, </w:t>
      </w:r>
      <w:r>
        <w:t>not the individual owner, however time limits may be applied (to ensure that this system is not used to simply avoid the regulation where the intention is clearly the long-term holding of material in Australia).</w:t>
      </w:r>
    </w:p>
    <w:p w14:paraId="44BA59A0" w14:textId="77777777" w:rsidR="001A20CD" w:rsidRDefault="001A20CD" w:rsidP="00052178">
      <w:pPr>
        <w:pStyle w:val="Heading2"/>
      </w:pPr>
      <w:bookmarkStart w:id="158" w:name="_Toc433906593"/>
      <w:r>
        <w:t>Making the system more compatible with other systems of export and import regulation</w:t>
      </w:r>
      <w:bookmarkEnd w:id="158"/>
    </w:p>
    <w:p w14:paraId="403702C0" w14:textId="77777777" w:rsidR="00AA7153" w:rsidRDefault="001A20CD" w:rsidP="001A20CD">
      <w:r>
        <w:t xml:space="preserve">The export and import of material under the Act is also subject to other Australian Government regulation including the </w:t>
      </w:r>
      <w:r w:rsidRPr="00D51F5F">
        <w:rPr>
          <w:i/>
        </w:rPr>
        <w:t>Environment Protection and Biodiversity Conservation Act 1999</w:t>
      </w:r>
      <w:r>
        <w:t xml:space="preserve"> (EPBC Act) and the </w:t>
      </w:r>
      <w:r w:rsidRPr="00D51F5F">
        <w:rPr>
          <w:i/>
        </w:rPr>
        <w:t xml:space="preserve">Historic Shipwrecks Act </w:t>
      </w:r>
      <w:r w:rsidRPr="00A46512">
        <w:rPr>
          <w:i/>
        </w:rPr>
        <w:t>1976</w:t>
      </w:r>
      <w:r>
        <w:t xml:space="preserve"> and, most obviously, the </w:t>
      </w:r>
      <w:r w:rsidRPr="000818C2">
        <w:rPr>
          <w:i/>
        </w:rPr>
        <w:t>Customs Act 1901</w:t>
      </w:r>
      <w:r w:rsidRPr="00A46512">
        <w:rPr>
          <w:i/>
        </w:rPr>
        <w:t>.</w:t>
      </w:r>
      <w:r w:rsidRPr="006A0205">
        <w:rPr>
          <w:rStyle w:val="FootnoteReference"/>
        </w:rPr>
        <w:footnoteReference w:id="59"/>
      </w:r>
      <w:r>
        <w:rPr>
          <w:i/>
        </w:rPr>
        <w:t xml:space="preserve"> </w:t>
      </w:r>
      <w:r>
        <w:t>In relation to other Australia Government legislation, the over-riding principle should be that, where possible, the systems are compatible and duplication is minimised.</w:t>
      </w:r>
    </w:p>
    <w:p w14:paraId="5F87A1CC" w14:textId="3B6C2E3F" w:rsidR="001A20CD" w:rsidRDefault="001A20CD" w:rsidP="001A20CD">
      <w:r>
        <w:t>An example of this could be in setting the eligibility for General Permits. Currently, some Australian scientific institutions are registered for the purposes of exchanging certain CITES-specimens and Australian native specimens without a permit under the EPBC Act. These organisations should be automatically granted a General Permit and the reporting and record keeping requirements aligned.</w:t>
      </w:r>
    </w:p>
    <w:p w14:paraId="71570186" w14:textId="77777777" w:rsidR="001A20CD" w:rsidRPr="00070287" w:rsidRDefault="001A20CD" w:rsidP="00052178">
      <w:pPr>
        <w:pStyle w:val="Heading2"/>
      </w:pPr>
      <w:r w:rsidRPr="00070287" w:rsidDel="00E81A6E">
        <w:t xml:space="preserve"> </w:t>
      </w:r>
      <w:bookmarkStart w:id="159" w:name="_Toc419448748"/>
      <w:bookmarkStart w:id="160" w:name="_Toc419455788"/>
      <w:bookmarkStart w:id="161" w:name="_Toc433906594"/>
      <w:bookmarkEnd w:id="157"/>
      <w:r>
        <w:t>Permanent export permit p</w:t>
      </w:r>
      <w:r w:rsidRPr="00070287">
        <w:t>rocess</w:t>
      </w:r>
      <w:bookmarkEnd w:id="159"/>
      <w:bookmarkEnd w:id="160"/>
      <w:bookmarkEnd w:id="161"/>
    </w:p>
    <w:p w14:paraId="2AC09BF6" w14:textId="282E76AF" w:rsidR="00AA7153" w:rsidRDefault="001A20CD" w:rsidP="001A20CD">
      <w:r>
        <w:t>Prescribed by the legislation and notwithstanding everyone’s best efforts, the present application and assessment system is inefficient, cumbersome and slow. All applications must be referred to the Committee and to an Expert Examiner for a full significance assessment. There is no discretion</w:t>
      </w:r>
      <w:r w:rsidR="00801A32">
        <w:t>—</w:t>
      </w:r>
      <w:r>
        <w:t>all applications must go through the full process. This causes unnecessary red tape, delay and expense for applicants and government. This mandatory process should be abolished.</w:t>
      </w:r>
    </w:p>
    <w:p w14:paraId="539186CE" w14:textId="19714DC1" w:rsidR="001A20CD" w:rsidRDefault="001A20CD" w:rsidP="001A20CD">
      <w:bookmarkStart w:id="162" w:name="_Toc419455789"/>
      <w:r>
        <w:t>The new model seeks to recast the process for issuing permanent export permits to ensure that it is readily understandable, equitable and transparent. The principal features of the new model include:</w:t>
      </w:r>
      <w:bookmarkStart w:id="163" w:name="_Toc419455790"/>
      <w:bookmarkEnd w:id="162"/>
    </w:p>
    <w:p w14:paraId="10ED62DB" w14:textId="77777777" w:rsidR="001A20CD" w:rsidRDefault="001A20CD" w:rsidP="00E333A4">
      <w:pPr>
        <w:pStyle w:val="ListParagraph"/>
        <w:numPr>
          <w:ilvl w:val="0"/>
          <w:numId w:val="27"/>
        </w:numPr>
        <w:ind w:left="567" w:hanging="567"/>
      </w:pPr>
      <w:r>
        <w:lastRenderedPageBreak/>
        <w:t>clarity on whether an application is required at all;</w:t>
      </w:r>
    </w:p>
    <w:p w14:paraId="7DF6331D" w14:textId="77777777" w:rsidR="001A20CD" w:rsidRDefault="001A20CD" w:rsidP="00E333A4">
      <w:pPr>
        <w:pStyle w:val="ListParagraph"/>
        <w:numPr>
          <w:ilvl w:val="0"/>
          <w:numId w:val="27"/>
        </w:numPr>
        <w:ind w:left="567" w:hanging="567"/>
      </w:pPr>
      <w:r>
        <w:t>transparency at all stages of the process;</w:t>
      </w:r>
      <w:bookmarkStart w:id="164" w:name="_Toc419455791"/>
      <w:bookmarkEnd w:id="163"/>
    </w:p>
    <w:p w14:paraId="6913CB48" w14:textId="77777777" w:rsidR="001A20CD" w:rsidRDefault="001A20CD" w:rsidP="00E333A4">
      <w:pPr>
        <w:pStyle w:val="ListParagraph"/>
        <w:numPr>
          <w:ilvl w:val="0"/>
          <w:numId w:val="27"/>
        </w:numPr>
        <w:ind w:left="567" w:hanging="567"/>
      </w:pPr>
      <w:r>
        <w:t>a streamlined decision-making process;</w:t>
      </w:r>
      <w:bookmarkStart w:id="165" w:name="_Toc419455792"/>
      <w:bookmarkEnd w:id="164"/>
    </w:p>
    <w:p w14:paraId="376A6AA4" w14:textId="77777777" w:rsidR="001A20CD" w:rsidRDefault="001A20CD" w:rsidP="00E333A4">
      <w:pPr>
        <w:pStyle w:val="ListParagraph"/>
        <w:numPr>
          <w:ilvl w:val="0"/>
          <w:numId w:val="27"/>
        </w:numPr>
        <w:ind w:left="567" w:hanging="567"/>
      </w:pPr>
      <w:r>
        <w:t>a clarified role for experts; and</w:t>
      </w:r>
      <w:bookmarkStart w:id="166" w:name="_Toc419455793"/>
      <w:bookmarkEnd w:id="165"/>
    </w:p>
    <w:p w14:paraId="45BD7383" w14:textId="77777777" w:rsidR="00AA7153" w:rsidRDefault="001A20CD" w:rsidP="00E333A4">
      <w:pPr>
        <w:pStyle w:val="ListParagraph"/>
        <w:numPr>
          <w:ilvl w:val="0"/>
          <w:numId w:val="27"/>
        </w:numPr>
        <w:ind w:left="567" w:hanging="567"/>
      </w:pPr>
      <w:proofErr w:type="gramStart"/>
      <w:r>
        <w:t>the</w:t>
      </w:r>
      <w:proofErr w:type="gramEnd"/>
      <w:r>
        <w:t xml:space="preserve"> reservation of Ministerial powers for only the most critical decisions.</w:t>
      </w:r>
      <w:bookmarkEnd w:id="166"/>
    </w:p>
    <w:p w14:paraId="359B7E95" w14:textId="77777777" w:rsidR="00AA7153" w:rsidRDefault="001A20CD" w:rsidP="00A15F5D">
      <w:pPr>
        <w:pStyle w:val="Heading3"/>
        <w:rPr>
          <w:lang w:eastAsia="en-AU"/>
        </w:rPr>
      </w:pPr>
      <w:bookmarkStart w:id="167" w:name="_Toc419448750"/>
      <w:bookmarkStart w:id="168" w:name="_Toc419455797"/>
      <w:r>
        <w:rPr>
          <w:lang w:eastAsia="en-AU"/>
        </w:rPr>
        <w:t>Information to be p</w:t>
      </w:r>
      <w:r w:rsidRPr="00F84300">
        <w:rPr>
          <w:lang w:eastAsia="en-AU"/>
        </w:rPr>
        <w:t>rovided</w:t>
      </w:r>
      <w:bookmarkEnd w:id="167"/>
      <w:bookmarkEnd w:id="168"/>
      <w:r>
        <w:rPr>
          <w:lang w:eastAsia="en-AU"/>
        </w:rPr>
        <w:t xml:space="preserve"> by the applicant</w:t>
      </w:r>
    </w:p>
    <w:p w14:paraId="11B565F2" w14:textId="77777777" w:rsidR="00AA7153" w:rsidRDefault="001A20CD" w:rsidP="001A20CD">
      <w:bookmarkStart w:id="169" w:name="_Toc419455798"/>
      <w:r w:rsidRPr="00F84300">
        <w:t>At the moment there is a paucity of information provided by many owners and the decision</w:t>
      </w:r>
      <w:r>
        <w:t>-</w:t>
      </w:r>
      <w:r w:rsidRPr="00F84300">
        <w:t>make</w:t>
      </w:r>
      <w:r>
        <w:t>rs and Expert Examiners must spend considerable time researching information that, in</w:t>
      </w:r>
      <w:r w:rsidRPr="00F84300">
        <w:t xml:space="preserve"> most </w:t>
      </w:r>
      <w:r>
        <w:t xml:space="preserve">cases, is most </w:t>
      </w:r>
      <w:r w:rsidRPr="00F84300">
        <w:t xml:space="preserve">easily provided by the owner. This often leads to unnecessary expense in obtaining the information necessary </w:t>
      </w:r>
      <w:r>
        <w:t xml:space="preserve">to make an informed decision, </w:t>
      </w:r>
      <w:r w:rsidRPr="00F84300">
        <w:t>increases the time taken to form a view as to the object’s significance and thus delays the time required to make a decision.</w:t>
      </w:r>
    </w:p>
    <w:p w14:paraId="6FBD884A" w14:textId="77777777" w:rsidR="00AA7153" w:rsidRDefault="001A20CD" w:rsidP="001A20CD">
      <w:r>
        <w:t>In the new model, the current requirements for applications are maintained, including that the application be made in writing in a form prescribed by the Department. However the new model clearly places the onus on the applicant to provide more information</w:t>
      </w:r>
      <w:bookmarkStart w:id="170" w:name="_Toc419455799"/>
      <w:bookmarkEnd w:id="169"/>
      <w:r>
        <w:t xml:space="preserve"> regarding the current owner, the </w:t>
      </w:r>
      <w:r w:rsidRPr="00F84300">
        <w:t>description of t</w:t>
      </w:r>
      <w:r>
        <w:t xml:space="preserve">he object </w:t>
      </w:r>
      <w:r w:rsidRPr="00F84300">
        <w:t xml:space="preserve">and </w:t>
      </w:r>
      <w:r>
        <w:t xml:space="preserve">all available </w:t>
      </w:r>
      <w:r w:rsidRPr="00F84300">
        <w:t>provenance information</w:t>
      </w:r>
      <w:r>
        <w:t>.</w:t>
      </w:r>
    </w:p>
    <w:p w14:paraId="2527DB20" w14:textId="77777777" w:rsidR="00AA7153" w:rsidRDefault="001A20CD" w:rsidP="001A20CD">
      <w:r w:rsidRPr="00F84300">
        <w:t xml:space="preserve">It </w:t>
      </w:r>
      <w:r>
        <w:t>is</w:t>
      </w:r>
      <w:r w:rsidRPr="00F84300">
        <w:t xml:space="preserve"> the responsibility of the owner to provide, to the extent possible, the information required for good decision-making.</w:t>
      </w:r>
      <w:bookmarkEnd w:id="170"/>
      <w:r w:rsidRPr="00F84300">
        <w:t xml:space="preserve"> </w:t>
      </w:r>
      <w:bookmarkStart w:id="171" w:name="_Toc419455800"/>
      <w:r w:rsidRPr="00F84300">
        <w:t xml:space="preserve">The Department </w:t>
      </w:r>
      <w:r>
        <w:t>will</w:t>
      </w:r>
      <w:r w:rsidRPr="00F84300">
        <w:t xml:space="preserve"> have the power to determine whether the applicant has provided sufficient description and provenance information to permit proper assessment or whether more information is required or can reasonably</w:t>
      </w:r>
      <w:r>
        <w:t xml:space="preserve"> be expected of the applicant.</w:t>
      </w:r>
      <w:bookmarkEnd w:id="171"/>
    </w:p>
    <w:p w14:paraId="326572E7" w14:textId="55226FCC" w:rsidR="001A20CD" w:rsidRDefault="001A20CD" w:rsidP="001A20CD">
      <w:bookmarkStart w:id="172" w:name="_Toc419455801"/>
      <w:r>
        <w:t>Should further information be required, the applicant would be advised</w:t>
      </w:r>
      <w:r w:rsidRPr="00F84300">
        <w:t xml:space="preserve"> and</w:t>
      </w:r>
      <w:bookmarkEnd w:id="172"/>
      <w:r w:rsidRPr="00F84300">
        <w:t xml:space="preserve"> </w:t>
      </w:r>
      <w:bookmarkStart w:id="173" w:name="_Toc419455802"/>
      <w:r>
        <w:t xml:space="preserve">no </w:t>
      </w:r>
      <w:r w:rsidRPr="00F84300">
        <w:t xml:space="preserve">further action taken </w:t>
      </w:r>
      <w:r>
        <w:t xml:space="preserve">on the application </w:t>
      </w:r>
      <w:r w:rsidRPr="00F84300">
        <w:t xml:space="preserve">until </w:t>
      </w:r>
      <w:r>
        <w:t xml:space="preserve">the </w:t>
      </w:r>
      <w:r w:rsidRPr="00F84300">
        <w:t>information</w:t>
      </w:r>
      <w:r>
        <w:t xml:space="preserve"> sought</w:t>
      </w:r>
      <w:r w:rsidRPr="00F84300">
        <w:t xml:space="preserve"> </w:t>
      </w:r>
      <w:r>
        <w:t xml:space="preserve">is </w:t>
      </w:r>
      <w:r w:rsidRPr="00F84300">
        <w:t>provided</w:t>
      </w:r>
      <w:bookmarkStart w:id="174" w:name="_Toc419455803"/>
      <w:bookmarkEnd w:id="173"/>
      <w:r>
        <w:t>. W</w:t>
      </w:r>
      <w:r w:rsidRPr="00F84300">
        <w:t xml:space="preserve">hen </w:t>
      </w:r>
      <w:r>
        <w:t>the</w:t>
      </w:r>
      <w:r w:rsidRPr="00F84300">
        <w:t xml:space="preserve"> information is provided, the process </w:t>
      </w:r>
      <w:r>
        <w:t>can continue</w:t>
      </w:r>
      <w:r w:rsidRPr="00F84300">
        <w:t>.</w:t>
      </w:r>
      <w:bookmarkEnd w:id="174"/>
    </w:p>
    <w:p w14:paraId="07BB678F" w14:textId="77777777" w:rsidR="00AA7153" w:rsidRDefault="001A20CD" w:rsidP="001A20CD">
      <w:r>
        <w:t>Of course, there will be legitimate situations where an applicant does not possess a great deal of information about their material. It is anticipated that in such scenarios the online publishing of applications</w:t>
      </w:r>
      <w:r>
        <w:rPr>
          <w:rStyle w:val="FootnoteReference"/>
        </w:rPr>
        <w:footnoteReference w:id="60"/>
      </w:r>
      <w:r>
        <w:t xml:space="preserve"> could lead to the ‘crowd-sourcing’ of information </w:t>
      </w:r>
      <w:r>
        <w:lastRenderedPageBreak/>
        <w:t>about the material thus also allowing for the enrichment of our understanding of Australia’s heritage.</w:t>
      </w:r>
    </w:p>
    <w:p w14:paraId="0C24BE2D" w14:textId="050E1154" w:rsidR="001A20CD" w:rsidRPr="00070287" w:rsidRDefault="001A20CD" w:rsidP="00A15F5D">
      <w:pPr>
        <w:pStyle w:val="Heading3"/>
      </w:pPr>
      <w:r w:rsidRPr="00070287">
        <w:t>Application fee</w:t>
      </w:r>
    </w:p>
    <w:p w14:paraId="78A08BC0" w14:textId="77777777" w:rsidR="001A20CD" w:rsidRDefault="001A20CD" w:rsidP="001A20CD">
      <w:bookmarkStart w:id="175" w:name="_Toc419455804"/>
      <w:r w:rsidRPr="00F84300">
        <w:t xml:space="preserve">At the moment the application process is free. </w:t>
      </w:r>
      <w:r>
        <w:t>Concerns have been raised</w:t>
      </w:r>
      <w:r w:rsidRPr="00F84300">
        <w:t xml:space="preserve"> that the imposition of a fee might send owners 'underground' and that they would be more likely to export heritage material without seeking per</w:t>
      </w:r>
      <w:r>
        <w:t>mits. More likely, if the fee were</w:t>
      </w:r>
      <w:r w:rsidRPr="00F84300">
        <w:t xml:space="preserve"> linked to the fee paid </w:t>
      </w:r>
      <w:r>
        <w:t>for the significance assessment</w:t>
      </w:r>
      <w:r w:rsidRPr="00F84300">
        <w:t xml:space="preserve">, owners </w:t>
      </w:r>
      <w:r>
        <w:t>would</w:t>
      </w:r>
      <w:r w:rsidRPr="00F84300">
        <w:t xml:space="preserve"> see that this is a real cost of their decision to export.</w:t>
      </w:r>
      <w:bookmarkStart w:id="176" w:name="_Toc419455805"/>
      <w:bookmarkEnd w:id="175"/>
    </w:p>
    <w:p w14:paraId="421E48EC" w14:textId="77777777" w:rsidR="001A20CD" w:rsidRDefault="001A20CD" w:rsidP="001A20CD">
      <w:r w:rsidRPr="00F84300">
        <w:t xml:space="preserve">The </w:t>
      </w:r>
      <w:r>
        <w:t>new model includes</w:t>
      </w:r>
      <w:r w:rsidRPr="00F84300">
        <w:t xml:space="preserve"> </w:t>
      </w:r>
      <w:r>
        <w:t xml:space="preserve">the necessary </w:t>
      </w:r>
      <w:r w:rsidRPr="00F84300">
        <w:t>authority to charge fees</w:t>
      </w:r>
      <w:r>
        <w:t xml:space="preserve">. </w:t>
      </w:r>
      <w:r w:rsidRPr="00F84300">
        <w:t>However the decision to charge and the setting of the fee is a matter for implementation</w:t>
      </w:r>
      <w:r>
        <w:t xml:space="preserve"> as administration of a fee could impose a regulatory cost and burden that outweighs the funds collected</w:t>
      </w:r>
      <w:r w:rsidRPr="00F84300">
        <w:t>.</w:t>
      </w:r>
      <w:bookmarkEnd w:id="176"/>
    </w:p>
    <w:p w14:paraId="4FB74AD4" w14:textId="77777777" w:rsidR="00AA7153" w:rsidRDefault="001A20CD" w:rsidP="00A15F5D">
      <w:pPr>
        <w:pStyle w:val="Heading3"/>
      </w:pPr>
      <w:bookmarkStart w:id="177" w:name="_Toc419448751"/>
      <w:bookmarkStart w:id="178" w:name="_Toc419455806"/>
      <w:r w:rsidRPr="00070287">
        <w:t xml:space="preserve">Preliminary </w:t>
      </w:r>
      <w:r>
        <w:t>a</w:t>
      </w:r>
      <w:r w:rsidRPr="00070287">
        <w:t>ssessment by the Department</w:t>
      </w:r>
      <w:bookmarkEnd w:id="177"/>
      <w:bookmarkEnd w:id="178"/>
    </w:p>
    <w:p w14:paraId="3693580E" w14:textId="77777777" w:rsidR="00AA7153" w:rsidRDefault="001A20CD" w:rsidP="001A20CD">
      <w:bookmarkStart w:id="179" w:name="_Toc419455807"/>
      <w:r w:rsidRPr="00FB0D3A">
        <w:t>There are many decisions that could and should be taken at the Department level without having to go to the cost and delay of being sent to</w:t>
      </w:r>
      <w:r>
        <w:t xml:space="preserve"> cultural heritage experts.</w:t>
      </w:r>
    </w:p>
    <w:p w14:paraId="6D13673B" w14:textId="77777777" w:rsidR="00AA7153" w:rsidRDefault="001A20CD" w:rsidP="001A20CD">
      <w:r>
        <w:t>Under the new model, o</w:t>
      </w:r>
      <w:r w:rsidRPr="00FB0D3A">
        <w:t>n receipt of an application that contains sufficient informatio</w:t>
      </w:r>
      <w:r>
        <w:t xml:space="preserve">n, the Department would check, </w:t>
      </w:r>
      <w:r w:rsidRPr="00FB0D3A">
        <w:t>by applying the statutory tests/thre</w:t>
      </w:r>
      <w:r>
        <w:t>sholds, whether the material is:</w:t>
      </w:r>
      <w:bookmarkEnd w:id="179"/>
    </w:p>
    <w:p w14:paraId="20955C76" w14:textId="4DA5CF6D" w:rsidR="001A20CD" w:rsidRDefault="001A20CD" w:rsidP="00E333A4">
      <w:pPr>
        <w:pStyle w:val="ListParagraph"/>
        <w:numPr>
          <w:ilvl w:val="0"/>
          <w:numId w:val="9"/>
        </w:numPr>
        <w:ind w:left="567" w:hanging="567"/>
      </w:pPr>
      <w:bookmarkStart w:id="180" w:name="_Toc419455808"/>
      <w:r>
        <w:t>Declared Australian Protected Material; or</w:t>
      </w:r>
    </w:p>
    <w:p w14:paraId="7CE3FFCF" w14:textId="77777777" w:rsidR="00AA7153" w:rsidRDefault="001A20CD" w:rsidP="00E333A4">
      <w:pPr>
        <w:pStyle w:val="ListParagraph"/>
        <w:numPr>
          <w:ilvl w:val="0"/>
          <w:numId w:val="9"/>
        </w:numPr>
        <w:ind w:left="567" w:hanging="567"/>
      </w:pPr>
      <w:r w:rsidRPr="00FB0D3A">
        <w:t>A</w:t>
      </w:r>
      <w:r>
        <w:t>ustralian Heritage Material</w:t>
      </w:r>
      <w:r w:rsidRPr="00FB0D3A">
        <w:t>; and if so</w:t>
      </w:r>
      <w:bookmarkEnd w:id="180"/>
    </w:p>
    <w:p w14:paraId="76DDCC42" w14:textId="1C6C2C16" w:rsidR="001A20CD" w:rsidRPr="00BA059B" w:rsidRDefault="001A20CD" w:rsidP="00E333A4">
      <w:pPr>
        <w:pStyle w:val="ListParagraph"/>
        <w:numPr>
          <w:ilvl w:val="0"/>
          <w:numId w:val="9"/>
        </w:numPr>
        <w:ind w:left="567" w:hanging="567"/>
      </w:pPr>
      <w:bookmarkStart w:id="181" w:name="_Toc419455809"/>
      <w:proofErr w:type="gramStart"/>
      <w:r>
        <w:t>whether</w:t>
      </w:r>
      <w:proofErr w:type="gramEnd"/>
      <w:r>
        <w:t xml:space="preserve"> the material</w:t>
      </w:r>
      <w:r w:rsidRPr="00FB0D3A">
        <w:t xml:space="preserve"> </w:t>
      </w:r>
      <w:r>
        <w:t>may</w:t>
      </w:r>
      <w:r w:rsidRPr="00FB0D3A">
        <w:t xml:space="preserve"> be</w:t>
      </w:r>
      <w:r>
        <w:t xml:space="preserve"> </w:t>
      </w:r>
      <w:r w:rsidRPr="00FB0D3A">
        <w:t>A</w:t>
      </w:r>
      <w:r>
        <w:t>ustralian Protected Material.</w:t>
      </w:r>
      <w:bookmarkEnd w:id="181"/>
    </w:p>
    <w:p w14:paraId="27F893C1" w14:textId="77777777" w:rsidR="00AA7153" w:rsidRDefault="001A20CD" w:rsidP="001A20CD">
      <w:bookmarkStart w:id="182" w:name="_Toc419455810"/>
      <w:r>
        <w:t>Material</w:t>
      </w:r>
      <w:r w:rsidRPr="00FB0D3A">
        <w:t xml:space="preserve"> that does not pass the statutory </w:t>
      </w:r>
      <w:r>
        <w:t xml:space="preserve">age and value </w:t>
      </w:r>
      <w:r w:rsidRPr="00FB0D3A">
        <w:t>thresholds is not A</w:t>
      </w:r>
      <w:r>
        <w:t>ust</w:t>
      </w:r>
      <w:r w:rsidR="00B33AF7">
        <w:t>ralian Heritage Material and a Letter of C</w:t>
      </w:r>
      <w:r>
        <w:t>learance can</w:t>
      </w:r>
      <w:r w:rsidRPr="00FB0D3A">
        <w:t xml:space="preserve"> be issued if required.</w:t>
      </w:r>
    </w:p>
    <w:p w14:paraId="1D51953D" w14:textId="51D9B4C4" w:rsidR="001A20CD" w:rsidRPr="00FB0D3A" w:rsidRDefault="001A20CD" w:rsidP="001A20CD">
      <w:r w:rsidRPr="00FB0D3A">
        <w:t>However, given that thresholds</w:t>
      </w:r>
      <w:r>
        <w:t xml:space="preserve"> of age and value</w:t>
      </w:r>
      <w:r w:rsidRPr="00FB0D3A">
        <w:t xml:space="preserve"> are a reasonable but imperfect tool, the Department should have an</w:t>
      </w:r>
      <w:r>
        <w:t xml:space="preserve"> ability</w:t>
      </w:r>
      <w:r w:rsidRPr="00FB0D3A">
        <w:t xml:space="preserve"> to </w:t>
      </w:r>
      <w:r>
        <w:t>seek expert advice and review the significance of</w:t>
      </w:r>
      <w:r w:rsidRPr="00FB0D3A">
        <w:t xml:space="preserve"> </w:t>
      </w:r>
      <w:r>
        <w:t>material</w:t>
      </w:r>
      <w:r w:rsidRPr="00FB0D3A">
        <w:t xml:space="preserve"> that does not fall withi</w:t>
      </w:r>
      <w:r>
        <w:t>n the thresholds. For example t</w:t>
      </w:r>
      <w:r w:rsidRPr="00FB0D3A">
        <w:t xml:space="preserve">his may </w:t>
      </w:r>
      <w:r>
        <w:t xml:space="preserve">happen if it there is uncertainty over whether material meets the criteria or if a potentially significant item </w:t>
      </w:r>
      <w:r w:rsidRPr="00FB0D3A">
        <w:t>come</w:t>
      </w:r>
      <w:r>
        <w:t>s</w:t>
      </w:r>
      <w:r w:rsidRPr="00FB0D3A">
        <w:t xml:space="preserve"> to the attention of the Department in some other way.</w:t>
      </w:r>
      <w:bookmarkEnd w:id="182"/>
    </w:p>
    <w:p w14:paraId="3C12AF12" w14:textId="77777777" w:rsidR="00AA7153" w:rsidRDefault="001A20CD" w:rsidP="001A20CD">
      <w:bookmarkStart w:id="183" w:name="_Toc419455811"/>
      <w:r w:rsidRPr="00FB0D3A">
        <w:lastRenderedPageBreak/>
        <w:t xml:space="preserve">If </w:t>
      </w:r>
      <w:r>
        <w:t>the material</w:t>
      </w:r>
      <w:r w:rsidRPr="00FB0D3A">
        <w:t xml:space="preserve"> exceeds </w:t>
      </w:r>
      <w:r>
        <w:t>the relevant</w:t>
      </w:r>
      <w:r w:rsidRPr="00FB0D3A">
        <w:t xml:space="preserve"> preliminary</w:t>
      </w:r>
      <w:r>
        <w:t xml:space="preserve"> age and value</w:t>
      </w:r>
      <w:r w:rsidRPr="00FB0D3A">
        <w:t xml:space="preserve"> threshold</w:t>
      </w:r>
      <w:r>
        <w:t>,</w:t>
      </w:r>
      <w:r w:rsidRPr="00FB0D3A">
        <w:t xml:space="preserve"> it is A</w:t>
      </w:r>
      <w:r>
        <w:t>ustralian Heritage Material</w:t>
      </w:r>
      <w:r w:rsidRPr="00FB0D3A">
        <w:t>. Then the question becomes whether its significance is such that an export permit should be issued and, if so, on what terms.</w:t>
      </w:r>
      <w:bookmarkEnd w:id="183"/>
    </w:p>
    <w:p w14:paraId="42739FEC" w14:textId="77777777" w:rsidR="00AA7153" w:rsidRDefault="001A20CD" w:rsidP="001A20CD">
      <w:bookmarkStart w:id="184" w:name="_Toc419455812"/>
      <w:r w:rsidRPr="00FB0D3A">
        <w:t>At this stage the Depart</w:t>
      </w:r>
      <w:r w:rsidR="00C963C9">
        <w:t>ment should be able to</w:t>
      </w:r>
      <w:r>
        <w:t>:</w:t>
      </w:r>
      <w:bookmarkEnd w:id="184"/>
    </w:p>
    <w:p w14:paraId="4F7D0CA2" w14:textId="33D30BAC" w:rsidR="001A20CD" w:rsidRDefault="001A20CD" w:rsidP="00E333A4">
      <w:pPr>
        <w:pStyle w:val="ListParagraph"/>
        <w:numPr>
          <w:ilvl w:val="0"/>
          <w:numId w:val="10"/>
        </w:numPr>
        <w:ind w:left="567" w:hanging="567"/>
      </w:pPr>
      <w:bookmarkStart w:id="185" w:name="_Toc419455814"/>
      <w:r w:rsidRPr="00FB0D3A">
        <w:t>grant the export permit sought;</w:t>
      </w:r>
      <w:bookmarkEnd w:id="185"/>
      <w:r w:rsidRPr="00FB0D3A">
        <w:t xml:space="preserve"> </w:t>
      </w:r>
      <w:bookmarkStart w:id="186" w:name="_Toc419455815"/>
      <w:r w:rsidR="00C963C9">
        <w:t>or</w:t>
      </w:r>
    </w:p>
    <w:p w14:paraId="0B5A8B3B" w14:textId="76254B93" w:rsidR="001A20CD" w:rsidRDefault="001A20CD" w:rsidP="00E333A4">
      <w:pPr>
        <w:pStyle w:val="ListParagraph"/>
        <w:numPr>
          <w:ilvl w:val="0"/>
          <w:numId w:val="10"/>
        </w:numPr>
        <w:ind w:left="567" w:hanging="567"/>
      </w:pPr>
      <w:r w:rsidRPr="00FB0D3A">
        <w:t xml:space="preserve">grant the permit subject to conditions; </w:t>
      </w:r>
      <w:r w:rsidR="00C963C9">
        <w:t>or</w:t>
      </w:r>
    </w:p>
    <w:p w14:paraId="4F5D3B2B" w14:textId="77777777" w:rsidR="00AA7153" w:rsidRDefault="001A20CD" w:rsidP="00E333A4">
      <w:pPr>
        <w:pStyle w:val="ListParagraph"/>
        <w:numPr>
          <w:ilvl w:val="0"/>
          <w:numId w:val="10"/>
        </w:numPr>
        <w:ind w:left="567" w:hanging="567"/>
      </w:pPr>
      <w:r w:rsidRPr="00FB0D3A">
        <w:t xml:space="preserve">refuse the permit sought (for example objects which are </w:t>
      </w:r>
      <w:r>
        <w:t>clearly within the definition of Declared Australian Protected Material</w:t>
      </w:r>
      <w:r w:rsidRPr="00FB0D3A">
        <w:t>); or</w:t>
      </w:r>
      <w:bookmarkEnd w:id="186"/>
    </w:p>
    <w:p w14:paraId="76BA8169" w14:textId="77777777" w:rsidR="00AA7153" w:rsidRDefault="001A20CD" w:rsidP="00E333A4">
      <w:pPr>
        <w:pStyle w:val="ListParagraph"/>
        <w:numPr>
          <w:ilvl w:val="0"/>
          <w:numId w:val="9"/>
        </w:numPr>
        <w:ind w:left="567" w:hanging="567"/>
      </w:pPr>
      <w:bookmarkStart w:id="187" w:name="_Toc419455816"/>
      <w:r w:rsidRPr="00FB0D3A">
        <w:t xml:space="preserve">if </w:t>
      </w:r>
      <w:r>
        <w:t>there</w:t>
      </w:r>
      <w:r w:rsidRPr="00FB0D3A">
        <w:t xml:space="preserve"> is any doubt as to the </w:t>
      </w:r>
      <w:r>
        <w:t>material</w:t>
      </w:r>
      <w:r w:rsidRPr="00FB0D3A">
        <w:t>’s potential significance</w:t>
      </w:r>
      <w:r w:rsidR="00C963C9">
        <w:t>,</w:t>
      </w:r>
      <w:r w:rsidRPr="00FB0D3A">
        <w:t xml:space="preserve"> send the application for</w:t>
      </w:r>
      <w:r>
        <w:t xml:space="preserve"> </w:t>
      </w:r>
      <w:r w:rsidRPr="00FB0D3A">
        <w:t>significance assessment</w:t>
      </w:r>
      <w:r>
        <w:t>;</w:t>
      </w:r>
      <w:bookmarkEnd w:id="187"/>
      <w:r w:rsidRPr="00FB0D3A">
        <w:t xml:space="preserve"> </w:t>
      </w:r>
      <w:r>
        <w:t>and/or</w:t>
      </w:r>
    </w:p>
    <w:p w14:paraId="5213BA65" w14:textId="27EC12FC" w:rsidR="001A20CD" w:rsidRPr="00BA059B" w:rsidRDefault="001A20CD" w:rsidP="00E333A4">
      <w:pPr>
        <w:pStyle w:val="ListParagraph"/>
        <w:numPr>
          <w:ilvl w:val="0"/>
          <w:numId w:val="10"/>
        </w:numPr>
        <w:ind w:left="567" w:hanging="567"/>
      </w:pPr>
      <w:proofErr w:type="gramStart"/>
      <w:r>
        <w:t>seek</w:t>
      </w:r>
      <w:proofErr w:type="gramEnd"/>
      <w:r>
        <w:t xml:space="preserve"> advice from appropriate authorities, for example whether the material is protected by other Commonwealth, state or territory legislation or whether consultation with Aboriginal or Torres Strait Islander people or representatives is required.</w:t>
      </w:r>
    </w:p>
    <w:p w14:paraId="5D560896" w14:textId="77777777" w:rsidR="00AA7153" w:rsidRDefault="001A20CD" w:rsidP="001A20CD">
      <w:bookmarkStart w:id="188" w:name="_Toc419455817"/>
      <w:r w:rsidRPr="00FB0D3A">
        <w:t>Not having to send everything for external assessment will streamline the process and make it fast</w:t>
      </w:r>
      <w:r>
        <w:t>er</w:t>
      </w:r>
      <w:r w:rsidRPr="00FB0D3A">
        <w:t>, cheaper and more efficient.</w:t>
      </w:r>
      <w:bookmarkEnd w:id="188"/>
    </w:p>
    <w:p w14:paraId="7AF50DE0" w14:textId="77777777" w:rsidR="00AA7153" w:rsidRDefault="001A20CD" w:rsidP="001A20CD">
      <w:r>
        <w:t>Concern was raised during consultation that</w:t>
      </w:r>
      <w:r w:rsidR="00C963C9">
        <w:t>,</w:t>
      </w:r>
      <w:r>
        <w:t xml:space="preserve"> in order to ensure the proposed streamlining of process while not comprising the assessment or protection of cultural material, it is vital that the Departmental section be adequately resourced. This includes having a sufficient number of staff with appropriate training and a balance of experience. Irrespective of the legislative framework, without adequate resourcing and priority by the Department any system will fail to meet efficiency targets.</w:t>
      </w:r>
    </w:p>
    <w:p w14:paraId="66A7A37E" w14:textId="489443AD" w:rsidR="001A20CD" w:rsidRPr="00823700" w:rsidRDefault="001A20CD" w:rsidP="00A15F5D">
      <w:pPr>
        <w:pStyle w:val="Heading3"/>
      </w:pPr>
      <w:bookmarkStart w:id="189" w:name="_Toc419448752"/>
      <w:bookmarkStart w:id="190" w:name="_Toc419455822"/>
      <w:r w:rsidRPr="00823700">
        <w:t xml:space="preserve">Letters of </w:t>
      </w:r>
      <w:r>
        <w:t>c</w:t>
      </w:r>
      <w:r w:rsidRPr="00823700">
        <w:t>learance</w:t>
      </w:r>
      <w:bookmarkEnd w:id="189"/>
      <w:bookmarkEnd w:id="190"/>
    </w:p>
    <w:p w14:paraId="097A8536" w14:textId="2868C4CD" w:rsidR="00AA7153" w:rsidRDefault="001A20CD" w:rsidP="001A20CD">
      <w:bookmarkStart w:id="191" w:name="_Toc419455823"/>
      <w:r w:rsidRPr="00823700">
        <w:t>The current system incorporates an informal document k</w:t>
      </w:r>
      <w:r>
        <w:t xml:space="preserve">nown as a ‘letter of clearance’. </w:t>
      </w:r>
      <w:r w:rsidRPr="00823700">
        <w:t>These letters are issued by the Department to owners of goods which are of a type regulated by the Act but which do not meet the minimum criteria to be assessed under the Act</w:t>
      </w:r>
      <w:r w:rsidR="00801A32">
        <w:t>—</w:t>
      </w:r>
      <w:r w:rsidRPr="00823700">
        <w:t>for example, a 15 year old Indigenous artwork.</w:t>
      </w:r>
      <w:bookmarkStart w:id="192" w:name="_Toc419455824"/>
      <w:bookmarkEnd w:id="191"/>
      <w:r>
        <w:t xml:space="preserve"> </w:t>
      </w:r>
      <w:r w:rsidRPr="00823700">
        <w:t xml:space="preserve">The letters have no </w:t>
      </w:r>
      <w:r>
        <w:t>statutory basis</w:t>
      </w:r>
      <w:r w:rsidRPr="00823700">
        <w:t xml:space="preserve"> but </w:t>
      </w:r>
      <w:r>
        <w:t xml:space="preserve">function as documentation </w:t>
      </w:r>
      <w:r w:rsidRPr="00823700">
        <w:t xml:space="preserve">for an owner </w:t>
      </w:r>
      <w:r>
        <w:t>if</w:t>
      </w:r>
      <w:r w:rsidRPr="00823700">
        <w:t xml:space="preserve"> the export is questioned</w:t>
      </w:r>
      <w:r>
        <w:t xml:space="preserve"> by an export agent or a customs official</w:t>
      </w:r>
      <w:r w:rsidRPr="00823700">
        <w:t>.</w:t>
      </w:r>
      <w:bookmarkEnd w:id="192"/>
    </w:p>
    <w:p w14:paraId="2718426B" w14:textId="77777777" w:rsidR="00AA7153" w:rsidRDefault="001A20CD" w:rsidP="001A20CD">
      <w:bookmarkStart w:id="193" w:name="_Toc419455825"/>
      <w:r>
        <w:lastRenderedPageBreak/>
        <w:t>There have been concerns from stakeholders that these letters are sometimes issued in respect of objects that were not subjected to a significance assessment because the owner deliberately provided incomplete or misleading information.</w:t>
      </w:r>
      <w:bookmarkEnd w:id="193"/>
      <w:r>
        <w:t xml:space="preserve"> That is no reason to stop issuing letters of clearance. It is, however, reason to review the sanctions provided in the legislation to ensure that people who know their obligations and seek to avoid them through such means, face both fines and automatic forfeiture of title to the Commonwealth. Faced with monetary penalty and potential claim from any overseas purchaser who is required to hand back the material, owners may be less inclined to such behaviour.</w:t>
      </w:r>
    </w:p>
    <w:p w14:paraId="16D86537" w14:textId="77777777" w:rsidR="00AA7153" w:rsidRDefault="001A20CD" w:rsidP="001A20CD">
      <w:bookmarkStart w:id="194" w:name="_Toc419455826"/>
      <w:r>
        <w:t>Accordingly, t</w:t>
      </w:r>
      <w:r w:rsidRPr="00E6785E">
        <w:t xml:space="preserve">he proposed model intends to retain this administrative mechanism as it fulfils an important need for owners of objects not regulated </w:t>
      </w:r>
      <w:r>
        <w:t>by</w:t>
      </w:r>
      <w:r w:rsidRPr="00E6785E">
        <w:t xml:space="preserve"> the Act</w:t>
      </w:r>
      <w:r>
        <w:t>.</w:t>
      </w:r>
      <w:r w:rsidRPr="00E6785E">
        <w:t xml:space="preserve"> </w:t>
      </w:r>
      <w:r>
        <w:t>Rather than abolishing letters of clearance,</w:t>
      </w:r>
      <w:r w:rsidRPr="00E6785E">
        <w:t xml:space="preserve"> the current issues will be addressed by </w:t>
      </w:r>
      <w:r>
        <w:t xml:space="preserve">providing </w:t>
      </w:r>
      <w:r w:rsidRPr="00E6785E">
        <w:t xml:space="preserve">a clearer threshold for objects which are </w:t>
      </w:r>
      <w:r>
        <w:t xml:space="preserve">subject to regulation, based on the more </w:t>
      </w:r>
      <w:r w:rsidRPr="00E6785E">
        <w:t>object</w:t>
      </w:r>
      <w:r>
        <w:t>ive criteria of age and value</w:t>
      </w:r>
      <w:r w:rsidRPr="00E6785E">
        <w:t xml:space="preserve"> threshold</w:t>
      </w:r>
      <w:r>
        <w:t>s and by the requirement to provide more detailed information in the application forms.</w:t>
      </w:r>
      <w:bookmarkEnd w:id="194"/>
    </w:p>
    <w:p w14:paraId="2E1DE5A1" w14:textId="68B8DBE2" w:rsidR="001A20CD" w:rsidRDefault="001A20CD" w:rsidP="001A20CD">
      <w:r>
        <w:t>Also, the form of the letter should be reconsidered. It should be compulsory for any such letter of clearance to include a picture of the object (or other means of recognition) so that Border Force officers or other officials can better attach the letter to an individual, identifiable object.</w:t>
      </w:r>
    </w:p>
    <w:p w14:paraId="1BF248ED" w14:textId="77777777" w:rsidR="00AA7153" w:rsidRDefault="001A20CD" w:rsidP="00A15F5D">
      <w:pPr>
        <w:pStyle w:val="Heading3"/>
      </w:pPr>
      <w:bookmarkStart w:id="195" w:name="_Toc419448753"/>
      <w:bookmarkStart w:id="196" w:name="_Toc419455827"/>
      <w:r w:rsidRPr="00FB0D3A">
        <w:t xml:space="preserve">Assessment </w:t>
      </w:r>
      <w:r>
        <w:t>o</w:t>
      </w:r>
      <w:r w:rsidRPr="00FB0D3A">
        <w:t>f A</w:t>
      </w:r>
      <w:r>
        <w:t>ustralian Heritage Material by experts</w:t>
      </w:r>
      <w:bookmarkEnd w:id="195"/>
      <w:bookmarkEnd w:id="196"/>
    </w:p>
    <w:p w14:paraId="2FE51187" w14:textId="77777777" w:rsidR="00AA7153" w:rsidRDefault="001A20CD" w:rsidP="001A20CD">
      <w:bookmarkStart w:id="197" w:name="_Toc419455832"/>
      <w:r>
        <w:t>As already discussed, it is proposed that in most cases significance assessments be undertaken by two Expert Cultural Significance Assessors.</w:t>
      </w:r>
    </w:p>
    <w:p w14:paraId="48F0CA4B" w14:textId="38E4783A" w:rsidR="001A20CD" w:rsidRDefault="001A20CD" w:rsidP="001A20CD">
      <w:r>
        <w:t>In the new model both</w:t>
      </w:r>
      <w:r w:rsidRPr="00C37021">
        <w:t xml:space="preserve"> </w:t>
      </w:r>
      <w:r>
        <w:t>Assessors</w:t>
      </w:r>
      <w:r w:rsidRPr="00C37021">
        <w:t xml:space="preserve"> </w:t>
      </w:r>
      <w:r>
        <w:t>submit their significance assessments</w:t>
      </w:r>
      <w:r w:rsidRPr="00C37021">
        <w:t xml:space="preserve"> to the Department</w:t>
      </w:r>
      <w:bookmarkStart w:id="198" w:name="_Toc419455833"/>
      <w:bookmarkEnd w:id="197"/>
      <w:r>
        <w:t>. If those</w:t>
      </w:r>
      <w:r w:rsidRPr="00C37021">
        <w:t xml:space="preserve"> recommendations are unanimous the Department may either:</w:t>
      </w:r>
      <w:bookmarkStart w:id="199" w:name="_Toc419455834"/>
      <w:bookmarkEnd w:id="198"/>
    </w:p>
    <w:p w14:paraId="448A042E" w14:textId="77777777" w:rsidR="00AA7153" w:rsidRDefault="001A20CD" w:rsidP="00E333A4">
      <w:pPr>
        <w:pStyle w:val="ListParagraph"/>
        <w:numPr>
          <w:ilvl w:val="0"/>
          <w:numId w:val="11"/>
        </w:numPr>
        <w:ind w:left="567" w:hanging="567"/>
      </w:pPr>
      <w:r>
        <w:t>make the decision in accordance with the assessment; or</w:t>
      </w:r>
      <w:bookmarkEnd w:id="199"/>
    </w:p>
    <w:p w14:paraId="134E7752" w14:textId="77777777" w:rsidR="00AA7153" w:rsidRDefault="001A20CD" w:rsidP="00E333A4">
      <w:pPr>
        <w:pStyle w:val="ListParagraph"/>
        <w:numPr>
          <w:ilvl w:val="0"/>
          <w:numId w:val="11"/>
        </w:numPr>
        <w:ind w:left="567" w:hanging="567"/>
      </w:pPr>
      <w:bookmarkStart w:id="200" w:name="_Toc419455835"/>
      <w:proofErr w:type="gramStart"/>
      <w:r>
        <w:t>if</w:t>
      </w:r>
      <w:proofErr w:type="gramEnd"/>
      <w:r>
        <w:t xml:space="preserve"> c</w:t>
      </w:r>
      <w:r w:rsidR="00C963C9">
        <w:t xml:space="preserve">oncerned with the findings, </w:t>
      </w:r>
      <w:r>
        <w:t>convene a panel of appropriately qualified experts from the Register of Cultural Property Experts to consider the application, expert assessments and any other applicable information.</w:t>
      </w:r>
      <w:bookmarkEnd w:id="200"/>
    </w:p>
    <w:p w14:paraId="0840999A" w14:textId="77777777" w:rsidR="00AA7153" w:rsidRDefault="001A20CD" w:rsidP="001A20CD">
      <w:bookmarkStart w:id="201" w:name="_Toc419455836"/>
      <w:r w:rsidRPr="00C37021">
        <w:lastRenderedPageBreak/>
        <w:t xml:space="preserve">If the </w:t>
      </w:r>
      <w:r>
        <w:t>advice</w:t>
      </w:r>
      <w:r w:rsidRPr="00C37021">
        <w:t xml:space="preserve"> of the </w:t>
      </w:r>
      <w:r>
        <w:t xml:space="preserve">Expert Cultural Significance Assessors </w:t>
      </w:r>
      <w:r w:rsidRPr="00C37021">
        <w:t xml:space="preserve">as to the significance of the </w:t>
      </w:r>
      <w:r>
        <w:t>material</w:t>
      </w:r>
      <w:r w:rsidRPr="00C37021">
        <w:t xml:space="preserve"> </w:t>
      </w:r>
      <w:r>
        <w:t>is</w:t>
      </w:r>
      <w:r w:rsidRPr="00C37021">
        <w:t xml:space="preserve"> not unanimous or the Department wishes to seek further advice, the Department will refer the matter to </w:t>
      </w:r>
      <w:r>
        <w:t>a panel from the Register.</w:t>
      </w:r>
      <w:bookmarkEnd w:id="201"/>
    </w:p>
    <w:p w14:paraId="082381CF" w14:textId="444438B7" w:rsidR="001A20CD" w:rsidRDefault="001A20CD" w:rsidP="001A20CD">
      <w:bookmarkStart w:id="202" w:name="_Toc419455837"/>
      <w:r>
        <w:t>After considering the application, expert assessments and any other applicable information, the panel may recommend that the Department:</w:t>
      </w:r>
      <w:bookmarkStart w:id="203" w:name="_Toc419455838"/>
      <w:bookmarkEnd w:id="202"/>
    </w:p>
    <w:p w14:paraId="1B4D5626" w14:textId="77777777" w:rsidR="00AA7153" w:rsidRDefault="001A20CD" w:rsidP="00E333A4">
      <w:pPr>
        <w:pStyle w:val="ListParagraph"/>
        <w:numPr>
          <w:ilvl w:val="0"/>
          <w:numId w:val="12"/>
        </w:numPr>
        <w:ind w:left="567" w:hanging="567"/>
      </w:pPr>
      <w:r>
        <w:t>grant a permit;</w:t>
      </w:r>
      <w:bookmarkEnd w:id="203"/>
    </w:p>
    <w:p w14:paraId="500E642D" w14:textId="3151699C" w:rsidR="001A20CD" w:rsidRDefault="001A20CD" w:rsidP="00E333A4">
      <w:pPr>
        <w:pStyle w:val="ListParagraph"/>
        <w:numPr>
          <w:ilvl w:val="0"/>
          <w:numId w:val="12"/>
        </w:numPr>
        <w:ind w:left="567" w:hanging="567"/>
      </w:pPr>
      <w:bookmarkStart w:id="204" w:name="_Toc419455839"/>
      <w:r>
        <w:t>refuse a permit; or</w:t>
      </w:r>
      <w:bookmarkStart w:id="205" w:name="_Toc419455840"/>
      <w:bookmarkEnd w:id="204"/>
    </w:p>
    <w:p w14:paraId="5325E6A4" w14:textId="77777777" w:rsidR="001A20CD" w:rsidRDefault="001A20CD" w:rsidP="00E333A4">
      <w:pPr>
        <w:pStyle w:val="ListParagraph"/>
        <w:numPr>
          <w:ilvl w:val="0"/>
          <w:numId w:val="12"/>
        </w:numPr>
        <w:ind w:left="567" w:hanging="567"/>
      </w:pPr>
      <w:proofErr w:type="gramStart"/>
      <w:r>
        <w:t>undertake</w:t>
      </w:r>
      <w:proofErr w:type="gramEnd"/>
      <w:r>
        <w:t xml:space="preserve"> or cause further investigation and consultation.</w:t>
      </w:r>
      <w:bookmarkStart w:id="206" w:name="_Toc419448755"/>
      <w:bookmarkStart w:id="207" w:name="_Toc419455841"/>
      <w:bookmarkEnd w:id="205"/>
    </w:p>
    <w:p w14:paraId="5E738D65" w14:textId="77777777" w:rsidR="00AA7153" w:rsidRDefault="001A20CD" w:rsidP="00A15F5D">
      <w:pPr>
        <w:pStyle w:val="Heading3"/>
      </w:pPr>
      <w:r>
        <w:t>Change of decision-maker from Minister to Department</w:t>
      </w:r>
      <w:bookmarkEnd w:id="206"/>
      <w:bookmarkEnd w:id="207"/>
    </w:p>
    <w:p w14:paraId="4943DFFD" w14:textId="77777777" w:rsidR="00AA7153" w:rsidRDefault="001A20CD" w:rsidP="001A20CD">
      <w:bookmarkStart w:id="208" w:name="_Toc419455842"/>
      <w:r>
        <w:t>Under the present Act all of the decision-making powers are at the discretion of the Minister. In practice, the Minister delegates the majority of those powers to the executive of the Department. The Minister retains the legal responsibility but, in reality has little direct role in most decisions relating to the export of cultur</w:t>
      </w:r>
      <w:r w:rsidR="00C963C9">
        <w:t xml:space="preserve">al material. Indeed it would </w:t>
      </w:r>
      <w:r>
        <w:t>be impracticable for the Minister to have a greater role.</w:t>
      </w:r>
      <w:bookmarkEnd w:id="208"/>
    </w:p>
    <w:p w14:paraId="05FE4202" w14:textId="6854C31A" w:rsidR="00AA7153" w:rsidRDefault="001A20CD" w:rsidP="001A20CD">
      <w:bookmarkStart w:id="209" w:name="_Toc419455843"/>
      <w:r>
        <w:t>Instead of applying to the Mi</w:t>
      </w:r>
      <w:r w:rsidR="00C12C07">
        <w:t>nister for a permit to export</w:t>
      </w:r>
      <w:r>
        <w:t xml:space="preserve"> Australian Heritage Material, it is proposed that the owner (or agent) apply to the Department. This is done presently by delegation and the change is merely a reflection of the current practice.</w:t>
      </w:r>
      <w:bookmarkEnd w:id="209"/>
    </w:p>
    <w:p w14:paraId="0499E08B" w14:textId="77777777" w:rsidR="00AA7153" w:rsidRDefault="001A20CD" w:rsidP="001A20CD">
      <w:bookmarkStart w:id="210" w:name="_Toc419455844"/>
      <w:r>
        <w:t>In the new model, like the New Zealand legislation, both the decision-making power and responsibility for the decision to grant or refuse an export permit would be that of a Senior Executive Service (SES) officer of the Department. The role of the Minister should be reserved for higher-level powers</w:t>
      </w:r>
      <w:bookmarkEnd w:id="210"/>
      <w:r>
        <w:t>.</w:t>
      </w:r>
    </w:p>
    <w:p w14:paraId="6A41F041" w14:textId="0636EFCB" w:rsidR="001A20CD" w:rsidRDefault="001A20CD" w:rsidP="00A15F5D">
      <w:pPr>
        <w:pStyle w:val="Heading3"/>
      </w:pPr>
      <w:bookmarkStart w:id="211" w:name="_Toc419448756"/>
      <w:bookmarkStart w:id="212" w:name="_Toc419455845"/>
      <w:r>
        <w:t>Department’s decision</w:t>
      </w:r>
      <w:bookmarkEnd w:id="211"/>
      <w:bookmarkEnd w:id="212"/>
    </w:p>
    <w:p w14:paraId="7EAADDC7" w14:textId="77777777" w:rsidR="001A20CD" w:rsidRDefault="001A20CD" w:rsidP="001A20CD">
      <w:bookmarkStart w:id="213" w:name="_Toc419455846"/>
      <w:r>
        <w:t>The Department considers the expert significance and representation assessments (and where applicable the advice from other sources or the reasoning and findings of the panel). In light of that information it decides:</w:t>
      </w:r>
      <w:bookmarkStart w:id="214" w:name="_Toc419455847"/>
      <w:bookmarkEnd w:id="213"/>
    </w:p>
    <w:p w14:paraId="7C0B1845" w14:textId="77777777" w:rsidR="001A20CD" w:rsidRDefault="001A20CD" w:rsidP="00E333A4">
      <w:pPr>
        <w:pStyle w:val="ListParagraph"/>
        <w:numPr>
          <w:ilvl w:val="0"/>
          <w:numId w:val="37"/>
        </w:numPr>
        <w:ind w:left="567" w:hanging="567"/>
      </w:pPr>
      <w:r>
        <w:t xml:space="preserve">whether the Australian Heritage Material has </w:t>
      </w:r>
      <w:r w:rsidRPr="009A4F06">
        <w:t>the appropriate national</w:t>
      </w:r>
      <w:r>
        <w:t>,</w:t>
      </w:r>
      <w:r w:rsidRPr="009A4F06">
        <w:t xml:space="preserve"> regional or local sign</w:t>
      </w:r>
      <w:r>
        <w:t>ificance to be Australian Protected Material;</w:t>
      </w:r>
      <w:bookmarkStart w:id="215" w:name="_Toc419455848"/>
      <w:bookmarkEnd w:id="214"/>
    </w:p>
    <w:p w14:paraId="4725326E" w14:textId="77777777" w:rsidR="00AA7153" w:rsidRDefault="001A20CD" w:rsidP="00E333A4">
      <w:pPr>
        <w:pStyle w:val="ListParagraph"/>
        <w:numPr>
          <w:ilvl w:val="0"/>
          <w:numId w:val="37"/>
        </w:numPr>
        <w:ind w:left="567" w:hanging="567"/>
      </w:pPr>
      <w:r>
        <w:t>if so, whether the material is adequately represented in Australian public collecting institutions;</w:t>
      </w:r>
    </w:p>
    <w:p w14:paraId="66C71D5D" w14:textId="3B206385" w:rsidR="001A20CD" w:rsidRDefault="001A20CD" w:rsidP="00E333A4">
      <w:pPr>
        <w:pStyle w:val="ListParagraph"/>
        <w:numPr>
          <w:ilvl w:val="0"/>
          <w:numId w:val="37"/>
        </w:numPr>
        <w:ind w:left="567" w:hanging="567"/>
      </w:pPr>
      <w:r>
        <w:lastRenderedPageBreak/>
        <w:t>if not</w:t>
      </w:r>
      <w:r w:rsidRPr="009A4F06">
        <w:t>, whether or</w:t>
      </w:r>
      <w:r>
        <w:t xml:space="preserve"> not to issue the export permit</w:t>
      </w:r>
      <w:r w:rsidRPr="009A4F06">
        <w:t xml:space="preserve">; </w:t>
      </w:r>
      <w:bookmarkStart w:id="216" w:name="_Toc419455849"/>
      <w:bookmarkEnd w:id="215"/>
    </w:p>
    <w:p w14:paraId="7FBE643B" w14:textId="16CD9A42" w:rsidR="001A20CD" w:rsidRDefault="00C12C07" w:rsidP="00E333A4">
      <w:pPr>
        <w:pStyle w:val="ListParagraph"/>
        <w:numPr>
          <w:ilvl w:val="0"/>
          <w:numId w:val="37"/>
        </w:numPr>
        <w:ind w:left="567" w:hanging="567"/>
      </w:pPr>
      <w:r>
        <w:t xml:space="preserve">if so, </w:t>
      </w:r>
      <w:r w:rsidR="001A20CD" w:rsidRPr="009A4F06">
        <w:t>whether the permit should be permanent or temporary; and</w:t>
      </w:r>
      <w:bookmarkStart w:id="217" w:name="_Toc419455850"/>
      <w:bookmarkEnd w:id="216"/>
    </w:p>
    <w:p w14:paraId="46181768" w14:textId="77777777" w:rsidR="001A20CD" w:rsidRDefault="001A20CD" w:rsidP="00E333A4">
      <w:pPr>
        <w:pStyle w:val="ListParagraph"/>
        <w:numPr>
          <w:ilvl w:val="0"/>
          <w:numId w:val="37"/>
        </w:numPr>
        <w:ind w:left="567" w:hanging="567"/>
      </w:pPr>
      <w:proofErr w:type="gramStart"/>
      <w:r w:rsidRPr="009A4F06">
        <w:t>whether</w:t>
      </w:r>
      <w:proofErr w:type="gramEnd"/>
      <w:r w:rsidRPr="009A4F06">
        <w:t xml:space="preserve"> there should be any conditions attached.</w:t>
      </w:r>
      <w:bookmarkStart w:id="218" w:name="_Toc419455851"/>
      <w:bookmarkEnd w:id="217"/>
    </w:p>
    <w:p w14:paraId="2546C0E2" w14:textId="77777777" w:rsidR="001A20CD" w:rsidRDefault="001A20CD" w:rsidP="001A20CD">
      <w:r w:rsidRPr="009A4F06">
        <w:t>The export permit for A</w:t>
      </w:r>
      <w:r>
        <w:t xml:space="preserve">ustralian Protected Material </w:t>
      </w:r>
      <w:r w:rsidRPr="009A4F06">
        <w:t>may be:</w:t>
      </w:r>
      <w:bookmarkStart w:id="219" w:name="_Toc419455852"/>
      <w:bookmarkEnd w:id="218"/>
    </w:p>
    <w:p w14:paraId="2662583F" w14:textId="77777777" w:rsidR="001A20CD" w:rsidRDefault="001A20CD" w:rsidP="00E333A4">
      <w:pPr>
        <w:pStyle w:val="ListParagraph"/>
        <w:numPr>
          <w:ilvl w:val="0"/>
          <w:numId w:val="38"/>
        </w:numPr>
        <w:ind w:left="567" w:hanging="567"/>
      </w:pPr>
      <w:r>
        <w:t>granted or r</w:t>
      </w:r>
      <w:r w:rsidRPr="009A4F06">
        <w:t>efused</w:t>
      </w:r>
      <w:r>
        <w:t>;</w:t>
      </w:r>
      <w:r w:rsidRPr="009A4F06">
        <w:t xml:space="preserve"> or</w:t>
      </w:r>
      <w:bookmarkStart w:id="220" w:name="_Toc419455853"/>
      <w:bookmarkEnd w:id="219"/>
    </w:p>
    <w:p w14:paraId="25E040EE" w14:textId="4088FCFE" w:rsidR="001A20CD" w:rsidRDefault="001A20CD" w:rsidP="00E333A4">
      <w:pPr>
        <w:pStyle w:val="ListParagraph"/>
        <w:numPr>
          <w:ilvl w:val="0"/>
          <w:numId w:val="38"/>
        </w:numPr>
        <w:ind w:left="567" w:hanging="567"/>
      </w:pPr>
      <w:proofErr w:type="gramStart"/>
      <w:r w:rsidRPr="009A4F06">
        <w:t>granted</w:t>
      </w:r>
      <w:proofErr w:type="gramEnd"/>
      <w:r w:rsidRPr="009A4F06">
        <w:t xml:space="preserve"> on a temporary basis</w:t>
      </w:r>
      <w:r w:rsidR="00801A32">
        <w:t>—</w:t>
      </w:r>
      <w:r w:rsidRPr="009A4F06">
        <w:t>with or without conditions</w:t>
      </w:r>
      <w:r>
        <w:t>.</w:t>
      </w:r>
      <w:bookmarkStart w:id="221" w:name="_Toc419455854"/>
      <w:bookmarkEnd w:id="220"/>
    </w:p>
    <w:p w14:paraId="2727AE59" w14:textId="77777777" w:rsidR="001A20CD" w:rsidRDefault="001A20CD" w:rsidP="001A20CD">
      <w:bookmarkStart w:id="222" w:name="_Toc419455855"/>
      <w:bookmarkEnd w:id="221"/>
      <w:r w:rsidRPr="009A4F06">
        <w:t xml:space="preserve">To ensure that the process is as speedy as possible the Department </w:t>
      </w:r>
      <w:r>
        <w:t>will</w:t>
      </w:r>
      <w:r w:rsidRPr="009A4F06">
        <w:t xml:space="preserve"> be required to provide the applicant with notice of the decision within a prescribed period after the decision is made. If the Department refuses to grant the permit, it </w:t>
      </w:r>
      <w:r>
        <w:t>will</w:t>
      </w:r>
      <w:r w:rsidRPr="009A4F06">
        <w:t xml:space="preserve"> be required </w:t>
      </w:r>
      <w:r>
        <w:t xml:space="preserve">to </w:t>
      </w:r>
      <w:r w:rsidRPr="009A4F06">
        <w:t>provide the applicant with the reasons for the refusal.</w:t>
      </w:r>
      <w:bookmarkStart w:id="223" w:name="_Toc419455857"/>
      <w:bookmarkEnd w:id="222"/>
    </w:p>
    <w:bookmarkEnd w:id="223"/>
    <w:p w14:paraId="3858558A" w14:textId="2E9EE6F9" w:rsidR="001A20CD" w:rsidRDefault="001A20CD" w:rsidP="001A20CD">
      <w:r>
        <w:t xml:space="preserve">Administrative guidelines should be written that provide expected targets for the completion of certain stages of the process. This should not be included in the legislation itself as </w:t>
      </w:r>
      <w:r w:rsidR="00C963C9">
        <w:t xml:space="preserve">timing for </w:t>
      </w:r>
      <w:r>
        <w:t>much of the process (such as the expert assessment process) is outside the control of the Department.</w:t>
      </w:r>
    </w:p>
    <w:p w14:paraId="2FD6545E" w14:textId="3EB034FB" w:rsidR="001A20CD" w:rsidRDefault="001A20CD" w:rsidP="00A15F5D">
      <w:pPr>
        <w:pStyle w:val="Heading3"/>
      </w:pPr>
      <w:bookmarkStart w:id="224" w:name="_Toc419448758"/>
      <w:bookmarkStart w:id="225" w:name="_Toc419455860"/>
      <w:r>
        <w:t>Conditions</w:t>
      </w:r>
      <w:bookmarkEnd w:id="224"/>
      <w:bookmarkEnd w:id="225"/>
    </w:p>
    <w:p w14:paraId="4C6F6DB1" w14:textId="77777777" w:rsidR="001A20CD" w:rsidRDefault="001A20CD" w:rsidP="001A20CD">
      <w:bookmarkStart w:id="226" w:name="_Toc419455861"/>
      <w:r w:rsidRPr="009A4F06">
        <w:t xml:space="preserve">Any </w:t>
      </w:r>
      <w:r>
        <w:t xml:space="preserve">permanent or </w:t>
      </w:r>
      <w:r w:rsidRPr="009A4F06">
        <w:t>tempor</w:t>
      </w:r>
      <w:r>
        <w:t>ary export permit, for any class of material, will</w:t>
      </w:r>
      <w:r w:rsidRPr="009A4F06">
        <w:t xml:space="preserve"> be subject to such conditions as the Department may impose. Applicants </w:t>
      </w:r>
      <w:r>
        <w:t xml:space="preserve">for temporary permits </w:t>
      </w:r>
      <w:r w:rsidRPr="009A4F06">
        <w:t xml:space="preserve">are familiar with restrictions as to </w:t>
      </w:r>
      <w:r>
        <w:t xml:space="preserve">time </w:t>
      </w:r>
      <w:r w:rsidRPr="009A4F06">
        <w:t xml:space="preserve">or purpose </w:t>
      </w:r>
      <w:r>
        <w:t xml:space="preserve">of export </w:t>
      </w:r>
      <w:r w:rsidRPr="009A4F06">
        <w:t xml:space="preserve">but the Department should also consider </w:t>
      </w:r>
      <w:r>
        <w:t>other issues.</w:t>
      </w:r>
      <w:r w:rsidRPr="009A4F06">
        <w:t xml:space="preserve"> </w:t>
      </w:r>
      <w:r>
        <w:t>F</w:t>
      </w:r>
      <w:r w:rsidRPr="009A4F06">
        <w:t>or example</w:t>
      </w:r>
      <w:r>
        <w:t>,</w:t>
      </w:r>
      <w:r w:rsidRPr="009A4F06">
        <w:t xml:space="preserve"> </w:t>
      </w:r>
      <w:r>
        <w:t>when considering an application for a temporary permit it may be important to require that any</w:t>
      </w:r>
      <w:r w:rsidRPr="009A4F06">
        <w:t xml:space="preserve"> country to which the </w:t>
      </w:r>
      <w:r>
        <w:t>material</w:t>
      </w:r>
      <w:r w:rsidRPr="009A4F06">
        <w:t xml:space="preserve"> is to travel </w:t>
      </w:r>
      <w:r>
        <w:t>has</w:t>
      </w:r>
      <w:r w:rsidRPr="009A4F06">
        <w:t xml:space="preserve"> </w:t>
      </w:r>
      <w:r>
        <w:t xml:space="preserve">immunity from </w:t>
      </w:r>
      <w:r w:rsidRPr="009A4F06">
        <w:t>seizure legislation</w:t>
      </w:r>
      <w:r>
        <w:t xml:space="preserve"> (to ensure that the material would not be subject to a claim in that jurisdiction and be prevented from returning to Australia)</w:t>
      </w:r>
      <w:r w:rsidRPr="009A4F06">
        <w:t>.</w:t>
      </w:r>
      <w:bookmarkEnd w:id="226"/>
    </w:p>
    <w:p w14:paraId="69D00D71" w14:textId="77777777" w:rsidR="001A20CD" w:rsidRDefault="001A20CD" w:rsidP="00A15F5D">
      <w:pPr>
        <w:pStyle w:val="Heading3"/>
      </w:pPr>
      <w:r>
        <w:t>Permit details</w:t>
      </w:r>
    </w:p>
    <w:p w14:paraId="71D17326" w14:textId="77777777" w:rsidR="00AA7153" w:rsidRDefault="001A20CD" w:rsidP="001A20CD">
      <w:r>
        <w:t>Under the new model, the permit will explicitly attach to the material, not the applicant. This will remove an administrative burden where material is legitimately traded within Australia prior to being exported. The permits themselves will be compliant with the UNESCO model permit and clearly identify the material, either by photograph or other relevant identifier.</w:t>
      </w:r>
    </w:p>
    <w:p w14:paraId="4774D682" w14:textId="790C8EDB" w:rsidR="001A20CD" w:rsidRDefault="001A20CD" w:rsidP="00A15F5D">
      <w:pPr>
        <w:pStyle w:val="Heading3"/>
      </w:pPr>
      <w:bookmarkStart w:id="227" w:name="_Toc419448759"/>
      <w:bookmarkStart w:id="228" w:name="_Toc419455862"/>
      <w:r w:rsidRPr="00A15F5D">
        <w:lastRenderedPageBreak/>
        <w:t>Appeal</w:t>
      </w:r>
      <w:bookmarkEnd w:id="227"/>
      <w:bookmarkEnd w:id="228"/>
    </w:p>
    <w:p w14:paraId="0028BB4F" w14:textId="77777777" w:rsidR="00AA7153" w:rsidRDefault="001A20CD" w:rsidP="001A20CD">
      <w:bookmarkStart w:id="229" w:name="_Toc419455863"/>
      <w:r>
        <w:t>The Administrative Appeals Tribunal should be retained as the appeal body for owners wishing to challenge a decision.</w:t>
      </w:r>
      <w:bookmarkEnd w:id="229"/>
    </w:p>
    <w:p w14:paraId="4B202E16" w14:textId="502EB78B" w:rsidR="001A20CD" w:rsidRDefault="001A20CD" w:rsidP="00052178">
      <w:pPr>
        <w:pStyle w:val="Heading2"/>
      </w:pPr>
      <w:bookmarkStart w:id="230" w:name="_Toc433906595"/>
      <w:r>
        <w:t>Impact of the changes</w:t>
      </w:r>
      <w:bookmarkEnd w:id="230"/>
    </w:p>
    <w:p w14:paraId="4FFC1414" w14:textId="77777777" w:rsidR="00AA7153" w:rsidRDefault="00E5347D" w:rsidP="00E5347D">
      <w:r>
        <w:t>The chart below shows the potential impact on the applications received in a given year.</w:t>
      </w:r>
      <w:r w:rsidRPr="003737D8">
        <w:rPr>
          <w:rStyle w:val="FootnoteReference"/>
        </w:rPr>
        <w:t xml:space="preserve"> </w:t>
      </w:r>
      <w:r>
        <w:rPr>
          <w:rStyle w:val="FootnoteReference"/>
        </w:rPr>
        <w:footnoteReference w:id="61"/>
      </w:r>
      <w:r>
        <w:t xml:space="preserve"> Under the current system, all applications required full significance assessment and consideration by the National Cultural Heritage Committee.</w:t>
      </w:r>
    </w:p>
    <w:p w14:paraId="7E85EFE9" w14:textId="2DCF42EF" w:rsidR="00E5347D" w:rsidRPr="00E5347D" w:rsidRDefault="00E5347D" w:rsidP="00E333A4">
      <w:pPr>
        <w:pStyle w:val="Subtitle"/>
        <w:keepNext/>
      </w:pPr>
      <w:r>
        <w:t xml:space="preserve">Potential impact of the </w:t>
      </w:r>
      <w:r w:rsidR="00C12C07">
        <w:t xml:space="preserve">new </w:t>
      </w:r>
      <w:r>
        <w:t>model on applications</w:t>
      </w:r>
    </w:p>
    <w:p w14:paraId="2C94DEFB" w14:textId="036697DE" w:rsidR="001A20CD" w:rsidRDefault="00A15F5D" w:rsidP="001A20CD">
      <w:r>
        <w:rPr>
          <w:noProof/>
          <w:lang w:eastAsia="en-AU"/>
        </w:rPr>
        <w:drawing>
          <wp:inline distT="0" distB="0" distL="0" distR="0" wp14:anchorId="11DCD8E6" wp14:editId="51695AE8">
            <wp:extent cx="5732982" cy="4582511"/>
            <wp:effectExtent l="0" t="0" r="1270" b="8890"/>
            <wp:docPr id="18" name="Picture 18" descr="The chart shows the potential impact on the applications received in a given year. Under the current system, 100% of the applications required full significance assessment and consideration by the National Cultural Heritage Committee. &#10;&#10;Under the new system:&#10;5% of applications would no longer be made, either because the material no longer meets the age and value thresholds or because the material is included on the list of Declared Australian Protected Material; 40% of applications would no longer be required as the material would be covered by General permits; 10% of applications would be required but would not require significance assessment; 45% of applications for permanent export may require a significance assessment.&#10;" title="Figure 13 - Potential impact of the model on new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3.jpg"/>
                    <pic:cNvPicPr/>
                  </pic:nvPicPr>
                  <pic:blipFill rotWithShape="1">
                    <a:blip r:embed="rId29">
                      <a:extLst>
                        <a:ext uri="{28A0092B-C50C-407E-A947-70E740481C1C}">
                          <a14:useLocalDpi xmlns:a14="http://schemas.microsoft.com/office/drawing/2010/main" val="0"/>
                        </a:ext>
                      </a:extLst>
                    </a:blip>
                    <a:srcRect t="11919"/>
                    <a:stretch/>
                  </pic:blipFill>
                  <pic:spPr bwMode="auto">
                    <a:xfrm>
                      <a:off x="0" y="0"/>
                      <a:ext cx="5731510" cy="4581334"/>
                    </a:xfrm>
                    <a:prstGeom prst="rect">
                      <a:avLst/>
                    </a:prstGeom>
                    <a:ln>
                      <a:noFill/>
                    </a:ln>
                    <a:extLst>
                      <a:ext uri="{53640926-AAD7-44D8-BBD7-CCE9431645EC}">
                        <a14:shadowObscured xmlns:a14="http://schemas.microsoft.com/office/drawing/2010/main"/>
                      </a:ext>
                    </a:extLst>
                  </pic:spPr>
                </pic:pic>
              </a:graphicData>
            </a:graphic>
          </wp:inline>
        </w:drawing>
      </w:r>
    </w:p>
    <w:p w14:paraId="31B0B359" w14:textId="5E10FAC1" w:rsidR="00B33AF7" w:rsidRPr="00DC48E3" w:rsidRDefault="00B33AF7" w:rsidP="00DC48E3">
      <w:pPr>
        <w:pStyle w:val="Caption"/>
        <w:ind w:left="284"/>
        <w:jc w:val="left"/>
        <w:rPr>
          <w:rFonts w:ascii="Arial" w:hAnsi="Arial" w:cs="Arial"/>
          <w:i/>
          <w:sz w:val="20"/>
          <w:szCs w:val="20"/>
        </w:rPr>
      </w:pPr>
      <w:r w:rsidRPr="00DC48E3">
        <w:rPr>
          <w:rFonts w:ascii="Arial" w:hAnsi="Arial" w:cs="Arial"/>
          <w:i/>
          <w:sz w:val="20"/>
          <w:szCs w:val="20"/>
        </w:rPr>
        <w:t>Figure 13</w:t>
      </w:r>
      <w:r w:rsidR="00801A32">
        <w:rPr>
          <w:rFonts w:ascii="Arial" w:hAnsi="Arial" w:cs="Arial"/>
          <w:i/>
          <w:sz w:val="20"/>
          <w:szCs w:val="20"/>
        </w:rPr>
        <w:t>—</w:t>
      </w:r>
      <w:r w:rsidRPr="00DC48E3">
        <w:rPr>
          <w:rFonts w:ascii="Arial" w:hAnsi="Arial" w:cs="Arial"/>
          <w:i/>
          <w:sz w:val="20"/>
          <w:szCs w:val="20"/>
        </w:rPr>
        <w:t>Potential impact of the model on new applications</w:t>
      </w:r>
    </w:p>
    <w:p w14:paraId="0179C786" w14:textId="579D7C32" w:rsidR="001A20CD" w:rsidRDefault="001A20CD" w:rsidP="00B33AF7">
      <w:r>
        <w:t>Under the new system:</w:t>
      </w:r>
    </w:p>
    <w:p w14:paraId="37E81747" w14:textId="58F500DE" w:rsidR="001A20CD" w:rsidRDefault="00F31396" w:rsidP="00E333A4">
      <w:pPr>
        <w:pStyle w:val="ListParagraph"/>
        <w:numPr>
          <w:ilvl w:val="0"/>
          <w:numId w:val="81"/>
        </w:numPr>
        <w:ind w:left="567" w:hanging="567"/>
      </w:pPr>
      <w:r>
        <w:lastRenderedPageBreak/>
        <w:t>5</w:t>
      </w:r>
      <w:r w:rsidR="001A20CD">
        <w:t xml:space="preserve">% of applications would </w:t>
      </w:r>
      <w:r w:rsidR="001A20CD" w:rsidRPr="00AB4837">
        <w:rPr>
          <w:b/>
        </w:rPr>
        <w:t>no longer be</w:t>
      </w:r>
      <w:r w:rsidR="001A20CD">
        <w:rPr>
          <w:b/>
        </w:rPr>
        <w:t xml:space="preserve"> made</w:t>
      </w:r>
      <w:r w:rsidR="001A20CD">
        <w:t>, either because the material no longer meets the age and value thresholds or because the material is included on the list of Declared Australian Protected Material;</w:t>
      </w:r>
    </w:p>
    <w:p w14:paraId="5DD1D017" w14:textId="51D0F45F" w:rsidR="001A20CD" w:rsidRDefault="001A20CD" w:rsidP="00E333A4">
      <w:pPr>
        <w:pStyle w:val="ListParagraph"/>
        <w:numPr>
          <w:ilvl w:val="0"/>
          <w:numId w:val="81"/>
        </w:numPr>
        <w:ind w:left="567" w:hanging="567"/>
      </w:pPr>
      <w:r>
        <w:t xml:space="preserve">40% of applications would </w:t>
      </w:r>
      <w:r w:rsidRPr="000A52B1">
        <w:rPr>
          <w:b/>
        </w:rPr>
        <w:t>no longer be required</w:t>
      </w:r>
      <w:r>
        <w:t xml:space="preserve"> as the materi</w:t>
      </w:r>
      <w:r w:rsidR="00C12C07">
        <w:t>al would be covered by General P</w:t>
      </w:r>
      <w:r>
        <w:t>ermits;</w:t>
      </w:r>
    </w:p>
    <w:p w14:paraId="5528EABB" w14:textId="04D0B2BC" w:rsidR="001A20CD" w:rsidRDefault="001A20CD" w:rsidP="00E333A4">
      <w:pPr>
        <w:pStyle w:val="ListParagraph"/>
        <w:numPr>
          <w:ilvl w:val="0"/>
          <w:numId w:val="81"/>
        </w:numPr>
        <w:ind w:left="567" w:hanging="567"/>
      </w:pPr>
      <w:r>
        <w:t xml:space="preserve">10% of applications would be required but would </w:t>
      </w:r>
      <w:r w:rsidRPr="000A52B1">
        <w:rPr>
          <w:b/>
        </w:rPr>
        <w:t>not require significance assessment</w:t>
      </w:r>
      <w:r>
        <w:t>;</w:t>
      </w:r>
      <w:r w:rsidR="00C12C07">
        <w:t xml:space="preserve"> and</w:t>
      </w:r>
    </w:p>
    <w:p w14:paraId="1F64B337" w14:textId="55659310" w:rsidR="00AA7153" w:rsidRDefault="00F31396" w:rsidP="00E333A4">
      <w:pPr>
        <w:pStyle w:val="ListParagraph"/>
        <w:numPr>
          <w:ilvl w:val="0"/>
          <w:numId w:val="81"/>
        </w:numPr>
        <w:ind w:left="567" w:hanging="567"/>
      </w:pPr>
      <w:r>
        <w:t>45</w:t>
      </w:r>
      <w:r w:rsidR="001A20CD">
        <w:t xml:space="preserve">% of applications </w:t>
      </w:r>
      <w:r w:rsidR="001A20CD" w:rsidRPr="000A52B1">
        <w:rPr>
          <w:b/>
        </w:rPr>
        <w:t>may require a significance assessment</w:t>
      </w:r>
      <w:r w:rsidR="001A20CD">
        <w:t>.</w:t>
      </w:r>
    </w:p>
    <w:p w14:paraId="410B5FEA" w14:textId="149B2846" w:rsidR="001A20CD" w:rsidRDefault="001A20CD" w:rsidP="00052178">
      <w:pPr>
        <w:pStyle w:val="Heading2"/>
      </w:pPr>
      <w:bookmarkStart w:id="231" w:name="_Toc419448760"/>
      <w:bookmarkStart w:id="232" w:name="_Toc419455865"/>
      <w:bookmarkStart w:id="233" w:name="_Toc433906596"/>
      <w:r>
        <w:t>Transparency</w:t>
      </w:r>
      <w:bookmarkEnd w:id="231"/>
      <w:bookmarkEnd w:id="232"/>
      <w:bookmarkEnd w:id="233"/>
    </w:p>
    <w:p w14:paraId="189D9358" w14:textId="77777777" w:rsidR="00AA7153" w:rsidRDefault="001A20CD" w:rsidP="001A20CD">
      <w:bookmarkStart w:id="234" w:name="_Toc419455753"/>
      <w:r>
        <w:t xml:space="preserve">Transparency and accountability are central principles of the new model. While </w:t>
      </w:r>
      <w:bookmarkStart w:id="235" w:name="_Toc419455754"/>
      <w:bookmarkEnd w:id="234"/>
      <w:r>
        <w:t>t</w:t>
      </w:r>
      <w:r w:rsidRPr="00FB0D3A">
        <w:t>his will need to be d</w:t>
      </w:r>
      <w:r>
        <w:t>rafted</w:t>
      </w:r>
      <w:r w:rsidRPr="00FB0D3A">
        <w:t xml:space="preserve"> in such a way as to respect the </w:t>
      </w:r>
      <w:r>
        <w:t>principles of the</w:t>
      </w:r>
      <w:r w:rsidRPr="00FB0D3A">
        <w:t xml:space="preserve"> </w:t>
      </w:r>
      <w:r w:rsidRPr="00FB0D3A">
        <w:rPr>
          <w:i/>
          <w:iCs/>
        </w:rPr>
        <w:t>Privacy Act</w:t>
      </w:r>
      <w:r>
        <w:rPr>
          <w:i/>
          <w:iCs/>
        </w:rPr>
        <w:t xml:space="preserve"> 1988</w:t>
      </w:r>
      <w:bookmarkEnd w:id="235"/>
      <w:r>
        <w:t xml:space="preserve">, the new </w:t>
      </w:r>
      <w:bookmarkStart w:id="236" w:name="_Toc419455866"/>
      <w:r>
        <w:t>model proposes that the following be made publically available:</w:t>
      </w:r>
      <w:bookmarkEnd w:id="236"/>
    </w:p>
    <w:p w14:paraId="21378BEF" w14:textId="77777777" w:rsidR="00AA7153" w:rsidRDefault="001A20CD" w:rsidP="00E333A4">
      <w:pPr>
        <w:pStyle w:val="ListParagraph"/>
        <w:numPr>
          <w:ilvl w:val="0"/>
          <w:numId w:val="13"/>
        </w:numPr>
        <w:ind w:left="567" w:hanging="567"/>
      </w:pPr>
      <w:bookmarkStart w:id="237" w:name="_Toc419455867"/>
      <w:r>
        <w:t>applications for permanent export permits, including detailed object information, current owner (perhaps only initials for individual owners) and provenance (excluding current location for security reasons);</w:t>
      </w:r>
      <w:bookmarkEnd w:id="237"/>
    </w:p>
    <w:p w14:paraId="336CC718" w14:textId="702A48CB" w:rsidR="001A20CD" w:rsidRDefault="001A20CD" w:rsidP="00E333A4">
      <w:pPr>
        <w:pStyle w:val="ListParagraph"/>
        <w:numPr>
          <w:ilvl w:val="0"/>
          <w:numId w:val="13"/>
        </w:numPr>
        <w:ind w:left="567" w:hanging="567"/>
      </w:pPr>
      <w:bookmarkStart w:id="238" w:name="_Toc419455868"/>
      <w:r>
        <w:t>a short period</w:t>
      </w:r>
      <w:r>
        <w:rPr>
          <w:rStyle w:val="FootnoteReference"/>
        </w:rPr>
        <w:footnoteReference w:id="62"/>
      </w:r>
      <w:r>
        <w:t xml:space="preserve"> for public submissions is then included to provide the opportunity for comment and information which may be taken into consideration by the Department or the Assessors;</w:t>
      </w:r>
    </w:p>
    <w:p w14:paraId="6F1EB6A9" w14:textId="4030D582" w:rsidR="001A20CD" w:rsidRDefault="001A20CD" w:rsidP="00E333A4">
      <w:pPr>
        <w:pStyle w:val="ListParagraph"/>
        <w:numPr>
          <w:ilvl w:val="0"/>
          <w:numId w:val="13"/>
        </w:numPr>
        <w:ind w:left="567" w:hanging="567"/>
      </w:pPr>
      <w:r>
        <w:t xml:space="preserve">significance reports prepared by Expert Cultural Significance Assessors, including an opt-in provision for </w:t>
      </w:r>
      <w:r w:rsidR="00A310E1">
        <w:t xml:space="preserve">the </w:t>
      </w:r>
      <w:r w:rsidRPr="008A0899">
        <w:t>name of the expert who prepared the assessment;</w:t>
      </w:r>
      <w:bookmarkStart w:id="239" w:name="_Toc419455869"/>
      <w:bookmarkEnd w:id="238"/>
      <w:r>
        <w:t xml:space="preserve"> and</w:t>
      </w:r>
    </w:p>
    <w:p w14:paraId="08527486" w14:textId="77777777" w:rsidR="001A20CD" w:rsidRDefault="001A20CD" w:rsidP="00E333A4">
      <w:pPr>
        <w:pStyle w:val="ListParagraph"/>
        <w:numPr>
          <w:ilvl w:val="0"/>
          <w:numId w:val="13"/>
        </w:numPr>
        <w:ind w:left="567" w:hanging="567"/>
      </w:pPr>
      <w:proofErr w:type="gramStart"/>
      <w:r>
        <w:t>decisions</w:t>
      </w:r>
      <w:proofErr w:type="gramEnd"/>
      <w:r>
        <w:t>, with reasoning, as to the granting or refusal of export permits</w:t>
      </w:r>
      <w:bookmarkStart w:id="240" w:name="_Toc419455870"/>
      <w:bookmarkEnd w:id="239"/>
      <w:r>
        <w:t>.</w:t>
      </w:r>
      <w:bookmarkStart w:id="241" w:name="_Toc419455873"/>
      <w:bookmarkStart w:id="242" w:name="_Toc419455871"/>
      <w:bookmarkEnd w:id="240"/>
    </w:p>
    <w:p w14:paraId="5E4CE735" w14:textId="77777777" w:rsidR="001A20CD" w:rsidRDefault="001A20CD" w:rsidP="001A20CD">
      <w:r>
        <w:t xml:space="preserve">Throughout consultation, stakeholders have agreed with the proposal to introduce a large measure of transparency into the process, including </w:t>
      </w:r>
      <w:bookmarkStart w:id="243" w:name="_Toc419455872"/>
      <w:r w:rsidRPr="003B202A">
        <w:t>a short period for public submissions in regard to permanent export applications</w:t>
      </w:r>
      <w:r>
        <w:t>.</w:t>
      </w:r>
      <w:r>
        <w:rPr>
          <w:rStyle w:val="FootnoteReference"/>
        </w:rPr>
        <w:footnoteReference w:id="63"/>
      </w:r>
      <w:r w:rsidRPr="003B202A">
        <w:t xml:space="preserve"> </w:t>
      </w:r>
      <w:bookmarkEnd w:id="243"/>
      <w:r>
        <w:t>Having such information publicly available would address several potential deficiencies (intentional or not) in both applications and assessments. It would:</w:t>
      </w:r>
    </w:p>
    <w:p w14:paraId="474ED4BD" w14:textId="77777777" w:rsidR="001A20CD" w:rsidRDefault="001A20CD" w:rsidP="00E333A4">
      <w:pPr>
        <w:pStyle w:val="ListParagraph"/>
        <w:numPr>
          <w:ilvl w:val="0"/>
          <w:numId w:val="83"/>
        </w:numPr>
        <w:ind w:left="567" w:hanging="567"/>
      </w:pPr>
      <w:r>
        <w:lastRenderedPageBreak/>
        <w:t>provide an excellent informal way of enhancing and invigorating the quality and completeness of both applications and reports;</w:t>
      </w:r>
    </w:p>
    <w:p w14:paraId="3644337F" w14:textId="16852CC5" w:rsidR="001A20CD" w:rsidRDefault="001A20CD" w:rsidP="00E333A4">
      <w:pPr>
        <w:pStyle w:val="ListParagraph"/>
        <w:numPr>
          <w:ilvl w:val="0"/>
          <w:numId w:val="83"/>
        </w:numPr>
        <w:ind w:left="567" w:hanging="567"/>
      </w:pPr>
      <w:r w:rsidRPr="003B202A">
        <w:t xml:space="preserve">where the applicant has little information about the </w:t>
      </w:r>
      <w:r>
        <w:t>provenance of the material</w:t>
      </w:r>
      <w:r w:rsidRPr="003B202A">
        <w:t xml:space="preserve"> </w:t>
      </w:r>
      <w:r>
        <w:t>the public</w:t>
      </w:r>
      <w:r w:rsidR="00B33AF7">
        <w:t xml:space="preserve"> could</w:t>
      </w:r>
      <w:r>
        <w:t xml:space="preserve"> potentially provide additional information that may </w:t>
      </w:r>
      <w:r w:rsidRPr="003B202A">
        <w:t>assist</w:t>
      </w:r>
      <w:r>
        <w:t xml:space="preserve"> assessment;</w:t>
      </w:r>
    </w:p>
    <w:p w14:paraId="7C90DB5D" w14:textId="77777777" w:rsidR="00AA7153" w:rsidRDefault="001A20CD" w:rsidP="00E333A4">
      <w:pPr>
        <w:pStyle w:val="ListParagraph"/>
        <w:numPr>
          <w:ilvl w:val="0"/>
          <w:numId w:val="83"/>
        </w:numPr>
        <w:ind w:left="567" w:hanging="567"/>
      </w:pPr>
      <w:r>
        <w:t>contribute to an enrichment of knowledge about particular objects and classes of material;</w:t>
      </w:r>
    </w:p>
    <w:p w14:paraId="15E0D8AE" w14:textId="77777777" w:rsidR="00AA7153" w:rsidRDefault="001A20CD" w:rsidP="00E333A4">
      <w:pPr>
        <w:pStyle w:val="ListParagraph"/>
        <w:numPr>
          <w:ilvl w:val="0"/>
          <w:numId w:val="83"/>
        </w:numPr>
        <w:ind w:left="567" w:hanging="567"/>
      </w:pPr>
      <w:r>
        <w:t>enhance accountability for decision-makers;</w:t>
      </w:r>
    </w:p>
    <w:p w14:paraId="104F0458" w14:textId="77777777" w:rsidR="00AA7153" w:rsidRDefault="001A20CD" w:rsidP="00E333A4">
      <w:pPr>
        <w:pStyle w:val="ListParagraph"/>
        <w:numPr>
          <w:ilvl w:val="0"/>
          <w:numId w:val="83"/>
        </w:numPr>
        <w:ind w:left="567" w:hanging="567"/>
      </w:pPr>
      <w:r>
        <w:t>increase public understanding of the process and the basis for decisions made; and</w:t>
      </w:r>
    </w:p>
    <w:p w14:paraId="6B1E831E" w14:textId="77777777" w:rsidR="00AA7153" w:rsidRDefault="001A20CD" w:rsidP="00E333A4">
      <w:pPr>
        <w:pStyle w:val="ListParagraph"/>
        <w:numPr>
          <w:ilvl w:val="0"/>
          <w:numId w:val="83"/>
        </w:numPr>
        <w:ind w:left="567" w:hanging="567"/>
      </w:pPr>
      <w:proofErr w:type="gramStart"/>
      <w:r>
        <w:t>as</w:t>
      </w:r>
      <w:proofErr w:type="gramEnd"/>
      <w:r>
        <w:t xml:space="preserve"> the information is likely to be accessed by members of what are often very niche sectors, rapidly bring incorrect or incomplete information provided by applicants to the attention of the Department.</w:t>
      </w:r>
      <w:bookmarkEnd w:id="241"/>
    </w:p>
    <w:bookmarkEnd w:id="242"/>
    <w:p w14:paraId="635BB9A7" w14:textId="426656D8" w:rsidR="001A20CD" w:rsidRDefault="001A20CD" w:rsidP="001A20CD">
      <w:r>
        <w:t>A submission process does have resource implications for the Department. In addition to the obvious need to have electronic systems in place to receive online applications and publish information within reasonable time frames</w:t>
      </w:r>
      <w:r w:rsidR="00C963C9">
        <w:t>,</w:t>
      </w:r>
      <w:r>
        <w:t xml:space="preserve"> there will be resources required to assess received submissions and filter out vicious or incorrect content. That said, it is an important feature of the modernisation of the process. Knowledge and expertise is no longer held in silos. It is distributed. The digital world has irretrievably changed the old paradigms by which expertise used to be valued and protected.</w:t>
      </w:r>
    </w:p>
    <w:p w14:paraId="776F8E02" w14:textId="77777777" w:rsidR="000B6292" w:rsidRDefault="001A20CD" w:rsidP="000B6292">
      <w:r>
        <w:t>Concerns were raised in consultation about the risk of the transparency model leading to the release</w:t>
      </w:r>
      <w:r w:rsidR="00C963C9">
        <w:t xml:space="preserve"> of</w:t>
      </w:r>
      <w:r>
        <w:t xml:space="preserve"> information or details about material that are sensitive for cultural, spiritual, security or other reasons. There were particular concerns about exposing secret sacred material. The transparency model will need to ensure that material that has such sensitivities is not made public or that the secret and or sacred elements of the material are not </w:t>
      </w:r>
      <w:r w:rsidR="00B33AF7">
        <w:t>made public. It is integral to</w:t>
      </w:r>
      <w:r>
        <w:t xml:space="preserve"> the model that valid exceptions to the transparency measures be granted.</w:t>
      </w:r>
    </w:p>
    <w:p w14:paraId="7C047E47" w14:textId="77777777" w:rsidR="000B6292" w:rsidRDefault="000B6292">
      <w:pPr>
        <w:spacing w:line="276" w:lineRule="auto"/>
      </w:pPr>
      <w:r>
        <w:br w:type="page"/>
      </w:r>
    </w:p>
    <w:p w14:paraId="4B78DFD2" w14:textId="0DA7DE36" w:rsidR="00E5347D" w:rsidRDefault="00E5347D" w:rsidP="000B6292">
      <w:r>
        <w:lastRenderedPageBreak/>
        <w:t>Survey Response</w:t>
      </w:r>
    </w:p>
    <w:p w14:paraId="4B3EA5CF" w14:textId="772F4FE1" w:rsidR="00E5347D" w:rsidRDefault="00E5347D" w:rsidP="00E5347D">
      <w:r>
        <w:t>74% of respondents agreed to a very large extent or to a large extent with the proposed changes to publishing information about applications, significance assessments and decisions as to the granting or refusal of permits.</w:t>
      </w:r>
    </w:p>
    <w:p w14:paraId="3D6BDD73" w14:textId="19D8C3FC" w:rsidR="00E5347D" w:rsidRDefault="00E5347D" w:rsidP="00E333A4">
      <w:pPr>
        <w:spacing w:after="0"/>
      </w:pPr>
      <w:r w:rsidRPr="00C17362">
        <w:rPr>
          <w:noProof/>
          <w:lang w:eastAsia="en-AU"/>
        </w:rPr>
        <w:drawing>
          <wp:inline distT="0" distB="0" distL="0" distR="0" wp14:anchorId="2BE361CE" wp14:editId="0655BAA0">
            <wp:extent cx="3092817" cy="1788695"/>
            <wp:effectExtent l="0" t="0" r="0" b="2540"/>
            <wp:docPr id="20" name="Picture 20" descr="The extent to which respondents agree with publishing information:&#10;&#10;38% To a very large extent&#10;36% To a large extent&#10;16% To a moderate extent&#10;1% To a small extent&#10;3% Not at all&#10;6% Unsure&#10;" title="Figure 14 - The extent to which respondents agree with publish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091563" cy="1787970"/>
                    </a:xfrm>
                    <a:prstGeom prst="rect">
                      <a:avLst/>
                    </a:prstGeom>
                    <a:noFill/>
                    <a:ln>
                      <a:noFill/>
                    </a:ln>
                  </pic:spPr>
                </pic:pic>
              </a:graphicData>
            </a:graphic>
          </wp:inline>
        </w:drawing>
      </w:r>
    </w:p>
    <w:p w14:paraId="16382BB7" w14:textId="7C35275E" w:rsidR="00540235" w:rsidRPr="001B5D3A" w:rsidRDefault="00B33AF7" w:rsidP="00DC48E3">
      <w:pPr>
        <w:pStyle w:val="Caption"/>
        <w:ind w:left="284"/>
        <w:jc w:val="left"/>
        <w:rPr>
          <w:rFonts w:eastAsia="Arial Unicode MS" w:cs="Arial"/>
          <w:i/>
          <w:sz w:val="20"/>
          <w:szCs w:val="20"/>
          <w:vertAlign w:val="superscript"/>
        </w:rPr>
      </w:pPr>
      <w:r w:rsidRPr="00DC48E3">
        <w:rPr>
          <w:rFonts w:ascii="Arial" w:hAnsi="Arial" w:cs="Arial"/>
          <w:i/>
          <w:sz w:val="20"/>
          <w:szCs w:val="20"/>
        </w:rPr>
        <w:t>Figure 14</w:t>
      </w:r>
      <w:r w:rsidR="00AA7153">
        <w:rPr>
          <w:rFonts w:ascii="Arial" w:hAnsi="Arial" w:cs="Arial"/>
          <w:i/>
          <w:sz w:val="20"/>
          <w:szCs w:val="20"/>
        </w:rPr>
        <w:t>—</w:t>
      </w:r>
      <w:proofErr w:type="gramStart"/>
      <w:r w:rsidR="00540235" w:rsidRPr="00DC48E3">
        <w:rPr>
          <w:rFonts w:ascii="Arial" w:hAnsi="Arial" w:cs="Arial"/>
          <w:i/>
          <w:sz w:val="20"/>
          <w:szCs w:val="20"/>
        </w:rPr>
        <w:t>The</w:t>
      </w:r>
      <w:proofErr w:type="gramEnd"/>
      <w:r w:rsidR="00540235" w:rsidRPr="00DC48E3">
        <w:rPr>
          <w:rFonts w:ascii="Arial" w:hAnsi="Arial" w:cs="Arial"/>
          <w:i/>
          <w:sz w:val="20"/>
          <w:szCs w:val="20"/>
        </w:rPr>
        <w:t xml:space="preserve"> extent to w</w:t>
      </w:r>
      <w:r w:rsidRPr="00DC48E3">
        <w:rPr>
          <w:rFonts w:ascii="Arial" w:hAnsi="Arial" w:cs="Arial"/>
          <w:i/>
          <w:sz w:val="20"/>
          <w:szCs w:val="20"/>
        </w:rPr>
        <w:t>hich respondents agree with</w:t>
      </w:r>
      <w:r w:rsidR="00540235" w:rsidRPr="00DC48E3">
        <w:rPr>
          <w:rFonts w:ascii="Arial" w:hAnsi="Arial" w:cs="Arial"/>
          <w:i/>
          <w:sz w:val="20"/>
          <w:szCs w:val="20"/>
        </w:rPr>
        <w:t xml:space="preserve"> publishing information</w:t>
      </w:r>
      <w:r w:rsidR="00540235">
        <w:rPr>
          <w:rFonts w:cs="Arial"/>
          <w:bCs w:val="0"/>
          <w:i/>
          <w:sz w:val="20"/>
          <w:szCs w:val="20"/>
        </w:rPr>
        <w:t>.</w:t>
      </w:r>
      <w:r w:rsidR="00540235">
        <w:rPr>
          <w:rStyle w:val="FootnoteReference"/>
          <w:rFonts w:cs="Arial"/>
          <w:bCs w:val="0"/>
          <w:i/>
          <w:sz w:val="20"/>
          <w:szCs w:val="20"/>
        </w:rPr>
        <w:footnoteReference w:id="64"/>
      </w:r>
    </w:p>
    <w:p w14:paraId="59938433" w14:textId="6BBB0A36" w:rsidR="001A20CD" w:rsidRDefault="001A20CD" w:rsidP="00052178">
      <w:pPr>
        <w:pStyle w:val="Heading2"/>
        <w:rPr>
          <w:lang w:eastAsia="en-AU"/>
        </w:rPr>
      </w:pPr>
      <w:r>
        <w:t xml:space="preserve"> </w:t>
      </w:r>
      <w:bookmarkStart w:id="244" w:name="_Toc423334281"/>
      <w:bookmarkStart w:id="245" w:name="_Toc430867345"/>
      <w:bookmarkStart w:id="246" w:name="_Toc433906597"/>
      <w:r>
        <w:rPr>
          <w:lang w:eastAsia="en-AU"/>
        </w:rPr>
        <w:t>National Cultural Heritage Account</w:t>
      </w:r>
      <w:bookmarkEnd w:id="244"/>
      <w:bookmarkEnd w:id="245"/>
      <w:bookmarkEnd w:id="246"/>
    </w:p>
    <w:p w14:paraId="0B436FBF" w14:textId="77777777" w:rsidR="001A20CD" w:rsidRDefault="001A20CD" w:rsidP="001A20CD">
      <w:pPr>
        <w:rPr>
          <w:i/>
          <w:iCs/>
        </w:rPr>
      </w:pPr>
      <w:bookmarkStart w:id="247" w:name="_Toc419455884"/>
      <w:r>
        <w:t xml:space="preserve">The Act establishes the National Cultural Heritage Account (the ‘Account’). It is a ‘section 80 special account’ for the purposes of the </w:t>
      </w:r>
      <w:r>
        <w:rPr>
          <w:i/>
          <w:iCs/>
        </w:rPr>
        <w:t>Public Governance, Performance and Accountability Act 2013.</w:t>
      </w:r>
      <w:bookmarkEnd w:id="247"/>
    </w:p>
    <w:p w14:paraId="3522B659" w14:textId="77777777" w:rsidR="001A20CD" w:rsidRDefault="001A20CD" w:rsidP="00E5347D">
      <w:pPr>
        <w:pStyle w:val="Heading3"/>
        <w:rPr>
          <w:lang w:eastAsia="en-AU"/>
        </w:rPr>
      </w:pPr>
      <w:bookmarkStart w:id="248" w:name="_Toc419455885"/>
      <w:bookmarkStart w:id="249" w:name="_Toc419448773"/>
      <w:r>
        <w:rPr>
          <w:lang w:eastAsia="en-AU"/>
        </w:rPr>
        <w:t xml:space="preserve"> Purpose of establishing the Account</w:t>
      </w:r>
      <w:bookmarkEnd w:id="248"/>
      <w:bookmarkEnd w:id="249"/>
    </w:p>
    <w:p w14:paraId="0FBA4482" w14:textId="77777777" w:rsidR="001A20CD" w:rsidRDefault="001A20CD" w:rsidP="001A20CD">
      <w:bookmarkStart w:id="250" w:name="_Toc419455886"/>
      <w:r>
        <w:t>Currently the Account may only be expended for the purpose set out in subsection 25(b) of the Act:</w:t>
      </w:r>
      <w:bookmarkStart w:id="251" w:name="_Toc419455887"/>
      <w:bookmarkEnd w:id="250"/>
    </w:p>
    <w:p w14:paraId="77E2F056" w14:textId="77777777" w:rsidR="001A20CD" w:rsidRDefault="001A20CD" w:rsidP="00393491">
      <w:pPr>
        <w:ind w:left="567"/>
        <w:rPr>
          <w:i/>
          <w:sz w:val="21"/>
          <w:szCs w:val="21"/>
        </w:rPr>
      </w:pPr>
      <w:r>
        <w:rPr>
          <w:i/>
        </w:rPr>
        <w:t>Amounts standing to the credit of the National Cultural</w:t>
      </w:r>
      <w:r>
        <w:rPr>
          <w:b/>
          <w:bCs/>
          <w:i/>
          <w:iCs/>
        </w:rPr>
        <w:t xml:space="preserve"> </w:t>
      </w:r>
      <w:r>
        <w:rPr>
          <w:i/>
        </w:rPr>
        <w:t>Heritage Account may be expended for the purpose of facilitating the acquisition of Australian protected objects for display or safe</w:t>
      </w:r>
      <w:r>
        <w:rPr>
          <w:i/>
        </w:rPr>
        <w:noBreakHyphen/>
        <w:t>keeping.</w:t>
      </w:r>
      <w:bookmarkEnd w:id="251"/>
    </w:p>
    <w:p w14:paraId="0AE2F430" w14:textId="1283C6A5" w:rsidR="00AA7153" w:rsidRDefault="001A20CD" w:rsidP="001A20CD">
      <w:bookmarkStart w:id="252" w:name="_Toc419455888"/>
      <w:r>
        <w:t xml:space="preserve">This purpose is interpreted broadly and includes not only the purchase price of a Australian Protected Object but also, depending on the circumstances, may include transportation costs, conservation work, legal or other professional advice and any other costs that could be characterised as necessary to facilitate or assist in the acquisition of a protected object. </w:t>
      </w:r>
      <w:bookmarkStart w:id="253" w:name="_Toc419455889"/>
      <w:bookmarkEnd w:id="252"/>
      <w:r>
        <w:t xml:space="preserve">The Second Reading Speech made when the Act </w:t>
      </w:r>
      <w:r>
        <w:lastRenderedPageBreak/>
        <w:t>was introduced into Parliament</w:t>
      </w:r>
      <w:r>
        <w:rPr>
          <w:rStyle w:val="FootnoteReference"/>
        </w:rPr>
        <w:footnoteReference w:id="65"/>
      </w:r>
      <w:r>
        <w:t xml:space="preserve"> supports a wide interpretation, making it clear that funding should be available to:</w:t>
      </w:r>
      <w:bookmarkEnd w:id="253"/>
    </w:p>
    <w:p w14:paraId="06B2B84E" w14:textId="254CB5B0" w:rsidR="001A20CD" w:rsidRDefault="001A20CD" w:rsidP="00E333A4">
      <w:pPr>
        <w:pStyle w:val="ListParagraph"/>
        <w:numPr>
          <w:ilvl w:val="0"/>
          <w:numId w:val="15"/>
        </w:numPr>
        <w:ind w:left="567" w:hanging="567"/>
      </w:pPr>
      <w:bookmarkStart w:id="254" w:name="_Toc419455890"/>
      <w:r>
        <w:t>assist the retention and protection of objects for which export permits have been refused; and</w:t>
      </w:r>
      <w:bookmarkStart w:id="255" w:name="_Toc419455891"/>
      <w:bookmarkEnd w:id="254"/>
    </w:p>
    <w:p w14:paraId="11554E06" w14:textId="77777777" w:rsidR="001A20CD" w:rsidRDefault="001A20CD" w:rsidP="00E333A4">
      <w:pPr>
        <w:pStyle w:val="ListParagraph"/>
        <w:numPr>
          <w:ilvl w:val="0"/>
          <w:numId w:val="15"/>
        </w:numPr>
        <w:ind w:left="567" w:hanging="567"/>
      </w:pPr>
      <w:r>
        <w:t>assist institutions to acquire such material and to make those objects available to the public; and thus</w:t>
      </w:r>
      <w:bookmarkStart w:id="256" w:name="_Toc419455892"/>
      <w:bookmarkEnd w:id="255"/>
    </w:p>
    <w:p w14:paraId="109EECD0" w14:textId="1B33C742" w:rsidR="001A20CD" w:rsidRDefault="001A20CD" w:rsidP="00E333A4">
      <w:pPr>
        <w:pStyle w:val="ListParagraph"/>
        <w:numPr>
          <w:ilvl w:val="0"/>
          <w:numId w:val="15"/>
        </w:numPr>
        <w:ind w:left="567" w:hanging="567"/>
      </w:pPr>
      <w:proofErr w:type="gramStart"/>
      <w:r>
        <w:t>assist</w:t>
      </w:r>
      <w:proofErr w:type="gramEnd"/>
      <w:r>
        <w:t xml:space="preserve"> owners of such material to obtain a fair market price on t</w:t>
      </w:r>
      <w:r w:rsidR="00B33AF7">
        <w:t>he local market for them</w:t>
      </w:r>
      <w:r w:rsidR="00801A32">
        <w:t>—</w:t>
      </w:r>
      <w:r>
        <w:t>encouraging compliance with the scheme.</w:t>
      </w:r>
      <w:bookmarkEnd w:id="256"/>
    </w:p>
    <w:p w14:paraId="0A74F7BF" w14:textId="77777777" w:rsidR="00AA7153" w:rsidRDefault="001A20CD" w:rsidP="001A20CD">
      <w:bookmarkStart w:id="257" w:name="_Toc419455893"/>
      <w:r>
        <w:t>As noted in the report of the 2009 Review, the purpose of assisting owners, while clearly expressed in the Second Reading Speech, is not reflected in</w:t>
      </w:r>
      <w:bookmarkStart w:id="258" w:name="_Toc419455894"/>
      <w:r>
        <w:t xml:space="preserve"> the legislation. It should be explicit that the funds may be utilised to cover expenses that would reasonably 'facilitate' the acquisition.</w:t>
      </w:r>
      <w:bookmarkEnd w:id="258"/>
    </w:p>
    <w:p w14:paraId="717207EF" w14:textId="3FBE8159" w:rsidR="001A20CD" w:rsidRDefault="001A20CD" w:rsidP="00E5347D">
      <w:pPr>
        <w:pStyle w:val="Heading3"/>
        <w:rPr>
          <w:lang w:eastAsia="en-AU"/>
        </w:rPr>
      </w:pPr>
      <w:bookmarkStart w:id="259" w:name="_Toc419455898"/>
      <w:bookmarkStart w:id="260" w:name="_Toc419448774"/>
      <w:bookmarkEnd w:id="257"/>
      <w:r>
        <w:rPr>
          <w:lang w:eastAsia="en-AU"/>
        </w:rPr>
        <w:t>New, widened purpose of the Account</w:t>
      </w:r>
      <w:bookmarkEnd w:id="259"/>
      <w:bookmarkEnd w:id="260"/>
    </w:p>
    <w:p w14:paraId="3EA7422D" w14:textId="5BCDC81F" w:rsidR="001A20CD" w:rsidRDefault="001A20CD" w:rsidP="001A20CD">
      <w:bookmarkStart w:id="261" w:name="_Toc419455899"/>
      <w:r>
        <w:t>Under the new model, the assistance that the Account provides would focus on the public benefit of retaining, protecting and making accessible important cultural material for the public and future generations</w:t>
      </w:r>
      <w:r w:rsidR="00801A32">
        <w:t>—</w:t>
      </w:r>
      <w:r>
        <w:t>not just acquisition.</w:t>
      </w:r>
      <w:bookmarkEnd w:id="261"/>
    </w:p>
    <w:p w14:paraId="31A296D5" w14:textId="13D53B26" w:rsidR="001A20CD" w:rsidRDefault="001A20CD" w:rsidP="001A20CD">
      <w:bookmarkStart w:id="262" w:name="_Toc419455900"/>
      <w:r>
        <w:t>While it is essential to provide funds to support the acquisition of cultural material by collecting institutions, th</w:t>
      </w:r>
      <w:r w:rsidR="00A310E1">
        <w:t>e Act, its Regulations and its G</w:t>
      </w:r>
      <w:r>
        <w:t>uidelines should reflect the widened purpose of the Account so that it is available not only for the acquisition but includes appropriate activities related to the acquisition</w:t>
      </w:r>
      <w:bookmarkEnd w:id="262"/>
      <w:r>
        <w:t xml:space="preserve"> and ongoing care.</w:t>
      </w:r>
    </w:p>
    <w:p w14:paraId="739F13B0" w14:textId="77777777" w:rsidR="00AA7153" w:rsidRDefault="001A20CD" w:rsidP="001A20CD">
      <w:r>
        <w:t>That said, it should be noted that the Account is</w:t>
      </w:r>
      <w:r>
        <w:rPr>
          <w:b/>
        </w:rPr>
        <w:t xml:space="preserve"> not</w:t>
      </w:r>
      <w:r>
        <w:t xml:space="preserve"> a compensation fund for owners of culturally significant material who are unable to export their property and sell it on the international market. That is not, and should not be, its purpose. The material denied export has been assessed to be of the highest importance to Australia and it is in the public interest that it be available to the public. The Account should provide funds to this end.</w:t>
      </w:r>
    </w:p>
    <w:p w14:paraId="0B4469C9" w14:textId="445107A5" w:rsidR="001A20CD" w:rsidRDefault="001A20CD" w:rsidP="00E5347D">
      <w:pPr>
        <w:pStyle w:val="Heading3"/>
      </w:pPr>
      <w:r>
        <w:lastRenderedPageBreak/>
        <w:t>Eligibility</w:t>
      </w:r>
    </w:p>
    <w:p w14:paraId="36002816" w14:textId="77777777" w:rsidR="00AA7153" w:rsidRDefault="001A20CD" w:rsidP="001A20CD">
      <w:bookmarkStart w:id="263" w:name="_Toc419455895"/>
      <w:r>
        <w:t>The current legislation is silent on eligibility for provision of funds from the Account. However, as the Account may only be used to facilitate the acquisition of an Australian Protected Object for public display or safekeeping, in practice, funds are only granted to not-for-profit organisations that will undertake the preservation and public display of the object. Accordingly, it should be made explicit in the new scheme that the funds are to assist not-for-profit organisations and must be utilised for the retention, public access and preservation of Australian cultural material</w:t>
      </w:r>
      <w:bookmarkEnd w:id="263"/>
      <w:r w:rsidR="00540235">
        <w:t>.</w:t>
      </w:r>
      <w:r>
        <w:rPr>
          <w:rStyle w:val="FootnoteReference"/>
        </w:rPr>
        <w:footnoteReference w:id="66"/>
      </w:r>
    </w:p>
    <w:p w14:paraId="07D320C4" w14:textId="38C34378" w:rsidR="001A20CD" w:rsidRDefault="001A20CD" w:rsidP="00E5347D">
      <w:pPr>
        <w:pStyle w:val="Heading3"/>
        <w:rPr>
          <w:lang w:eastAsia="en-AU"/>
        </w:rPr>
      </w:pPr>
      <w:bookmarkStart w:id="264" w:name="_Toc419455901"/>
      <w:bookmarkStart w:id="265" w:name="_Toc419448775"/>
      <w:r w:rsidRPr="00E5347D">
        <w:t>New</w:t>
      </w:r>
      <w:r>
        <w:rPr>
          <w:lang w:eastAsia="en-AU"/>
        </w:rPr>
        <w:t xml:space="preserve"> priorities</w:t>
      </w:r>
      <w:bookmarkEnd w:id="264"/>
      <w:bookmarkEnd w:id="265"/>
    </w:p>
    <w:p w14:paraId="499CBFA4" w14:textId="77777777" w:rsidR="001A20CD" w:rsidRDefault="001A20CD" w:rsidP="001A20CD">
      <w:bookmarkStart w:id="266" w:name="_Toc419455926"/>
      <w:bookmarkStart w:id="267" w:name="_Toc419455902"/>
      <w:r>
        <w:t>The Account should be designed to promote the effectiveness of the legislation. For example, when significant material is prohibited from export and retained within Australia, the Account should be one of the many doors through which owners can provide for the conservation, storage and protection of that material.</w:t>
      </w:r>
      <w:bookmarkEnd w:id="266"/>
    </w:p>
    <w:p w14:paraId="1D70D883" w14:textId="649EABE6" w:rsidR="001A20CD" w:rsidRDefault="001A20CD" w:rsidP="001A20CD">
      <w:r>
        <w:t xml:space="preserve">Given </w:t>
      </w:r>
      <w:r w:rsidR="00A310E1">
        <w:t>the costs of such matters, the G</w:t>
      </w:r>
      <w:r>
        <w:t>uidelines for the use of the Account should provide that the priority of expenditure be as follows:</w:t>
      </w:r>
      <w:bookmarkStart w:id="268" w:name="_Toc419455903"/>
      <w:bookmarkEnd w:id="267"/>
    </w:p>
    <w:p w14:paraId="0D2EDC94" w14:textId="36358D8B" w:rsidR="001A20CD" w:rsidRDefault="00B33AF7" w:rsidP="00393491">
      <w:pPr>
        <w:pStyle w:val="ListParagraph"/>
        <w:numPr>
          <w:ilvl w:val="0"/>
          <w:numId w:val="39"/>
        </w:numPr>
        <w:ind w:left="567" w:hanging="567"/>
      </w:pPr>
      <w:r>
        <w:t>T</w:t>
      </w:r>
      <w:r w:rsidR="001A20CD">
        <w:t>he</w:t>
      </w:r>
      <w:r>
        <w:t xml:space="preserve"> overseas</w:t>
      </w:r>
      <w:r w:rsidR="001A20CD">
        <w:t xml:space="preserve"> acquisition of Australia</w:t>
      </w:r>
      <w:r>
        <w:t>-related cultural heritage material for return to</w:t>
      </w:r>
      <w:r w:rsidR="001A20CD">
        <w:t xml:space="preserve"> Australia;</w:t>
      </w:r>
      <w:bookmarkStart w:id="269" w:name="_Toc419455905"/>
      <w:bookmarkEnd w:id="268"/>
    </w:p>
    <w:p w14:paraId="59D0DC13" w14:textId="25434490" w:rsidR="001A20CD" w:rsidRDefault="00B33AF7" w:rsidP="00393491">
      <w:pPr>
        <w:pStyle w:val="ListParagraph"/>
        <w:numPr>
          <w:ilvl w:val="0"/>
          <w:numId w:val="39"/>
        </w:numPr>
        <w:ind w:left="567" w:hanging="567"/>
      </w:pPr>
      <w:r>
        <w:t>the acquisition in</w:t>
      </w:r>
      <w:r w:rsidR="001A20CD">
        <w:t xml:space="preserve"> Australia </w:t>
      </w:r>
      <w:r>
        <w:t xml:space="preserve">of </w:t>
      </w:r>
      <w:r w:rsidR="001A20CD">
        <w:t>Australia</w:t>
      </w:r>
      <w:r>
        <w:t>-related cultural heritage material</w:t>
      </w:r>
      <w:r w:rsidR="001A20CD">
        <w:t>; and</w:t>
      </w:r>
      <w:bookmarkStart w:id="270" w:name="_Toc419455906"/>
      <w:bookmarkEnd w:id="269"/>
    </w:p>
    <w:p w14:paraId="3C97BB97" w14:textId="440110CA" w:rsidR="00E5347D" w:rsidRDefault="001A20CD" w:rsidP="00393491">
      <w:pPr>
        <w:pStyle w:val="ListParagraph"/>
        <w:numPr>
          <w:ilvl w:val="0"/>
          <w:numId w:val="39"/>
        </w:numPr>
        <w:ind w:left="567" w:hanging="567"/>
      </w:pPr>
      <w:proofErr w:type="gramStart"/>
      <w:r>
        <w:t>other</w:t>
      </w:r>
      <w:proofErr w:type="gramEnd"/>
      <w:r>
        <w:t xml:space="preserve"> activities related to, or which will facilitate the acquisition of, </w:t>
      </w:r>
      <w:r w:rsidR="00B33AF7">
        <w:t xml:space="preserve">Australia-related cultural heritage material </w:t>
      </w:r>
      <w:r>
        <w:t>(such as transportation, professional advices, conservation and specialised storage systems</w:t>
      </w:r>
      <w:r w:rsidR="00801A32">
        <w:t>—</w:t>
      </w:r>
      <w:r>
        <w:t>including digital storage).</w:t>
      </w:r>
      <w:bookmarkEnd w:id="270"/>
    </w:p>
    <w:p w14:paraId="0A39BCB3" w14:textId="77777777" w:rsidR="00E5347D" w:rsidRDefault="00E5347D" w:rsidP="00393491">
      <w:pPr>
        <w:pStyle w:val="Subtitle"/>
        <w:keepNext/>
      </w:pPr>
      <w:r>
        <w:lastRenderedPageBreak/>
        <w:t>Survey Response</w:t>
      </w:r>
    </w:p>
    <w:p w14:paraId="0829389F" w14:textId="41F64B3C" w:rsidR="00B33AF7" w:rsidRDefault="00E5347D" w:rsidP="00393491">
      <w:pPr>
        <w:pStyle w:val="ListParagraph"/>
        <w:keepNext/>
        <w:ind w:left="0" w:firstLine="0"/>
      </w:pPr>
      <w:r>
        <w:t>80% of respondents agreed that the widening of the purpose of the National Cultural Heritage Account is appropriate.</w:t>
      </w:r>
    </w:p>
    <w:p w14:paraId="696DC434" w14:textId="6776CE49" w:rsidR="00B33AF7" w:rsidRDefault="00E5347D" w:rsidP="00393491">
      <w:pPr>
        <w:pStyle w:val="ListParagraph"/>
        <w:keepNext/>
        <w:ind w:left="0" w:firstLine="0"/>
      </w:pPr>
      <w:r w:rsidRPr="00C17362">
        <w:rPr>
          <w:noProof/>
          <w:lang w:eastAsia="en-AU"/>
        </w:rPr>
        <w:drawing>
          <wp:inline distT="0" distB="0" distL="0" distR="0" wp14:anchorId="53D4C5D2" wp14:editId="6914E24E">
            <wp:extent cx="2091559" cy="1793814"/>
            <wp:effectExtent l="0" t="0" r="4445" b="0"/>
            <wp:docPr id="674" name="Picture 674" descr="Respondent’s views on whether the widening of the purpose of the National Cultural Heritage Account is appropriate:&#10;&#10;80% Yes&#10;9% No&#10;12% Unsure&#10;" title="Figure 15 – Respondent’s views on whether the widening of the purpose of the National Cultural Heritage Account is appropr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096277" cy="1797861"/>
                    </a:xfrm>
                    <a:prstGeom prst="rect">
                      <a:avLst/>
                    </a:prstGeom>
                    <a:noFill/>
                    <a:ln>
                      <a:noFill/>
                    </a:ln>
                  </pic:spPr>
                </pic:pic>
              </a:graphicData>
            </a:graphic>
          </wp:inline>
        </w:drawing>
      </w:r>
    </w:p>
    <w:p w14:paraId="47DCEE69" w14:textId="7BA955BD" w:rsidR="00540235" w:rsidRPr="001B5D3A" w:rsidRDefault="00B33AF7" w:rsidP="00DC48E3">
      <w:pPr>
        <w:pStyle w:val="Caption"/>
        <w:ind w:left="284"/>
        <w:jc w:val="left"/>
        <w:rPr>
          <w:rFonts w:eastAsia="Arial Unicode MS" w:cs="Arial"/>
          <w:i/>
          <w:sz w:val="20"/>
          <w:szCs w:val="20"/>
          <w:vertAlign w:val="superscript"/>
        </w:rPr>
      </w:pPr>
      <w:r w:rsidRPr="00DC48E3">
        <w:rPr>
          <w:rFonts w:ascii="Arial" w:hAnsi="Arial" w:cs="Arial"/>
          <w:i/>
          <w:sz w:val="20"/>
          <w:szCs w:val="20"/>
        </w:rPr>
        <w:t>Figure 15</w:t>
      </w:r>
      <w:r w:rsidR="00801A32">
        <w:rPr>
          <w:rFonts w:ascii="Arial" w:hAnsi="Arial" w:cs="Arial"/>
          <w:i/>
          <w:sz w:val="20"/>
          <w:szCs w:val="20"/>
        </w:rPr>
        <w:t>—</w:t>
      </w:r>
      <w:r w:rsidR="00540235" w:rsidRPr="00DC48E3">
        <w:rPr>
          <w:rFonts w:ascii="Arial" w:hAnsi="Arial" w:cs="Arial"/>
          <w:i/>
          <w:sz w:val="20"/>
          <w:szCs w:val="20"/>
        </w:rPr>
        <w:t>Respondent</w:t>
      </w:r>
      <w:r w:rsidR="00C963C9" w:rsidRPr="00DC48E3">
        <w:rPr>
          <w:rFonts w:ascii="Arial" w:hAnsi="Arial" w:cs="Arial"/>
          <w:i/>
          <w:sz w:val="20"/>
          <w:szCs w:val="20"/>
        </w:rPr>
        <w:t>’</w:t>
      </w:r>
      <w:r w:rsidR="00540235" w:rsidRPr="00DC48E3">
        <w:rPr>
          <w:rFonts w:ascii="Arial" w:hAnsi="Arial" w:cs="Arial"/>
          <w:i/>
          <w:sz w:val="20"/>
          <w:szCs w:val="20"/>
        </w:rPr>
        <w:t>s views on whet</w:t>
      </w:r>
      <w:r w:rsidR="00C963C9" w:rsidRPr="00DC48E3">
        <w:rPr>
          <w:rFonts w:ascii="Arial" w:hAnsi="Arial" w:cs="Arial"/>
          <w:i/>
          <w:sz w:val="20"/>
          <w:szCs w:val="20"/>
        </w:rPr>
        <w:t>her the widening of the purpose</w:t>
      </w:r>
      <w:r w:rsidR="00540235" w:rsidRPr="00DC48E3">
        <w:rPr>
          <w:rFonts w:ascii="Arial" w:hAnsi="Arial" w:cs="Arial"/>
          <w:i/>
          <w:sz w:val="20"/>
          <w:szCs w:val="20"/>
        </w:rPr>
        <w:t xml:space="preserve"> of the National Cultural Heritage Account is appropriate</w:t>
      </w:r>
      <w:r w:rsidR="00540235">
        <w:rPr>
          <w:rFonts w:cs="Arial"/>
          <w:bCs w:val="0"/>
          <w:i/>
          <w:sz w:val="20"/>
          <w:szCs w:val="20"/>
        </w:rPr>
        <w:t>.</w:t>
      </w:r>
      <w:r w:rsidR="00540235">
        <w:rPr>
          <w:rStyle w:val="FootnoteReference"/>
          <w:rFonts w:cs="Arial"/>
          <w:bCs w:val="0"/>
          <w:i/>
          <w:sz w:val="20"/>
          <w:szCs w:val="20"/>
        </w:rPr>
        <w:footnoteReference w:id="67"/>
      </w:r>
    </w:p>
    <w:p w14:paraId="2D866361" w14:textId="0757648F" w:rsidR="001A20CD" w:rsidRDefault="001A20CD" w:rsidP="00E5347D">
      <w:pPr>
        <w:pStyle w:val="Heading3"/>
        <w:rPr>
          <w:lang w:eastAsia="en-AU"/>
        </w:rPr>
      </w:pPr>
      <w:bookmarkStart w:id="271" w:name="_Toc419455907"/>
      <w:bookmarkStart w:id="272" w:name="_Toc419448776"/>
      <w:r>
        <w:rPr>
          <w:lang w:eastAsia="en-AU"/>
        </w:rPr>
        <w:t>Decision-maker</w:t>
      </w:r>
      <w:bookmarkEnd w:id="271"/>
      <w:bookmarkEnd w:id="272"/>
    </w:p>
    <w:p w14:paraId="179F3EE2" w14:textId="77777777" w:rsidR="001A20CD" w:rsidRDefault="001A20CD" w:rsidP="001A20CD">
      <w:bookmarkStart w:id="273" w:name="_Toc419455908"/>
      <w:r>
        <w:t xml:space="preserve">Under the present legislation the decision to provide funds from the Account is made by the Minister, often after advice from the Committee. </w:t>
      </w:r>
      <w:bookmarkStart w:id="274" w:name="_Toc419455909"/>
      <w:bookmarkEnd w:id="273"/>
      <w:r>
        <w:t>To ensure the greatest effectiveness of the Account, the decision to provide funds should be retained by the Minister (and where appropriate by delegation, the Department). Where the Department or the Minister believes that the assessment of an application to the Account would benefit from external advice, it can seek advice from one or more experts on the Register or form a panel.</w:t>
      </w:r>
      <w:bookmarkEnd w:id="274"/>
    </w:p>
    <w:p w14:paraId="533C11E2" w14:textId="77777777" w:rsidR="001A20CD" w:rsidRDefault="001A20CD" w:rsidP="001A20CD">
      <w:bookmarkStart w:id="275" w:name="_Toc419455910"/>
      <w:r>
        <w:t>In making a decision on the use of funds from the Account, the Minister or delegate should have regard to</w:t>
      </w:r>
      <w:bookmarkStart w:id="276" w:name="_Toc419455912"/>
      <w:bookmarkEnd w:id="275"/>
      <w:r>
        <w:t xml:space="preserve"> the following:</w:t>
      </w:r>
    </w:p>
    <w:p w14:paraId="4286E444" w14:textId="77777777" w:rsidR="001A20CD" w:rsidRDefault="001A20CD" w:rsidP="00393491">
      <w:pPr>
        <w:pStyle w:val="ListParagraph"/>
        <w:numPr>
          <w:ilvl w:val="0"/>
          <w:numId w:val="40"/>
        </w:numPr>
        <w:ind w:left="567" w:hanging="567"/>
      </w:pPr>
      <w:r>
        <w:t>the significance of the material;</w:t>
      </w:r>
      <w:bookmarkStart w:id="277" w:name="_Toc419455913"/>
      <w:bookmarkEnd w:id="276"/>
    </w:p>
    <w:p w14:paraId="4BEFE463" w14:textId="77777777" w:rsidR="001A20CD" w:rsidRDefault="001A20CD" w:rsidP="00393491">
      <w:pPr>
        <w:pStyle w:val="ListParagraph"/>
        <w:numPr>
          <w:ilvl w:val="0"/>
          <w:numId w:val="40"/>
        </w:numPr>
        <w:ind w:left="567" w:hanging="567"/>
      </w:pPr>
      <w:r>
        <w:t>the suitability of the applicant organisation;</w:t>
      </w:r>
    </w:p>
    <w:p w14:paraId="4D198214" w14:textId="77777777" w:rsidR="001A20CD" w:rsidRDefault="001A20CD" w:rsidP="00393491">
      <w:pPr>
        <w:pStyle w:val="ListParagraph"/>
        <w:numPr>
          <w:ilvl w:val="0"/>
          <w:numId w:val="40"/>
        </w:numPr>
        <w:ind w:left="567" w:hanging="567"/>
      </w:pPr>
      <w:r>
        <w:t>the purpose for which the funding is sought; and</w:t>
      </w:r>
      <w:bookmarkStart w:id="278" w:name="_Toc419455915"/>
      <w:bookmarkEnd w:id="277"/>
    </w:p>
    <w:p w14:paraId="66A02A7B" w14:textId="77777777" w:rsidR="001A20CD" w:rsidRDefault="001A20CD" w:rsidP="00393491">
      <w:pPr>
        <w:pStyle w:val="ListParagraph"/>
        <w:numPr>
          <w:ilvl w:val="1"/>
          <w:numId w:val="40"/>
        </w:numPr>
        <w:ind w:left="1134" w:hanging="567"/>
      </w:pPr>
      <w:r>
        <w:t xml:space="preserve">where acquisition is the purpose, the establishment of a fair market value for the </w:t>
      </w:r>
      <w:bookmarkEnd w:id="278"/>
      <w:r>
        <w:t>material;</w:t>
      </w:r>
      <w:bookmarkStart w:id="279" w:name="_Toc419455916"/>
    </w:p>
    <w:p w14:paraId="298A9C22" w14:textId="77777777" w:rsidR="001A20CD" w:rsidRDefault="001A20CD" w:rsidP="00393491">
      <w:pPr>
        <w:pStyle w:val="ListParagraph"/>
        <w:numPr>
          <w:ilvl w:val="1"/>
          <w:numId w:val="40"/>
        </w:numPr>
        <w:ind w:left="1134" w:hanging="567"/>
      </w:pPr>
      <w:r>
        <w:lastRenderedPageBreak/>
        <w:t>where conservation or storage is the purpose of the application, establishing and taking into account</w:t>
      </w:r>
      <w:bookmarkEnd w:id="279"/>
      <w:r>
        <w:t xml:space="preserve"> </w:t>
      </w:r>
      <w:r>
        <w:rPr>
          <w:rFonts w:eastAsia="Times New Roman"/>
          <w:lang w:eastAsia="en-AU"/>
        </w:rPr>
        <w:t>the fair market value of the services; and</w:t>
      </w:r>
    </w:p>
    <w:p w14:paraId="459489F6" w14:textId="77777777" w:rsidR="001A20CD" w:rsidRPr="00E5098D" w:rsidRDefault="001A20CD" w:rsidP="00393491">
      <w:pPr>
        <w:pStyle w:val="ListParagraph"/>
        <w:numPr>
          <w:ilvl w:val="0"/>
          <w:numId w:val="41"/>
        </w:numPr>
        <w:ind w:left="567" w:hanging="567"/>
      </w:pPr>
      <w:proofErr w:type="gramStart"/>
      <w:r>
        <w:rPr>
          <w:rFonts w:eastAsia="Times New Roman"/>
          <w:lang w:eastAsia="en-AU"/>
        </w:rPr>
        <w:t>the</w:t>
      </w:r>
      <w:proofErr w:type="gramEnd"/>
      <w:r>
        <w:rPr>
          <w:rFonts w:eastAsia="Times New Roman"/>
          <w:lang w:eastAsia="en-AU"/>
        </w:rPr>
        <w:t xml:space="preserve"> source and amount of third party contributions to the project (noting that not all contributions will be financial).</w:t>
      </w:r>
      <w:bookmarkStart w:id="280" w:name="_Toc419455917"/>
      <w:bookmarkStart w:id="281" w:name="_Toc419448777"/>
      <w:r>
        <w:rPr>
          <w:rStyle w:val="FootnoteReference"/>
          <w:rFonts w:eastAsia="Times New Roman"/>
          <w:lang w:eastAsia="en-AU"/>
        </w:rPr>
        <w:footnoteReference w:id="68"/>
      </w:r>
    </w:p>
    <w:p w14:paraId="6E7D7263" w14:textId="77777777" w:rsidR="001A20CD" w:rsidRDefault="001A20CD" w:rsidP="00E5347D">
      <w:pPr>
        <w:pStyle w:val="Heading3"/>
      </w:pPr>
      <w:r>
        <w:t>Financial contributions to the Account</w:t>
      </w:r>
      <w:bookmarkEnd w:id="280"/>
      <w:bookmarkEnd w:id="281"/>
    </w:p>
    <w:p w14:paraId="5D9A3FDE" w14:textId="77777777" w:rsidR="001A20CD" w:rsidRDefault="001A20CD" w:rsidP="001A20CD">
      <w:bookmarkStart w:id="282" w:name="_Toc419455918"/>
      <w:r>
        <w:t>When the Act was initially drafted, the funding mechanism was to be through a fund with payments made by all levels of Government and private individuals. This mechanism was never realised and in 1999 the Act was amended to create the existing Account, solely funded by the Commonwealth.</w:t>
      </w:r>
      <w:bookmarkEnd w:id="282"/>
    </w:p>
    <w:p w14:paraId="019103E4" w14:textId="5868D91D" w:rsidR="001A20CD" w:rsidRDefault="001A20CD" w:rsidP="001A20CD">
      <w:bookmarkStart w:id="283" w:name="_Toc419455919"/>
      <w:r>
        <w:t>From time to time it has been suggested that the public be permitted to contribute to the Account and be enticed to do so by giving it Deductible Gift Recipient (DGR) status. This is not recommended. The public col</w:t>
      </w:r>
      <w:r w:rsidR="00A310E1">
        <w:t>lecting institutions or not-for-</w:t>
      </w:r>
      <w:r>
        <w:t>profit interest groups that are eligible to apply to the Account already have (or are usually entitled to) DGR status, it is therefore inappropriate to have a government fund competing with these organisations for philanthropic dollars.</w:t>
      </w:r>
      <w:bookmarkEnd w:id="283"/>
    </w:p>
    <w:p w14:paraId="32A2655E" w14:textId="77777777" w:rsidR="00AA7153" w:rsidRDefault="001A20CD" w:rsidP="001A20CD">
      <w:bookmarkStart w:id="284" w:name="_Toc419455921"/>
      <w:r>
        <w:t xml:space="preserve">Throughout the consultation period, stakeholders raised concerns with the amount of money available in the Account and that there was </w:t>
      </w:r>
      <w:proofErr w:type="gramStart"/>
      <w:r>
        <w:t>a disconnect</w:t>
      </w:r>
      <w:proofErr w:type="gramEnd"/>
      <w:r>
        <w:t xml:space="preserve"> between the process of denying permits and acquisition of the material under the Account.</w:t>
      </w:r>
    </w:p>
    <w:p w14:paraId="74D83D85" w14:textId="495E0E31" w:rsidR="001A20CD" w:rsidRDefault="001A20CD" w:rsidP="001A20CD">
      <w:r>
        <w:t>Since its fund</w:t>
      </w:r>
      <w:r w:rsidR="00A310E1">
        <w:t>ing</w:t>
      </w:r>
      <w:r>
        <w:t xml:space="preserve"> began in 2000 the quantum of the Account has remained unchanged. Given the market cost of important heritage material, $0.5m (the original allocation) is a very modest amount when attempting to purchase nationally significant cultural objects.</w:t>
      </w:r>
    </w:p>
    <w:p w14:paraId="754872EA" w14:textId="77777777" w:rsidR="00AA7153" w:rsidRDefault="001A20CD" w:rsidP="001A20CD">
      <w:r>
        <w:t xml:space="preserve">While there is great variation within international schemes of the same intent, it should be noted that the equivalent Canadian Government fund is </w:t>
      </w:r>
      <w:r w:rsidRPr="001C41C7">
        <w:t>$1.6m CAD</w:t>
      </w:r>
      <w:r>
        <w:t xml:space="preserve"> and that institutions in the United Kingdom have access to the very significant lottery fund.</w:t>
      </w:r>
      <w:bookmarkEnd w:id="284"/>
    </w:p>
    <w:p w14:paraId="3B43F8BE" w14:textId="55E149AF" w:rsidR="001A20CD" w:rsidRDefault="001A20CD" w:rsidP="001A20CD">
      <w:bookmarkStart w:id="285" w:name="_Toc419455922"/>
      <w:r>
        <w:t>Because of the current economic situation it is recommended that a very modest increase be made to the Australian Account</w:t>
      </w:r>
      <w:r w:rsidR="00AA7153">
        <w:t>—</w:t>
      </w:r>
      <w:r>
        <w:t xml:space="preserve">namely, that </w:t>
      </w:r>
      <w:r w:rsidR="00B33AF7">
        <w:t xml:space="preserve">the </w:t>
      </w:r>
      <w:r>
        <w:t>Government:</w:t>
      </w:r>
      <w:bookmarkStart w:id="286" w:name="_Toc419455923"/>
      <w:bookmarkEnd w:id="285"/>
    </w:p>
    <w:p w14:paraId="39AA6CE3" w14:textId="77777777" w:rsidR="001A20CD" w:rsidRDefault="001A20CD" w:rsidP="00393491">
      <w:pPr>
        <w:pStyle w:val="ListParagraph"/>
        <w:numPr>
          <w:ilvl w:val="0"/>
          <w:numId w:val="41"/>
        </w:numPr>
        <w:ind w:left="567" w:hanging="567"/>
      </w:pPr>
      <w:r>
        <w:lastRenderedPageBreak/>
        <w:t>makes an annual payment to the Account of $1m; and</w:t>
      </w:r>
      <w:bookmarkStart w:id="287" w:name="_Toc419455924"/>
      <w:bookmarkEnd w:id="286"/>
    </w:p>
    <w:p w14:paraId="5A200E77" w14:textId="77777777" w:rsidR="001A20CD" w:rsidRDefault="001A20CD" w:rsidP="00393491">
      <w:pPr>
        <w:pStyle w:val="ListParagraph"/>
        <w:numPr>
          <w:ilvl w:val="0"/>
          <w:numId w:val="41"/>
        </w:numPr>
        <w:ind w:left="567" w:hanging="567"/>
      </w:pPr>
      <w:proofErr w:type="gramStart"/>
      <w:r>
        <w:t>allows</w:t>
      </w:r>
      <w:proofErr w:type="gramEnd"/>
      <w:r>
        <w:t xml:space="preserve"> any unspent money at the end of the financial year to accumulate so that it is available in the following year.</w:t>
      </w:r>
      <w:bookmarkEnd w:id="287"/>
    </w:p>
    <w:p w14:paraId="3CE90621" w14:textId="77777777" w:rsidR="00AA7153" w:rsidRDefault="001A20CD" w:rsidP="001A20CD">
      <w:bookmarkStart w:id="288" w:name="_Toc419455925"/>
      <w:r>
        <w:t>This would allow the Account to be a more effective partner with organisations in the sector and thus give effect to one of the central intents of the legislation and the UNESCO Convention 1970.</w:t>
      </w:r>
      <w:bookmarkEnd w:id="288"/>
    </w:p>
    <w:p w14:paraId="68322DD4" w14:textId="77777777" w:rsidR="00AA7153" w:rsidRDefault="001A20CD" w:rsidP="001A20CD">
      <w:r>
        <w:t>There should also be a clear communication with the sector when material has been refused export, actively encouraging its acquisition (either with or without Account assistance) by an appropriate institution or organisation. While it is not the role of the Australian Government to guarantee the purchase of the material, it could facilitate discussions between the owner and appropriate bodies.</w:t>
      </w:r>
    </w:p>
    <w:p w14:paraId="29663C55" w14:textId="52255801" w:rsidR="00DB7404" w:rsidRDefault="00DB7404" w:rsidP="00393491">
      <w:pPr>
        <w:pStyle w:val="Subtitle"/>
        <w:keepNext/>
      </w:pPr>
      <w:r>
        <w:lastRenderedPageBreak/>
        <w:t>New export process flow chart</w:t>
      </w:r>
    </w:p>
    <w:p w14:paraId="0E1CC8AC" w14:textId="22C96EC2" w:rsidR="001A20CD" w:rsidRPr="00DC48E3" w:rsidRDefault="00B33AF7" w:rsidP="00C66090">
      <w:pPr>
        <w:keepNext/>
        <w:rPr>
          <w:rFonts w:eastAsia="Times New Roman" w:cs="Arial"/>
          <w:bCs/>
          <w:i/>
          <w:sz w:val="20"/>
          <w:szCs w:val="20"/>
          <w:lang w:eastAsia="en-AU"/>
        </w:rPr>
      </w:pPr>
      <w:r>
        <w:rPr>
          <w:noProof/>
          <w:lang w:eastAsia="en-AU"/>
        </w:rPr>
        <w:lastRenderedPageBreak/>
        <w:drawing>
          <wp:inline distT="0" distB="0" distL="0" distR="0" wp14:anchorId="3946D20F" wp14:editId="003BCEE0">
            <wp:extent cx="8169213" cy="5862097"/>
            <wp:effectExtent l="0" t="8573" r="0" b="0"/>
            <wp:docPr id="1" name="Picture 1" descr="Self Assessment&#10;&#10;The owner/agent needs to determine whether the object is Australian Heritage Material (AHM) through applying the new primary thresholds in the National Cultural Heritage Control List. Changes to the Control List include new thresholds for age and value, refined and coherent categories, removal of significance and representation from definitions and the Minister will have the discretion to override age and value thresholds. &#10;&#10;If the object is not AHM the owner may request a letter of clearance stating that no export permit is required. If the object is an AHO the applicant will then consider if the object is a Declared Australian Protected Material (DAPM), through checking the DAPM list, which contains all objects denied permanent export. If the object is a DAPM permanent export is prohibited unless an exception applies.&#10;&#10;If the object is not a DAPM the owner/agent should check if the object is covered by a General Permit. Under the new model eligibility will be extended to other trusted organisations. If the owner/agent has a relevant general permit, temporary export is permitted and the owner/agent will be required to report the export to the department.&#10;&#10;If the object is not covered by a General permit then the owner/agent will need to apply to the department for temporary or permanent export permit. This application will need to include detail on its current owner, the object and its provenance.&#10;&#10;Departmental Assessment&#10;&#10;The department will then carry out its preliminary assessment. The department will be empowered to issue temporary export permits for periods of less than six months without the need for a significance assessment, unless: it is uncertain whether the object is a DAPM, or there are concerns about the potential non-return of the object. &#10;&#10;In clear cases the department may deny the export permit or issue an export permit, which may be subject to conditions. If unclear the department will refer the application to two Expert Cultural Significance Assessors. The Expert’s role is to describe the significance of the object and provide information regarding representation. It is no longer the expert’s role to make recommendations as to export permission. &#10;&#10;If the assessors are unanimous in their significance assessment and the department is unconcerned with this assessment the department makes their decision on the application. If the assessors are not unanimous or if they are unanimous and the department is concerned with the assessment, the department will then seek further advice from the panel. The function of the panel is to provide flexible access to appropriate expertise and will be made up of experts from the Register of Cultural Property Experts. The department will consider the panel’s advice and make its decision.&#10;" title="Figure 16 - New export processes"/>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a:extLst>
                        <a:ext uri="{28A0092B-C50C-407E-A947-70E740481C1C}">
                          <a14:useLocalDpi xmlns:a14="http://schemas.microsoft.com/office/drawing/2010/main" val="0"/>
                        </a:ext>
                      </a:extLst>
                    </a:blip>
                    <a:stretch>
                      <a:fillRect/>
                    </a:stretch>
                  </pic:blipFill>
                  <pic:spPr bwMode="auto">
                    <a:xfrm rot="16200000">
                      <a:off x="0" y="0"/>
                      <a:ext cx="8169213" cy="5862097"/>
                    </a:xfrm>
                    <a:prstGeom prst="rect">
                      <a:avLst/>
                    </a:prstGeom>
                    <a:ln>
                      <a:noFill/>
                    </a:ln>
                    <a:extLst>
                      <a:ext uri="{53640926-AAD7-44D8-BBD7-CCE9431645EC}">
                        <a14:shadowObscured xmlns:a14="http://schemas.microsoft.com/office/drawing/2010/main"/>
                      </a:ext>
                    </a:extLst>
                  </pic:spPr>
                </pic:pic>
              </a:graphicData>
            </a:graphic>
          </wp:inline>
        </w:drawing>
      </w:r>
      <w:r w:rsidRPr="00DC48E3">
        <w:rPr>
          <w:rFonts w:eastAsia="Times New Roman" w:cs="Arial"/>
          <w:bCs/>
          <w:i/>
          <w:sz w:val="20"/>
          <w:szCs w:val="20"/>
          <w:lang w:eastAsia="en-AU"/>
        </w:rPr>
        <w:t>Figure 16</w:t>
      </w:r>
      <w:r w:rsidR="00801A32">
        <w:rPr>
          <w:rFonts w:eastAsia="Times New Roman" w:cs="Arial"/>
          <w:bCs/>
          <w:i/>
          <w:sz w:val="20"/>
          <w:szCs w:val="20"/>
          <w:lang w:eastAsia="en-AU"/>
        </w:rPr>
        <w:t>—</w:t>
      </w:r>
      <w:proofErr w:type="gramStart"/>
      <w:r w:rsidRPr="00DC48E3">
        <w:rPr>
          <w:rFonts w:eastAsia="Times New Roman" w:cs="Arial"/>
          <w:bCs/>
          <w:i/>
          <w:sz w:val="20"/>
          <w:szCs w:val="20"/>
          <w:lang w:eastAsia="en-AU"/>
        </w:rPr>
        <w:t>New</w:t>
      </w:r>
      <w:proofErr w:type="gramEnd"/>
      <w:r w:rsidRPr="00DC48E3">
        <w:rPr>
          <w:rFonts w:eastAsia="Times New Roman" w:cs="Arial"/>
          <w:bCs/>
          <w:i/>
          <w:sz w:val="20"/>
          <w:szCs w:val="20"/>
          <w:lang w:eastAsia="en-AU"/>
        </w:rPr>
        <w:t xml:space="preserve"> export process</w:t>
      </w:r>
    </w:p>
    <w:p w14:paraId="6D7EA041" w14:textId="77777777" w:rsidR="001A20CD" w:rsidRPr="00540235" w:rsidRDefault="001A20CD" w:rsidP="001A20CD">
      <w:pPr>
        <w:pStyle w:val="Heading1"/>
      </w:pPr>
      <w:bookmarkStart w:id="289" w:name="_Toc433906598"/>
      <w:r w:rsidRPr="00540235">
        <w:lastRenderedPageBreak/>
        <w:t>Part C: Protection of foreign cultural material</w:t>
      </w:r>
      <w:bookmarkEnd w:id="2"/>
      <w:bookmarkEnd w:id="289"/>
    </w:p>
    <w:p w14:paraId="2DD6D20E" w14:textId="77777777" w:rsidR="001A20CD" w:rsidRPr="009F16EB" w:rsidRDefault="001A20CD" w:rsidP="00052178">
      <w:pPr>
        <w:pStyle w:val="Heading2"/>
      </w:pPr>
      <w:bookmarkStart w:id="290" w:name="_Toc433906599"/>
      <w:r w:rsidRPr="009F16EB">
        <w:t>Australia’s international commitments</w:t>
      </w:r>
      <w:bookmarkEnd w:id="3"/>
      <w:bookmarkEnd w:id="290"/>
    </w:p>
    <w:p w14:paraId="69514409" w14:textId="26ACB8A1" w:rsidR="00AA7153" w:rsidRDefault="001A20CD" w:rsidP="001A20CD">
      <w:r w:rsidRPr="009F16EB">
        <w:t xml:space="preserve">Australia has made a long and deep commitment to the international community to protect cultural property. It was one of the original signatories to the UNESCO </w:t>
      </w:r>
      <w:r w:rsidRPr="009F16EB">
        <w:rPr>
          <w:i/>
        </w:rPr>
        <w:t xml:space="preserve">Convention for the Protection of Cultural Property in the Event of Armed Conflict </w:t>
      </w:r>
      <w:r w:rsidRPr="009F16EB">
        <w:t xml:space="preserve">1954 (the ‘Hague Convention 1954’) and in 1989 it ratified the UNESCO </w:t>
      </w:r>
      <w:r w:rsidRPr="009F16EB">
        <w:rPr>
          <w:i/>
        </w:rPr>
        <w:t xml:space="preserve">Convention on the Means of Prohibiting and Preventing the Illicit Import, Export and Transfer of Ownership of Cultural Property </w:t>
      </w:r>
      <w:r w:rsidRPr="009F16EB">
        <w:t>1970</w:t>
      </w:r>
      <w:r w:rsidRPr="009F16EB">
        <w:rPr>
          <w:i/>
        </w:rPr>
        <w:t xml:space="preserve"> </w:t>
      </w:r>
      <w:r w:rsidRPr="009F16EB">
        <w:t>(the ‘UNESCO</w:t>
      </w:r>
      <w:r w:rsidRPr="009F16EB">
        <w:rPr>
          <w:b/>
        </w:rPr>
        <w:t xml:space="preserve"> </w:t>
      </w:r>
      <w:r w:rsidRPr="009F16EB">
        <w:t>Convention</w:t>
      </w:r>
      <w:r w:rsidR="007C4781">
        <w:t xml:space="preserve"> 1970</w:t>
      </w:r>
      <w:r w:rsidRPr="009F16EB">
        <w:t xml:space="preserve">’), which is given domestic effect through the </w:t>
      </w:r>
      <w:r w:rsidRPr="009F16EB">
        <w:rPr>
          <w:i/>
        </w:rPr>
        <w:t xml:space="preserve">Protection of Movable Cultural Heritage Act 1986 </w:t>
      </w:r>
      <w:r w:rsidRPr="009F16EB">
        <w:t>(‘the Act’).</w:t>
      </w:r>
    </w:p>
    <w:p w14:paraId="680C1223" w14:textId="289B4FCD" w:rsidR="001A20CD" w:rsidRPr="009F16EB" w:rsidRDefault="001A20CD" w:rsidP="001A20CD">
      <w:r w:rsidRPr="009F16EB">
        <w:t>At the moment, the Act protects only foreign cultural material that has been illegally exported. It is paradoxical that it should provide an extensive mechanism solely for what is, in effect, the enforcement of a foreign administrative matter,</w:t>
      </w:r>
      <w:r w:rsidRPr="009F16EB">
        <w:rPr>
          <w:vertAlign w:val="superscript"/>
        </w:rPr>
        <w:footnoteReference w:id="69"/>
      </w:r>
      <w:r w:rsidRPr="009F16EB">
        <w:t xml:space="preserve"> while being silent as to material that has been stolen</w:t>
      </w:r>
      <w:r w:rsidRPr="009F16EB">
        <w:rPr>
          <w:vertAlign w:val="superscript"/>
        </w:rPr>
        <w:footnoteReference w:id="70"/>
      </w:r>
      <w:r w:rsidRPr="009F16EB">
        <w:t xml:space="preserve"> or looted from war zones.</w:t>
      </w:r>
      <w:r w:rsidRPr="009F16EB">
        <w:rPr>
          <w:vertAlign w:val="superscript"/>
        </w:rPr>
        <w:footnoteReference w:id="71"/>
      </w:r>
    </w:p>
    <w:p w14:paraId="3220A8D9" w14:textId="77777777" w:rsidR="001A20CD" w:rsidRPr="009F16EB" w:rsidRDefault="001A20CD" w:rsidP="001A20CD">
      <w:r w:rsidRPr="009F16EB">
        <w:t>That is not to say that Australia does not already have obligations under international humanitarian law to protect cultural property in the event of armed conflict. It does. These obligations may arise from:</w:t>
      </w:r>
    </w:p>
    <w:p w14:paraId="29FA6865" w14:textId="77777777" w:rsidR="001A20CD" w:rsidRPr="009F16EB" w:rsidRDefault="001A20CD" w:rsidP="0035682E">
      <w:pPr>
        <w:pStyle w:val="ListParagraph"/>
        <w:numPr>
          <w:ilvl w:val="0"/>
          <w:numId w:val="54"/>
        </w:numPr>
        <w:ind w:left="567" w:hanging="283"/>
      </w:pPr>
      <w:r w:rsidRPr="009F16EB">
        <w:t>the four Geneva Conventions of 1949 and the two Additional Protocols of 1977;</w:t>
      </w:r>
    </w:p>
    <w:p w14:paraId="0683C330" w14:textId="77777777" w:rsidR="001A20CD" w:rsidRPr="009F16EB" w:rsidRDefault="001A20CD" w:rsidP="0035682E">
      <w:pPr>
        <w:pStyle w:val="ListParagraph"/>
        <w:numPr>
          <w:ilvl w:val="0"/>
          <w:numId w:val="54"/>
        </w:numPr>
        <w:ind w:left="567" w:hanging="283"/>
      </w:pPr>
      <w:r w:rsidRPr="009F16EB">
        <w:t>the Hague Convention 1954;</w:t>
      </w:r>
    </w:p>
    <w:p w14:paraId="07E3A969" w14:textId="77777777" w:rsidR="001A20CD" w:rsidRPr="009F16EB" w:rsidRDefault="001A20CD" w:rsidP="0035682E">
      <w:pPr>
        <w:pStyle w:val="ListParagraph"/>
        <w:numPr>
          <w:ilvl w:val="0"/>
          <w:numId w:val="54"/>
        </w:numPr>
        <w:ind w:left="567" w:hanging="283"/>
      </w:pPr>
      <w:r w:rsidRPr="009F16EB">
        <w:t>the 1998 Rome Statute of the International Criminal Court; and</w:t>
      </w:r>
    </w:p>
    <w:p w14:paraId="43E6D1A0" w14:textId="77777777" w:rsidR="001A20CD" w:rsidRPr="009F16EB" w:rsidRDefault="001A20CD" w:rsidP="0035682E">
      <w:pPr>
        <w:pStyle w:val="ListParagraph"/>
        <w:numPr>
          <w:ilvl w:val="0"/>
          <w:numId w:val="54"/>
        </w:numPr>
        <w:ind w:left="567" w:hanging="283"/>
      </w:pPr>
      <w:proofErr w:type="gramStart"/>
      <w:r w:rsidRPr="009F16EB">
        <w:t>customary</w:t>
      </w:r>
      <w:proofErr w:type="gramEnd"/>
      <w:r w:rsidRPr="009F16EB">
        <w:t xml:space="preserve"> rules of international humanitarian law.</w:t>
      </w:r>
    </w:p>
    <w:p w14:paraId="0904AE9C" w14:textId="77777777" w:rsidR="001A20CD" w:rsidRPr="009F16EB" w:rsidRDefault="001A20CD" w:rsidP="001A20CD">
      <w:r w:rsidRPr="009F16EB">
        <w:t>In more recent times, Australia has supported Resolution 2199 of the United Nations Security Council urging member States to prevent the trade in items of cultural, scientific and religious importance illegally removed from Iraq and Syria during periods of conflict.</w:t>
      </w:r>
    </w:p>
    <w:p w14:paraId="13AB5517" w14:textId="77777777" w:rsidR="001A20CD" w:rsidRPr="009F16EB" w:rsidRDefault="001A20CD" w:rsidP="001A20CD">
      <w:r w:rsidRPr="009F16EB">
        <w:t xml:space="preserve">At the moment, the statutory reflection of these commitments is somewhat disjointed and piecemeal. Indeed, no Australian law specifically protects against the import of </w:t>
      </w:r>
      <w:r w:rsidRPr="009F16EB">
        <w:lastRenderedPageBreak/>
        <w:t>cultural material that has either been stolen or looted in time of war.</w:t>
      </w:r>
      <w:r w:rsidRPr="009F16EB">
        <w:rPr>
          <w:rStyle w:val="FootnoteReference"/>
        </w:rPr>
        <w:footnoteReference w:id="72"/>
      </w:r>
      <w:r w:rsidRPr="009F16EB">
        <w:t xml:space="preserve"> While the Act is the primary legislative tool by which Australia implements its commitments regarding movable cultural property, it only provides protection in regard to foreign cultural material that has been illegally exported from its country of origin.</w:t>
      </w:r>
      <w:r w:rsidRPr="009F16EB">
        <w:rPr>
          <w:rStyle w:val="FootnoteReference"/>
        </w:rPr>
        <w:footnoteReference w:id="73"/>
      </w:r>
    </w:p>
    <w:p w14:paraId="7AD3008B" w14:textId="77777777" w:rsidR="00AA7153" w:rsidRDefault="001A20CD" w:rsidP="001A20CD">
      <w:r w:rsidRPr="009F16EB">
        <w:t xml:space="preserve">Australia’s international obligations in relation to cultural property in wartime are implemented through the creation of specific criminal offences under the </w:t>
      </w:r>
      <w:r w:rsidRPr="009F16EB">
        <w:rPr>
          <w:i/>
        </w:rPr>
        <w:t>Crimes Act 1914</w:t>
      </w:r>
      <w:r w:rsidRPr="009F16EB">
        <w:t xml:space="preserve"> and </w:t>
      </w:r>
      <w:r w:rsidRPr="009F16EB">
        <w:rPr>
          <w:i/>
        </w:rPr>
        <w:t>Criminal Code Act 1995</w:t>
      </w:r>
      <w:r w:rsidRPr="009F16EB">
        <w:t xml:space="preserve"> and Security Council sanctions are enacted through Regulations to the </w:t>
      </w:r>
      <w:r w:rsidRPr="009F16EB">
        <w:rPr>
          <w:i/>
        </w:rPr>
        <w:t>Charter of the</w:t>
      </w:r>
      <w:r w:rsidRPr="009F16EB">
        <w:t xml:space="preserve"> </w:t>
      </w:r>
      <w:r w:rsidRPr="009F16EB">
        <w:rPr>
          <w:i/>
        </w:rPr>
        <w:t>United Nations Act 1945</w:t>
      </w:r>
      <w:r w:rsidRPr="009F16EB">
        <w:t>. Some obligations are implemented through non-legislative means (such as the Australian Defence Forces rules of engagement and training</w:t>
      </w:r>
      <w:r w:rsidR="00723270">
        <w:t>).</w:t>
      </w:r>
      <w:r w:rsidRPr="009F16EB">
        <w:rPr>
          <w:rStyle w:val="FootnoteReference"/>
        </w:rPr>
        <w:footnoteReference w:id="74"/>
      </w:r>
      <w:r w:rsidRPr="009F16EB">
        <w:t xml:space="preserve"> In the majority of these cases the various frameworks deal with the activity but not the return or restitution of cultural property that may be discovered in Australia.</w:t>
      </w:r>
    </w:p>
    <w:p w14:paraId="2FE2C7D0" w14:textId="77777777" w:rsidR="00AA7153" w:rsidRDefault="001A20CD" w:rsidP="001A20CD">
      <w:r w:rsidRPr="009F16EB">
        <w:t xml:space="preserve">The terms of reference for the Review directed consideration of the UNESCO Convention 1970, the intersection with the Hague Convention 1954 and whether other international conventions or practices could provide useful guidance. In looking at the broader international landscape, I have given consideration to the First and Second Protocols to the Hague Convention 1954 (‘Protocols’), United Nations Security Council Resolution 2199 and the UNIDROIT </w:t>
      </w:r>
      <w:r w:rsidRPr="009F16EB">
        <w:rPr>
          <w:i/>
        </w:rPr>
        <w:t>Convention on Stolen or Illegally Exported Cultural Objects</w:t>
      </w:r>
      <w:r w:rsidRPr="009F16EB">
        <w:t xml:space="preserve"> 1995 (‘UNIDROIT Convention 1995’).</w:t>
      </w:r>
    </w:p>
    <w:p w14:paraId="01897454" w14:textId="77777777" w:rsidR="00AA7153" w:rsidRDefault="001A20CD" w:rsidP="001A20CD">
      <w:r w:rsidRPr="009F16EB">
        <w:t xml:space="preserve">The analysis undertaken as part of this Review demonstrated that the present </w:t>
      </w:r>
      <w:r>
        <w:t>legislative</w:t>
      </w:r>
      <w:r w:rsidRPr="009F16EB">
        <w:t xml:space="preserve"> framework does not provide a coherent range of tools to assist law enforcement officers to deliver Australia’s obligations regarding the prevention of illicit trade in cultural material</w:t>
      </w:r>
      <w:r>
        <w:t xml:space="preserve">. </w:t>
      </w:r>
      <w:r w:rsidRPr="009F16EB">
        <w:t>The need for a comprehensive legislative framework that articulates Australia’s commitment to principle and that confers corresponding powers</w:t>
      </w:r>
      <w:r w:rsidRPr="009F16EB">
        <w:rPr>
          <w:rStyle w:val="FootnoteReference"/>
        </w:rPr>
        <w:footnoteReference w:id="75"/>
      </w:r>
      <w:r w:rsidRPr="009F16EB">
        <w:t xml:space="preserve"> has been recently highlighted by the role that looted and stolen cultural </w:t>
      </w:r>
      <w:r w:rsidRPr="009F16EB">
        <w:lastRenderedPageBreak/>
        <w:t>material plays in the destruction of the heritage of our international colleagues and in the funding of terrorist groups.</w:t>
      </w:r>
      <w:r w:rsidRPr="009F16EB">
        <w:rPr>
          <w:vertAlign w:val="superscript"/>
        </w:rPr>
        <w:footnoteReference w:id="76"/>
      </w:r>
    </w:p>
    <w:p w14:paraId="497BF598" w14:textId="2A184E88" w:rsidR="001A20CD" w:rsidRPr="009F16EB" w:rsidRDefault="001A20CD" w:rsidP="00052178">
      <w:pPr>
        <w:pStyle w:val="Heading2"/>
      </w:pPr>
      <w:bookmarkStart w:id="291" w:name="_Toc433906600"/>
      <w:r w:rsidRPr="009F16EB">
        <w:t>International Landscape</w:t>
      </w:r>
      <w:bookmarkEnd w:id="291"/>
    </w:p>
    <w:p w14:paraId="3389AA87" w14:textId="3BED96C0" w:rsidR="001A20CD" w:rsidRPr="009F16EB" w:rsidRDefault="001A20CD" w:rsidP="001A20CD">
      <w:r w:rsidRPr="009F16EB">
        <w:t xml:space="preserve">There has been a long history of international attempts to provide protection to cultural property. Given that cultural property is one of the principal mechanisms by which we create, maintain and describe identity, it is unsurprising that parties to </w:t>
      </w:r>
      <w:r w:rsidR="00761CBF">
        <w:t>international and non-international</w:t>
      </w:r>
      <w:r w:rsidRPr="009F16EB">
        <w:t xml:space="preserve"> armed conflicts recognise the strategic value of cultural property. To threaten the cultural property of the opponent is to threaten its identity and it is this poignant link between cultural property and cultural identity that so often imperils the former in the service of the latter.</w:t>
      </w:r>
    </w:p>
    <w:p w14:paraId="435FBC82" w14:textId="77777777" w:rsidR="001A20CD" w:rsidRPr="009F16EB" w:rsidRDefault="001A20CD" w:rsidP="001A20CD">
      <w:r w:rsidRPr="009F16EB">
        <w:t>It is because of its powerful link with identity that cultural property often has a strategic function in armed conflicts. In past and even current conflicts, it appears to have been used by combatants as a bargaining tool; its destruction as a weapon; its theft as the rightful prize of the champion. Indeed, for many centuries, cultural property was seen as one of the spoils that went to the victor and many of the great museums are filled with such prizes, self-awarded to the victorious. Not only were they a way of financing the cost of war, they also provided an eloquent symbol of power and success to the victor’s public and, at the same time, a proof of military and cultural inferiority to the public of the vanquished.</w:t>
      </w:r>
    </w:p>
    <w:p w14:paraId="6DE8708B" w14:textId="77777777" w:rsidR="00AA7153" w:rsidRDefault="001A20CD" w:rsidP="001A20CD">
      <w:r w:rsidRPr="009F16EB">
        <w:t>It was not until the nineteenth century that debate started as to the appropriateness of such conduct.</w:t>
      </w:r>
      <w:r w:rsidRPr="009F16EB">
        <w:rPr>
          <w:vertAlign w:val="superscript"/>
        </w:rPr>
        <w:footnoteReference w:id="77"/>
      </w:r>
      <w:r w:rsidRPr="009F16EB">
        <w:t xml:space="preserve"> Perhaps the most important catalyst for this debate was the promulgation of the </w:t>
      </w:r>
      <w:proofErr w:type="spellStart"/>
      <w:r w:rsidRPr="009F16EB">
        <w:rPr>
          <w:i/>
        </w:rPr>
        <w:t>Lieber</w:t>
      </w:r>
      <w:proofErr w:type="spellEnd"/>
      <w:r w:rsidRPr="009F16EB">
        <w:rPr>
          <w:i/>
        </w:rPr>
        <w:t xml:space="preserve"> Code</w:t>
      </w:r>
      <w:r w:rsidRPr="009F16EB">
        <w:t xml:space="preserve"> by Abraham Lincoln in 1863, which, in part, stated:</w:t>
      </w:r>
    </w:p>
    <w:p w14:paraId="6DA8BBE2" w14:textId="77777777" w:rsidR="00AA7153" w:rsidRDefault="001A20CD" w:rsidP="00C66090">
      <w:pPr>
        <w:ind w:left="567" w:right="946"/>
        <w:rPr>
          <w:i/>
          <w:sz w:val="20"/>
          <w:szCs w:val="20"/>
        </w:rPr>
      </w:pPr>
      <w:r w:rsidRPr="00273139">
        <w:rPr>
          <w:i/>
          <w:sz w:val="20"/>
          <w:szCs w:val="20"/>
        </w:rPr>
        <w:t>Classical works of art, libraries, scientific collections, or precious instruments such as astronomical telescopes, as well as hospitals, must be secured against all avoidable injury, even when they are contained in fortified places whilst besieged or bombarded.</w:t>
      </w:r>
    </w:p>
    <w:p w14:paraId="1E1BF7DA" w14:textId="6A02CE79" w:rsidR="00AA7153" w:rsidRDefault="001A20CD" w:rsidP="001A20CD">
      <w:r w:rsidRPr="009F16EB">
        <w:lastRenderedPageBreak/>
        <w:t>However, the Code went on to ‘recognise’ that the conquering nation had the right to remove works of art, libraries and scientific collections belonging to the hostile nation.</w:t>
      </w:r>
      <w:r w:rsidRPr="009F16EB">
        <w:rPr>
          <w:vertAlign w:val="superscript"/>
        </w:rPr>
        <w:footnoteReference w:id="78"/>
      </w:r>
      <w:r w:rsidRPr="009F16EB">
        <w:t xml:space="preserve"> This initiative was followed over the years by various treaties and declarations. The most important of these were the </w:t>
      </w:r>
      <w:r w:rsidRPr="009F16EB">
        <w:rPr>
          <w:i/>
        </w:rPr>
        <w:t>Declaration of Brussels</w:t>
      </w:r>
      <w:r w:rsidRPr="009F16EB">
        <w:t xml:space="preserve"> of 27 August 1874,</w:t>
      </w:r>
      <w:r w:rsidRPr="009F16EB">
        <w:rPr>
          <w:vertAlign w:val="superscript"/>
        </w:rPr>
        <w:footnoteReference w:id="79"/>
      </w:r>
      <w:r w:rsidRPr="009F16EB">
        <w:t xml:space="preserve"> the 1907 Hague Convention</w:t>
      </w:r>
      <w:r w:rsidRPr="009F16EB">
        <w:rPr>
          <w:i/>
        </w:rPr>
        <w:t xml:space="preserve"> Respecting the Laws and Customs of War on Land</w:t>
      </w:r>
      <w:r w:rsidRPr="009F16EB">
        <w:rPr>
          <w:vertAlign w:val="superscript"/>
        </w:rPr>
        <w:footnoteReference w:id="80"/>
      </w:r>
      <w:r w:rsidRPr="009F16EB">
        <w:t xml:space="preserve"> and the </w:t>
      </w:r>
      <w:r w:rsidRPr="009F16EB">
        <w:rPr>
          <w:i/>
        </w:rPr>
        <w:t>Roerich Pact</w:t>
      </w:r>
      <w:r w:rsidRPr="009F16EB">
        <w:t xml:space="preserve"> of 1935.</w:t>
      </w:r>
      <w:r w:rsidRPr="009F16EB">
        <w:rPr>
          <w:vertAlign w:val="superscript"/>
        </w:rPr>
        <w:footnoteReference w:id="81"/>
      </w:r>
      <w:r w:rsidRPr="009F16EB">
        <w:t xml:space="preserve"> The promulgation of such rules did little to protect cultural material from destruction and looting in the wars that followed them but to the extent that they were responsible for saving any, we can be grateful.</w:t>
      </w:r>
    </w:p>
    <w:p w14:paraId="111F8953" w14:textId="7D3CBC97" w:rsidR="001A20CD" w:rsidRPr="009F16EB" w:rsidRDefault="001A20CD" w:rsidP="001A20CD">
      <w:r w:rsidRPr="009F16EB">
        <w:t>Currently, the international landscape includes both overarching international conventions to provide protection for cultural material in both times of war and peace (such as the UNESCO Convention 1970 and the Hague Convention 1954) and targeted agreements for specific situations (such as United Nations Security Council Resolution 2199).</w:t>
      </w:r>
    </w:p>
    <w:p w14:paraId="01E3DD2B" w14:textId="51C16750" w:rsidR="001A20CD" w:rsidRPr="009F16EB" w:rsidRDefault="00761CBF" w:rsidP="00DC48E3">
      <w:pPr>
        <w:pStyle w:val="Heading3"/>
      </w:pPr>
      <w:r>
        <w:t>UNESCO Convention 1970</w:t>
      </w:r>
    </w:p>
    <w:p w14:paraId="1DA86DF3" w14:textId="77777777" w:rsidR="001A20CD" w:rsidRPr="009F16EB" w:rsidRDefault="001A20CD" w:rsidP="001A20CD">
      <w:pPr>
        <w:pStyle w:val="Default"/>
        <w:rPr>
          <w:rFonts w:ascii="Arial" w:hAnsi="Arial" w:cstheme="minorHAnsi"/>
        </w:rPr>
      </w:pPr>
    </w:p>
    <w:p w14:paraId="618EC703" w14:textId="62148A13" w:rsidR="001A20CD" w:rsidRPr="009F16EB" w:rsidRDefault="001A20CD" w:rsidP="001A20CD">
      <w:r w:rsidRPr="009F16EB">
        <w:t>The UNESCO Convention 1970 was adopted by the General Conference of UNESCO on 14 November 1970</w:t>
      </w:r>
      <w:bookmarkStart w:id="292" w:name="1"/>
      <w:r w:rsidRPr="009F16EB">
        <w:t xml:space="preserve">, </w:t>
      </w:r>
      <w:bookmarkEnd w:id="292"/>
      <w:r w:rsidRPr="009F16EB">
        <w:t xml:space="preserve">and entered into force on 24 April 1972. It was the first </w:t>
      </w:r>
      <w:r>
        <w:t xml:space="preserve">truly </w:t>
      </w:r>
      <w:r w:rsidRPr="009F16EB">
        <w:t>international legal framework for the fight against the illicit trafficking of cultural property in times of peace. It has been ratified by 129 countries, including 39 States in the last decade.</w:t>
      </w:r>
    </w:p>
    <w:p w14:paraId="3D75B6BA" w14:textId="77777777" w:rsidR="001A20CD" w:rsidRPr="009F16EB" w:rsidRDefault="001A20CD" w:rsidP="001A20CD">
      <w:r w:rsidRPr="009F16EB">
        <w:lastRenderedPageBreak/>
        <w:t>Australia accepted the Convention on 30 October 1989, effective from 30 January 1990, following the enactment of the current Act which gives the Convention force in Australian law.</w:t>
      </w:r>
    </w:p>
    <w:p w14:paraId="67EFC1FA" w14:textId="77777777" w:rsidR="001A20CD" w:rsidRPr="009F16EB" w:rsidRDefault="001A20CD" w:rsidP="001A20CD">
      <w:r w:rsidRPr="009F16EB">
        <w:t>The Convention requires its State Parties to take action in the following main fields.</w:t>
      </w:r>
    </w:p>
    <w:p w14:paraId="73F18DCD" w14:textId="77777777" w:rsidR="001A20CD" w:rsidRPr="009F16EB" w:rsidRDefault="001A20CD" w:rsidP="00DC48E3">
      <w:pPr>
        <w:pStyle w:val="Heading4"/>
        <w:rPr>
          <w:lang w:eastAsia="en-AU"/>
        </w:rPr>
      </w:pPr>
      <w:r w:rsidRPr="00DC48E3">
        <w:t>Preventive</w:t>
      </w:r>
      <w:r w:rsidRPr="009F16EB">
        <w:rPr>
          <w:lang w:eastAsia="en-AU"/>
        </w:rPr>
        <w:t xml:space="preserve"> measures</w:t>
      </w:r>
    </w:p>
    <w:p w14:paraId="14D9E697" w14:textId="77777777" w:rsidR="001A20CD" w:rsidRPr="009F16EB" w:rsidRDefault="001A20CD" w:rsidP="001A20CD">
      <w:pPr>
        <w:rPr>
          <w:lang w:eastAsia="en-AU"/>
        </w:rPr>
      </w:pPr>
      <w:r w:rsidRPr="009F16EB">
        <w:rPr>
          <w:lang w:eastAsia="en-AU"/>
        </w:rPr>
        <w:t>State Parties are expected to set a culture which acknowledges the importance of culture (both its own and that of others) and provide adequate protection measures for its own cultural property.</w:t>
      </w:r>
    </w:p>
    <w:p w14:paraId="066FDEBD" w14:textId="77777777" w:rsidR="001A20CD" w:rsidRPr="009F16EB" w:rsidRDefault="001A20CD" w:rsidP="001A20CD">
      <w:pPr>
        <w:rPr>
          <w:rFonts w:eastAsia="Times New Roman"/>
          <w:szCs w:val="24"/>
          <w:lang w:eastAsia="en-AU"/>
        </w:rPr>
      </w:pPr>
      <w:r w:rsidRPr="009F16EB">
        <w:rPr>
          <w:color w:val="000000"/>
          <w:szCs w:val="24"/>
          <w:lang w:eastAsia="en-AU"/>
        </w:rPr>
        <w:t>This may be done by:</w:t>
      </w:r>
    </w:p>
    <w:p w14:paraId="489530C7" w14:textId="77777777" w:rsidR="00AA7153" w:rsidRDefault="001A20CD" w:rsidP="00C66090">
      <w:pPr>
        <w:pStyle w:val="ListParagraph"/>
        <w:numPr>
          <w:ilvl w:val="0"/>
          <w:numId w:val="51"/>
        </w:numPr>
        <w:ind w:left="567" w:hanging="567"/>
        <w:rPr>
          <w:color w:val="000000"/>
          <w:szCs w:val="24"/>
        </w:rPr>
      </w:pPr>
      <w:r w:rsidRPr="009F16EB">
        <w:rPr>
          <w:color w:val="000000"/>
          <w:szCs w:val="24"/>
        </w:rPr>
        <w:t>enacting appropriate national legislation;</w:t>
      </w:r>
    </w:p>
    <w:p w14:paraId="40A75648" w14:textId="77777777" w:rsidR="00AA7153" w:rsidRDefault="001A20CD" w:rsidP="00C66090">
      <w:pPr>
        <w:pStyle w:val="ListParagraph"/>
        <w:numPr>
          <w:ilvl w:val="0"/>
          <w:numId w:val="51"/>
        </w:numPr>
        <w:ind w:left="567" w:hanging="567"/>
        <w:rPr>
          <w:rFonts w:eastAsia="Times New Roman"/>
          <w:color w:val="000000"/>
          <w:szCs w:val="24"/>
          <w:lang w:eastAsia="en-AU"/>
        </w:rPr>
      </w:pPr>
      <w:r w:rsidRPr="009F16EB">
        <w:rPr>
          <w:rFonts w:eastAsia="Times New Roman"/>
          <w:color w:val="000000"/>
          <w:szCs w:val="24"/>
          <w:lang w:eastAsia="en-AU"/>
        </w:rPr>
        <w:t>establishing national services for the protection of cultural heritage;</w:t>
      </w:r>
    </w:p>
    <w:p w14:paraId="48EF0587" w14:textId="1E7D1BFC" w:rsidR="001A20CD" w:rsidRPr="009F16EB" w:rsidRDefault="001A20CD" w:rsidP="00C66090">
      <w:pPr>
        <w:pStyle w:val="ListParagraph"/>
        <w:numPr>
          <w:ilvl w:val="0"/>
          <w:numId w:val="51"/>
        </w:numPr>
        <w:ind w:left="567" w:hanging="567"/>
        <w:rPr>
          <w:rFonts w:eastAsia="Times New Roman"/>
          <w:color w:val="000000"/>
          <w:szCs w:val="24"/>
          <w:lang w:eastAsia="en-AU"/>
        </w:rPr>
      </w:pPr>
      <w:r w:rsidRPr="009F16EB">
        <w:rPr>
          <w:rFonts w:eastAsia="Times New Roman"/>
          <w:color w:val="000000"/>
          <w:szCs w:val="24"/>
          <w:lang w:eastAsia="en-AU"/>
        </w:rPr>
        <w:t>promoting museums, libraries, archives;</w:t>
      </w:r>
    </w:p>
    <w:p w14:paraId="6E06B7DB" w14:textId="77777777" w:rsidR="00AA7153" w:rsidRDefault="001A20CD" w:rsidP="00C66090">
      <w:pPr>
        <w:pStyle w:val="ListParagraph"/>
        <w:numPr>
          <w:ilvl w:val="0"/>
          <w:numId w:val="51"/>
        </w:numPr>
        <w:ind w:left="567" w:hanging="567"/>
        <w:rPr>
          <w:rFonts w:eastAsia="Times New Roman"/>
          <w:color w:val="000000"/>
          <w:szCs w:val="24"/>
          <w:lang w:eastAsia="en-AU"/>
        </w:rPr>
      </w:pPr>
      <w:r w:rsidRPr="009F16EB">
        <w:rPr>
          <w:rFonts w:eastAsia="Times New Roman"/>
          <w:color w:val="000000"/>
          <w:szCs w:val="24"/>
          <w:lang w:eastAsia="en-AU"/>
        </w:rPr>
        <w:t>establishing national inventories;</w:t>
      </w:r>
    </w:p>
    <w:p w14:paraId="282772BF" w14:textId="77777777" w:rsidR="00AA7153" w:rsidRDefault="001A20CD" w:rsidP="00C66090">
      <w:pPr>
        <w:pStyle w:val="ListParagraph"/>
        <w:numPr>
          <w:ilvl w:val="0"/>
          <w:numId w:val="51"/>
        </w:numPr>
        <w:ind w:left="567" w:hanging="567"/>
        <w:rPr>
          <w:rFonts w:eastAsia="Times New Roman"/>
          <w:color w:val="000000"/>
          <w:szCs w:val="24"/>
          <w:lang w:eastAsia="en-AU"/>
        </w:rPr>
      </w:pPr>
      <w:r w:rsidRPr="009F16EB">
        <w:rPr>
          <w:rFonts w:eastAsia="Times New Roman"/>
          <w:color w:val="000000"/>
          <w:szCs w:val="24"/>
          <w:lang w:eastAsia="en-AU"/>
        </w:rPr>
        <w:t>encouraging the adoption of codes of conduct for dealers in cultural property; and</w:t>
      </w:r>
    </w:p>
    <w:p w14:paraId="51090A3D" w14:textId="77777777" w:rsidR="00AA7153" w:rsidRDefault="001A20CD" w:rsidP="00C66090">
      <w:pPr>
        <w:pStyle w:val="ListParagraph"/>
        <w:numPr>
          <w:ilvl w:val="0"/>
          <w:numId w:val="51"/>
        </w:numPr>
        <w:ind w:left="567" w:hanging="567"/>
        <w:rPr>
          <w:rFonts w:eastAsia="Times New Roman"/>
          <w:color w:val="000000"/>
          <w:szCs w:val="24"/>
          <w:lang w:eastAsia="en-AU"/>
        </w:rPr>
      </w:pPr>
      <w:proofErr w:type="gramStart"/>
      <w:r w:rsidRPr="009F16EB">
        <w:rPr>
          <w:rFonts w:eastAsia="Times New Roman"/>
          <w:color w:val="000000"/>
          <w:szCs w:val="24"/>
          <w:lang w:eastAsia="en-AU"/>
        </w:rPr>
        <w:t>implementing</w:t>
      </w:r>
      <w:proofErr w:type="gramEnd"/>
      <w:r w:rsidRPr="009F16EB">
        <w:rPr>
          <w:rFonts w:eastAsia="Times New Roman"/>
          <w:color w:val="000000"/>
          <w:szCs w:val="24"/>
          <w:lang w:eastAsia="en-AU"/>
        </w:rPr>
        <w:t xml:space="preserve"> educational programmes to develop respect for cultural heritage.</w:t>
      </w:r>
    </w:p>
    <w:p w14:paraId="79C87FB1" w14:textId="77777777" w:rsidR="00AA7153" w:rsidRDefault="001A20CD" w:rsidP="001A20CD">
      <w:pPr>
        <w:rPr>
          <w:color w:val="000000"/>
          <w:szCs w:val="24"/>
          <w:lang w:eastAsia="en-AU"/>
        </w:rPr>
      </w:pPr>
      <w:r w:rsidRPr="009F16EB">
        <w:rPr>
          <w:color w:val="000000"/>
          <w:szCs w:val="24"/>
          <w:lang w:eastAsia="en-AU"/>
        </w:rPr>
        <w:t xml:space="preserve">State Parties </w:t>
      </w:r>
      <w:r>
        <w:rPr>
          <w:color w:val="000000"/>
          <w:szCs w:val="24"/>
          <w:lang w:eastAsia="en-AU"/>
        </w:rPr>
        <w:t>are also required</w:t>
      </w:r>
      <w:r w:rsidRPr="009F16EB">
        <w:rPr>
          <w:color w:val="000000"/>
          <w:szCs w:val="24"/>
          <w:lang w:eastAsia="en-AU"/>
        </w:rPr>
        <w:t xml:space="preserve"> </w:t>
      </w:r>
      <w:r>
        <w:rPr>
          <w:color w:val="000000"/>
          <w:szCs w:val="24"/>
          <w:lang w:eastAsia="en-AU"/>
        </w:rPr>
        <w:t xml:space="preserve">to </w:t>
      </w:r>
      <w:r w:rsidRPr="009F16EB">
        <w:rPr>
          <w:color w:val="000000"/>
          <w:szCs w:val="24"/>
          <w:lang w:eastAsia="en-AU"/>
        </w:rPr>
        <w:t>take steps to control the movement of cultural property across its borders. This may be done by:</w:t>
      </w:r>
    </w:p>
    <w:p w14:paraId="3BE1E7C9" w14:textId="77777777" w:rsidR="00AA7153" w:rsidRDefault="001A20CD" w:rsidP="00C66090">
      <w:pPr>
        <w:pStyle w:val="ListParagraph"/>
        <w:numPr>
          <w:ilvl w:val="0"/>
          <w:numId w:val="52"/>
        </w:numPr>
        <w:ind w:left="567" w:hanging="567"/>
        <w:rPr>
          <w:rFonts w:eastAsia="Times New Roman"/>
          <w:color w:val="000000"/>
          <w:szCs w:val="24"/>
          <w:lang w:eastAsia="en-AU"/>
        </w:rPr>
      </w:pPr>
      <w:r w:rsidRPr="009F16EB">
        <w:rPr>
          <w:rFonts w:eastAsia="Times New Roman"/>
          <w:color w:val="000000"/>
          <w:szCs w:val="24"/>
          <w:lang w:eastAsia="en-AU"/>
        </w:rPr>
        <w:t>introducing a system of export certificates;</w:t>
      </w:r>
    </w:p>
    <w:p w14:paraId="7EC868FF" w14:textId="77777777" w:rsidR="00AA7153" w:rsidRDefault="001A20CD" w:rsidP="00C66090">
      <w:pPr>
        <w:pStyle w:val="ListParagraph"/>
        <w:numPr>
          <w:ilvl w:val="0"/>
          <w:numId w:val="52"/>
        </w:numPr>
        <w:ind w:left="567" w:hanging="567"/>
        <w:rPr>
          <w:rFonts w:eastAsia="Times New Roman"/>
          <w:color w:val="000000"/>
          <w:szCs w:val="24"/>
          <w:lang w:eastAsia="en-AU"/>
        </w:rPr>
      </w:pPr>
      <w:r w:rsidRPr="009F16EB">
        <w:rPr>
          <w:rFonts w:eastAsia="Times New Roman"/>
          <w:color w:val="000000"/>
          <w:szCs w:val="24"/>
          <w:lang w:eastAsia="en-AU"/>
        </w:rPr>
        <w:t>prohibiting the export of cultural property unless it is accompanied by an export certificate;</w:t>
      </w:r>
    </w:p>
    <w:p w14:paraId="2EC231B8" w14:textId="77777777" w:rsidR="00AA7153" w:rsidRDefault="001A20CD" w:rsidP="00C66090">
      <w:pPr>
        <w:pStyle w:val="ListParagraph"/>
        <w:numPr>
          <w:ilvl w:val="0"/>
          <w:numId w:val="52"/>
        </w:numPr>
        <w:ind w:left="567" w:hanging="567"/>
        <w:rPr>
          <w:rFonts w:eastAsia="Times New Roman"/>
          <w:color w:val="000000"/>
          <w:szCs w:val="24"/>
          <w:lang w:eastAsia="en-AU"/>
        </w:rPr>
      </w:pPr>
      <w:r w:rsidRPr="009F16EB">
        <w:rPr>
          <w:rFonts w:eastAsia="Times New Roman"/>
          <w:color w:val="000000"/>
          <w:szCs w:val="24"/>
          <w:lang w:eastAsia="en-AU"/>
        </w:rPr>
        <w:t>preventing museums from buying objects exported from another State Party without an export certificate;</w:t>
      </w:r>
    </w:p>
    <w:p w14:paraId="10DC497C" w14:textId="6970FDB7" w:rsidR="001A20CD" w:rsidRPr="009F16EB" w:rsidRDefault="001A20CD" w:rsidP="00C66090">
      <w:pPr>
        <w:pStyle w:val="ListParagraph"/>
        <w:numPr>
          <w:ilvl w:val="0"/>
          <w:numId w:val="52"/>
        </w:numPr>
        <w:ind w:left="567" w:hanging="567"/>
        <w:rPr>
          <w:rFonts w:eastAsia="Times New Roman"/>
          <w:color w:val="000000"/>
          <w:szCs w:val="24"/>
          <w:lang w:eastAsia="en-AU"/>
        </w:rPr>
      </w:pPr>
      <w:r w:rsidRPr="009F16EB">
        <w:rPr>
          <w:rFonts w:eastAsia="Times New Roman"/>
          <w:color w:val="000000"/>
          <w:szCs w:val="24"/>
          <w:lang w:eastAsia="en-AU"/>
        </w:rPr>
        <w:t>prohibiting the import of objects stolen from museums, religious institutions or public monuments; and</w:t>
      </w:r>
    </w:p>
    <w:p w14:paraId="1A367AC3" w14:textId="77777777" w:rsidR="00AA7153" w:rsidRDefault="001A20CD" w:rsidP="00C66090">
      <w:pPr>
        <w:pStyle w:val="ListParagraph"/>
        <w:numPr>
          <w:ilvl w:val="0"/>
          <w:numId w:val="52"/>
        </w:numPr>
        <w:ind w:left="567" w:hanging="567"/>
        <w:rPr>
          <w:rFonts w:eastAsia="Times New Roman"/>
          <w:color w:val="000000"/>
          <w:szCs w:val="24"/>
          <w:lang w:eastAsia="en-AU"/>
        </w:rPr>
      </w:pPr>
      <w:proofErr w:type="gramStart"/>
      <w:r w:rsidRPr="009F16EB">
        <w:rPr>
          <w:rFonts w:eastAsia="Times New Roman"/>
          <w:color w:val="000000"/>
          <w:szCs w:val="24"/>
          <w:lang w:eastAsia="en-AU"/>
        </w:rPr>
        <w:t>imposing</w:t>
      </w:r>
      <w:proofErr w:type="gramEnd"/>
      <w:r w:rsidRPr="009F16EB">
        <w:rPr>
          <w:rFonts w:eastAsia="Times New Roman"/>
          <w:color w:val="000000"/>
          <w:szCs w:val="24"/>
          <w:lang w:eastAsia="en-AU"/>
        </w:rPr>
        <w:t xml:space="preserve"> penal sanctions on any person contravening these prohibitions. </w:t>
      </w:r>
    </w:p>
    <w:p w14:paraId="721C35CA" w14:textId="6AFA2A52" w:rsidR="001A20CD" w:rsidRPr="009F16EB" w:rsidRDefault="001A20CD" w:rsidP="001A20CD">
      <w:pPr>
        <w:rPr>
          <w:rFonts w:eastAsia="Times New Roman"/>
          <w:color w:val="000000"/>
          <w:szCs w:val="24"/>
          <w:lang w:val="en" w:eastAsia="en-AU"/>
        </w:rPr>
      </w:pPr>
      <w:r w:rsidRPr="009F16EB">
        <w:rPr>
          <w:lang w:eastAsia="en-AU"/>
        </w:rPr>
        <w:t xml:space="preserve">Australia enacts obligations </w:t>
      </w:r>
      <w:r w:rsidRPr="009F16EB">
        <w:rPr>
          <w:rFonts w:eastAsia="Times New Roman"/>
          <w:color w:val="000000"/>
          <w:szCs w:val="24"/>
          <w:lang w:val="en" w:eastAsia="en-AU"/>
        </w:rPr>
        <w:t>regulating the export and import of cultural material</w:t>
      </w:r>
      <w:r w:rsidRPr="009F16EB">
        <w:rPr>
          <w:lang w:eastAsia="en-AU"/>
        </w:rPr>
        <w:t xml:space="preserve"> primarily through </w:t>
      </w:r>
      <w:r w:rsidRPr="009F16EB">
        <w:rPr>
          <w:rFonts w:eastAsia="Times New Roman"/>
          <w:szCs w:val="24"/>
          <w:lang w:eastAsia="en-AU"/>
        </w:rPr>
        <w:t>t</w:t>
      </w:r>
      <w:r w:rsidRPr="009F16EB">
        <w:rPr>
          <w:rFonts w:eastAsia="Times New Roman"/>
          <w:color w:val="000000"/>
          <w:szCs w:val="24"/>
          <w:lang w:val="en" w:eastAsia="en-AU"/>
        </w:rPr>
        <w:t>he current Act. Other measures are implemented through the enacting legislation of cultural institutions and through administrative practices, education and promotion.</w:t>
      </w:r>
    </w:p>
    <w:p w14:paraId="0544BA53" w14:textId="77777777" w:rsidR="00AA7153" w:rsidRDefault="001A20CD" w:rsidP="00C66090">
      <w:pPr>
        <w:pStyle w:val="Heading4"/>
        <w:rPr>
          <w:lang w:eastAsia="en-AU"/>
        </w:rPr>
      </w:pPr>
      <w:r w:rsidRPr="00DC48E3">
        <w:lastRenderedPageBreak/>
        <w:t>Return</w:t>
      </w:r>
      <w:r w:rsidRPr="009F16EB">
        <w:rPr>
          <w:lang w:eastAsia="en-AU"/>
        </w:rPr>
        <w:t xml:space="preserve"> provisions</w:t>
      </w:r>
    </w:p>
    <w:p w14:paraId="56BA9C66" w14:textId="77777777" w:rsidR="00AA7153" w:rsidRDefault="001A20CD" w:rsidP="00C66090">
      <w:pPr>
        <w:keepNext/>
        <w:keepLines/>
        <w:rPr>
          <w:rFonts w:eastAsia="Times New Roman"/>
          <w:color w:val="000000"/>
          <w:lang w:eastAsia="en-AU"/>
        </w:rPr>
      </w:pPr>
      <w:r w:rsidRPr="009F16EB">
        <w:t xml:space="preserve">Where material has been illegally exported from its country of origin, State Parties are expected to assist in its return. </w:t>
      </w:r>
      <w:r w:rsidRPr="009F16EB">
        <w:rPr>
          <w:rFonts w:eastAsia="Times New Roman"/>
          <w:color w:val="000000"/>
          <w:lang w:eastAsia="en-AU"/>
        </w:rPr>
        <w:t>Obligations are also placed on the requesting State to make requests through diplomatic channels, provide evidence to support its claim and pay just compensation to an innocent purchaser.</w:t>
      </w:r>
    </w:p>
    <w:p w14:paraId="639CB36E" w14:textId="77777777" w:rsidR="00AA7153" w:rsidRDefault="001A20CD" w:rsidP="001A20CD">
      <w:pPr>
        <w:rPr>
          <w:rFonts w:eastAsia="Times New Roman"/>
          <w:lang w:eastAsia="en-AU"/>
        </w:rPr>
      </w:pPr>
      <w:r w:rsidRPr="009F16EB">
        <w:rPr>
          <w:rFonts w:eastAsia="Times New Roman"/>
          <w:lang w:eastAsia="en-AU"/>
        </w:rPr>
        <w:t>The provisions of the current Act implement these Articles in a broad and full manner, allowing Australia to respond to requests from all foreign governments, not just other signatories. The Act also does not limit the requests to documented cultural property stolen from museums or religious or secular public monuments (Article 7(b) (</w:t>
      </w:r>
      <w:proofErr w:type="spellStart"/>
      <w:r w:rsidRPr="009F16EB">
        <w:rPr>
          <w:rFonts w:eastAsia="Times New Roman"/>
          <w:lang w:eastAsia="en-AU"/>
        </w:rPr>
        <w:t>i</w:t>
      </w:r>
      <w:proofErr w:type="spellEnd"/>
      <w:r w:rsidRPr="009F16EB">
        <w:rPr>
          <w:rFonts w:eastAsia="Times New Roman"/>
          <w:lang w:eastAsia="en-AU"/>
        </w:rPr>
        <w:t>)).</w:t>
      </w:r>
    </w:p>
    <w:p w14:paraId="455E5697" w14:textId="08B7EF19" w:rsidR="00AA7153" w:rsidRDefault="001A20CD" w:rsidP="001A20CD">
      <w:pPr>
        <w:rPr>
          <w:rFonts w:eastAsia="Times New Roman"/>
          <w:lang w:eastAsia="en-AU"/>
        </w:rPr>
      </w:pPr>
      <w:r w:rsidRPr="009F16EB">
        <w:rPr>
          <w:rFonts w:eastAsia="Times New Roman"/>
          <w:lang w:eastAsia="en-AU"/>
        </w:rPr>
        <w:t>The Act also supports the intent of the UNESCO Convention</w:t>
      </w:r>
      <w:r w:rsidR="007C4781">
        <w:rPr>
          <w:rFonts w:eastAsia="Times New Roman"/>
          <w:lang w:eastAsia="en-AU"/>
        </w:rPr>
        <w:t xml:space="preserve"> 1970</w:t>
      </w:r>
      <w:r w:rsidRPr="009F16EB">
        <w:rPr>
          <w:rFonts w:eastAsia="Times New Roman"/>
          <w:lang w:eastAsia="en-AU"/>
        </w:rPr>
        <w:t xml:space="preserve"> in regards to the fact that material does not have to be owned by the foreign state. Under the Act a request for the return of a protected object will be considered from any foreign country, as long as the request demonstrates that:</w:t>
      </w:r>
    </w:p>
    <w:p w14:paraId="006EA515" w14:textId="77777777" w:rsidR="00AA7153" w:rsidRDefault="001A20CD" w:rsidP="00C66090">
      <w:pPr>
        <w:pStyle w:val="ListParagraph"/>
        <w:numPr>
          <w:ilvl w:val="0"/>
          <w:numId w:val="53"/>
        </w:numPr>
        <w:ind w:left="567" w:hanging="567"/>
        <w:rPr>
          <w:rFonts w:eastAsia="Times New Roman"/>
          <w:iCs/>
          <w:lang w:val="en-GB" w:eastAsia="en-AU"/>
        </w:rPr>
      </w:pPr>
      <w:r w:rsidRPr="009F16EB">
        <w:rPr>
          <w:rFonts w:eastAsia="Times New Roman"/>
          <w:iCs/>
          <w:lang w:val="en-GB" w:eastAsia="en-AU"/>
        </w:rPr>
        <w:t>the object is a protected object under the country’s law;</w:t>
      </w:r>
    </w:p>
    <w:p w14:paraId="6D122FF6" w14:textId="77777777" w:rsidR="00AA7153" w:rsidRDefault="001A20CD" w:rsidP="00C66090">
      <w:pPr>
        <w:pStyle w:val="ListParagraph"/>
        <w:numPr>
          <w:ilvl w:val="0"/>
          <w:numId w:val="53"/>
        </w:numPr>
        <w:ind w:left="567" w:hanging="567"/>
        <w:rPr>
          <w:rFonts w:eastAsia="Times New Roman"/>
          <w:iCs/>
          <w:lang w:val="en-GB" w:eastAsia="en-AU"/>
        </w:rPr>
      </w:pPr>
      <w:r w:rsidRPr="009F16EB">
        <w:rPr>
          <w:rFonts w:eastAsia="Times New Roman"/>
          <w:iCs/>
          <w:lang w:val="en-GB" w:eastAsia="en-AU"/>
        </w:rPr>
        <w:t>the object has been exported from its country of origin;</w:t>
      </w:r>
    </w:p>
    <w:p w14:paraId="05F7C924" w14:textId="2FBFD319" w:rsidR="001A20CD" w:rsidRPr="009F16EB" w:rsidRDefault="001A20CD" w:rsidP="00C66090">
      <w:pPr>
        <w:pStyle w:val="ListParagraph"/>
        <w:numPr>
          <w:ilvl w:val="0"/>
          <w:numId w:val="53"/>
        </w:numPr>
        <w:ind w:left="567" w:hanging="567"/>
        <w:rPr>
          <w:rFonts w:eastAsia="Times New Roman"/>
          <w:lang w:eastAsia="en-AU"/>
        </w:rPr>
      </w:pPr>
      <w:r w:rsidRPr="009F16EB">
        <w:rPr>
          <w:rFonts w:eastAsia="Times New Roman"/>
          <w:iCs/>
          <w:lang w:val="en-GB" w:eastAsia="en-AU"/>
        </w:rPr>
        <w:t>there is a law that prohibits the export of that object;</w:t>
      </w:r>
    </w:p>
    <w:p w14:paraId="00911A93" w14:textId="77777777" w:rsidR="00AA7153" w:rsidRDefault="001A20CD" w:rsidP="00C66090">
      <w:pPr>
        <w:pStyle w:val="ListParagraph"/>
        <w:numPr>
          <w:ilvl w:val="0"/>
          <w:numId w:val="53"/>
        </w:numPr>
        <w:ind w:left="567" w:hanging="567"/>
        <w:rPr>
          <w:rFonts w:eastAsia="Times New Roman"/>
          <w:iCs/>
          <w:lang w:val="en-GB" w:eastAsia="en-AU"/>
        </w:rPr>
      </w:pPr>
      <w:r w:rsidRPr="009F16EB">
        <w:rPr>
          <w:rFonts w:eastAsia="Times New Roman"/>
          <w:iCs/>
          <w:lang w:val="en-GB" w:eastAsia="en-AU"/>
        </w:rPr>
        <w:t>the law relates to cultural property; and</w:t>
      </w:r>
    </w:p>
    <w:p w14:paraId="16C102D4" w14:textId="77777777" w:rsidR="00AA7153" w:rsidRDefault="001A20CD" w:rsidP="00C66090">
      <w:pPr>
        <w:pStyle w:val="ListParagraph"/>
        <w:numPr>
          <w:ilvl w:val="0"/>
          <w:numId w:val="53"/>
        </w:numPr>
        <w:ind w:left="567" w:hanging="567"/>
        <w:rPr>
          <w:rFonts w:eastAsia="Times New Roman"/>
          <w:iCs/>
          <w:lang w:val="en-GB" w:eastAsia="en-AU"/>
        </w:rPr>
      </w:pPr>
      <w:proofErr w:type="gramStart"/>
      <w:r w:rsidRPr="009F16EB">
        <w:rPr>
          <w:rFonts w:eastAsia="Times New Roman"/>
          <w:iCs/>
          <w:lang w:val="en-GB" w:eastAsia="en-AU"/>
        </w:rPr>
        <w:t>the</w:t>
      </w:r>
      <w:proofErr w:type="gramEnd"/>
      <w:r w:rsidRPr="009F16EB">
        <w:rPr>
          <w:rFonts w:eastAsia="Times New Roman"/>
          <w:iCs/>
          <w:lang w:val="en-GB" w:eastAsia="en-AU"/>
        </w:rPr>
        <w:t xml:space="preserve"> object has been imported into Australia (after 1 July 1987). </w:t>
      </w:r>
    </w:p>
    <w:p w14:paraId="6EE7F443" w14:textId="77777777" w:rsidR="00AA7153" w:rsidRDefault="001A20CD" w:rsidP="00DC48E3">
      <w:pPr>
        <w:pStyle w:val="Heading4"/>
        <w:rPr>
          <w:rFonts w:eastAsia="Times New Roman" w:cstheme="minorHAnsi"/>
          <w:szCs w:val="24"/>
          <w:lang w:eastAsia="en-AU"/>
        </w:rPr>
      </w:pPr>
      <w:r w:rsidRPr="009F16EB">
        <w:t xml:space="preserve">International </w:t>
      </w:r>
      <w:r w:rsidRPr="00DC48E3">
        <w:t>cooperation</w:t>
      </w:r>
      <w:r w:rsidRPr="009F16EB">
        <w:t xml:space="preserve"> framework</w:t>
      </w:r>
    </w:p>
    <w:p w14:paraId="3B32319B" w14:textId="059637D1" w:rsidR="001A20CD" w:rsidRPr="009F16EB" w:rsidRDefault="001A20CD" w:rsidP="001A20CD">
      <w:pPr>
        <w:rPr>
          <w:color w:val="000000"/>
          <w:lang w:eastAsia="en-AU"/>
        </w:rPr>
      </w:pPr>
      <w:r w:rsidRPr="009F16EB">
        <w:rPr>
          <w:lang w:eastAsia="en-AU"/>
        </w:rPr>
        <w:t>Provi</w:t>
      </w:r>
      <w:r w:rsidR="00C963C9">
        <w:rPr>
          <w:lang w:eastAsia="en-AU"/>
        </w:rPr>
        <w:t>sion is also made under the UNES</w:t>
      </w:r>
      <w:r w:rsidRPr="009F16EB">
        <w:rPr>
          <w:lang w:eastAsia="en-AU"/>
        </w:rPr>
        <w:t xml:space="preserve">CO Convention 1970 for emergency action where the cultural heritage of specific nations is at serious and immediate risk. State Parties are encouraged to do this by </w:t>
      </w:r>
      <w:r w:rsidRPr="009F16EB">
        <w:rPr>
          <w:color w:val="000000"/>
          <w:lang w:eastAsia="en-AU"/>
        </w:rPr>
        <w:t>adopting emergency import bans when the cultural heritage of a State Party is seriously endangered by intense looting.</w:t>
      </w:r>
    </w:p>
    <w:p w14:paraId="627FEE0B" w14:textId="77777777" w:rsidR="00332261" w:rsidRDefault="001A20CD" w:rsidP="00332261">
      <w:pPr>
        <w:rPr>
          <w:lang w:eastAsia="en-AU"/>
        </w:rPr>
      </w:pPr>
      <w:r w:rsidRPr="009F16EB">
        <w:rPr>
          <w:lang w:eastAsia="en-AU"/>
        </w:rPr>
        <w:t>The Act does not make explicit provision for these emergency import bans. However, Australia does have bilateral agreements with several countries that address issues relating to cultural property and also takes action in line with United Nations Security Council Resolutions relating to cultural property.</w:t>
      </w:r>
      <w:r w:rsidRPr="009F16EB">
        <w:rPr>
          <w:rStyle w:val="FootnoteReference"/>
          <w:lang w:eastAsia="en-AU"/>
        </w:rPr>
        <w:footnoteReference w:id="82"/>
      </w:r>
    </w:p>
    <w:p w14:paraId="720B3D8F" w14:textId="77777777" w:rsidR="00332261" w:rsidRDefault="00332261">
      <w:pPr>
        <w:spacing w:line="276" w:lineRule="auto"/>
        <w:rPr>
          <w:lang w:eastAsia="en-AU"/>
        </w:rPr>
      </w:pPr>
      <w:r>
        <w:rPr>
          <w:lang w:eastAsia="en-AU"/>
        </w:rPr>
        <w:br w:type="page"/>
      </w:r>
    </w:p>
    <w:p w14:paraId="3992E675" w14:textId="77777777" w:rsidR="00AA7153" w:rsidRDefault="001A20CD" w:rsidP="006711A1">
      <w:pPr>
        <w:pStyle w:val="Heading4"/>
        <w:rPr>
          <w:lang w:eastAsia="en-AU"/>
        </w:rPr>
      </w:pPr>
      <w:r w:rsidRPr="009F16EB">
        <w:rPr>
          <w:lang w:eastAsia="en-AU"/>
        </w:rPr>
        <w:lastRenderedPageBreak/>
        <w:t xml:space="preserve">Australia’s </w:t>
      </w:r>
      <w:r w:rsidRPr="00DC48E3">
        <w:t>reservation</w:t>
      </w:r>
      <w:r w:rsidRPr="009F16EB">
        <w:rPr>
          <w:lang w:eastAsia="en-AU"/>
        </w:rPr>
        <w:t xml:space="preserve"> to Article 10</w:t>
      </w:r>
    </w:p>
    <w:p w14:paraId="3A7DCA03" w14:textId="77777777" w:rsidR="00AA7153" w:rsidRDefault="001A20CD" w:rsidP="001A20CD">
      <w:r w:rsidRPr="009F16EB">
        <w:rPr>
          <w:rFonts w:eastAsia="Times New Roman"/>
          <w:szCs w:val="24"/>
          <w:lang w:eastAsia="en-AU"/>
        </w:rPr>
        <w:t xml:space="preserve">When Australia acceded to the UNESCO Convention 1970 one reservation was included in regard to Article 10. </w:t>
      </w:r>
      <w:bookmarkStart w:id="293" w:name="_Ref428542603"/>
      <w:r w:rsidRPr="009F16EB">
        <w:t>Article 10 is as follows:</w:t>
      </w:r>
      <w:bookmarkEnd w:id="293"/>
    </w:p>
    <w:p w14:paraId="67302948" w14:textId="77777777" w:rsidR="00AA7153" w:rsidRDefault="001A20CD" w:rsidP="001B5D3A">
      <w:pPr>
        <w:ind w:left="284"/>
        <w:rPr>
          <w:i/>
          <w:sz w:val="20"/>
          <w:szCs w:val="20"/>
        </w:rPr>
      </w:pPr>
      <w:r w:rsidRPr="009F16EB">
        <w:rPr>
          <w:i/>
          <w:sz w:val="20"/>
          <w:szCs w:val="20"/>
        </w:rPr>
        <w:t>The States Parties to this Convention undertake:</w:t>
      </w:r>
    </w:p>
    <w:p w14:paraId="204F81F5" w14:textId="77777777" w:rsidR="00AA7153" w:rsidRDefault="001A20CD" w:rsidP="001B5D3A">
      <w:pPr>
        <w:ind w:left="284"/>
        <w:rPr>
          <w:i/>
          <w:sz w:val="20"/>
          <w:szCs w:val="20"/>
        </w:rPr>
      </w:pPr>
      <w:r w:rsidRPr="009F16EB">
        <w:rPr>
          <w:i/>
          <w:sz w:val="20"/>
          <w:szCs w:val="20"/>
        </w:rPr>
        <w:t>(a) To restrict by education, information and vigilance, movement of cultural property illegally removed from any State Party to this Convention and, as appropriate for each country, oblige antique dealers, subject to penal or administrative sanctions, to maintain a register recording the origin of each item of cultural property, names and addresses of the supplier, description and price of each item sold and to inform the purchaser of the cultural property of the export prohibition to which such property may be subject;</w:t>
      </w:r>
    </w:p>
    <w:p w14:paraId="4400DC3E" w14:textId="3DAC9150" w:rsidR="001A20CD" w:rsidRPr="009F16EB" w:rsidRDefault="001A20CD" w:rsidP="001B5D3A">
      <w:pPr>
        <w:ind w:left="284"/>
        <w:rPr>
          <w:i/>
          <w:sz w:val="20"/>
          <w:szCs w:val="20"/>
        </w:rPr>
      </w:pPr>
      <w:r w:rsidRPr="009F16EB">
        <w:rPr>
          <w:i/>
          <w:sz w:val="20"/>
          <w:szCs w:val="20"/>
        </w:rPr>
        <w:t>(b) to endeavour by educational means to create and develop in the public mind a realization of the value of cultural property and the threat to the cultural heritage created by theft, clandestine excavations and illicit exports.</w:t>
      </w:r>
    </w:p>
    <w:p w14:paraId="21D6E717" w14:textId="77777777" w:rsidR="00AA7153" w:rsidRDefault="00761CBF" w:rsidP="001A20CD">
      <w:pPr>
        <w:pStyle w:val="NumberLevel1"/>
        <w:numPr>
          <w:ilvl w:val="0"/>
          <w:numId w:val="0"/>
        </w:numPr>
      </w:pPr>
      <w:r>
        <w:rPr>
          <w:sz w:val="24"/>
          <w:szCs w:val="24"/>
        </w:rPr>
        <w:t>Australia’s reservation is stated a</w:t>
      </w:r>
      <w:r w:rsidR="001A20CD" w:rsidRPr="009F16EB">
        <w:rPr>
          <w:sz w:val="24"/>
          <w:szCs w:val="24"/>
        </w:rPr>
        <w:t>s</w:t>
      </w:r>
      <w:r w:rsidR="001A20CD" w:rsidRPr="009F16EB">
        <w:t>:</w:t>
      </w:r>
    </w:p>
    <w:p w14:paraId="6537E13C" w14:textId="253949F4" w:rsidR="001A20CD" w:rsidRPr="009F16EB" w:rsidRDefault="001A20CD" w:rsidP="001B5D3A">
      <w:pPr>
        <w:ind w:left="284"/>
        <w:rPr>
          <w:i/>
          <w:sz w:val="20"/>
          <w:szCs w:val="20"/>
        </w:rPr>
      </w:pPr>
      <w:r w:rsidRPr="009F16EB">
        <w:rPr>
          <w:i/>
          <w:sz w:val="20"/>
          <w:szCs w:val="20"/>
        </w:rPr>
        <w:t>The Government of Australia declares that Australia is not at present in a position to oblige antique dealers, subject to penal or administrative sanctions, to maintain a register recording the origin of each item of cultural property, names and addresses of the supplier, description and price of each item sold and to inform the purchaser of the cultural property of the export prohibition to which such property may be subject. Australia therefore accepts the Convention subject to a reservation as to Article 10, to the extent that it is unable to comply with the obligations imposed by that Article.</w:t>
      </w:r>
      <w:r w:rsidRPr="009F16EB">
        <w:rPr>
          <w:rStyle w:val="FootnoteReference"/>
          <w:i/>
          <w:sz w:val="20"/>
          <w:szCs w:val="20"/>
        </w:rPr>
        <w:footnoteReference w:id="83"/>
      </w:r>
    </w:p>
    <w:p w14:paraId="48DDB2F7" w14:textId="77777777" w:rsidR="00332261" w:rsidRDefault="001A20CD" w:rsidP="00332261">
      <w:pPr>
        <w:rPr>
          <w:lang w:eastAsia="en-AU"/>
        </w:rPr>
      </w:pPr>
      <w:r w:rsidRPr="009F16EB">
        <w:rPr>
          <w:lang w:eastAsia="en-AU"/>
        </w:rPr>
        <w:t xml:space="preserve">Consideration was given to whether it would be an appropriate time to lift this reservation. However, given </w:t>
      </w:r>
      <w:r>
        <w:rPr>
          <w:lang w:eastAsia="en-AU"/>
        </w:rPr>
        <w:t>Australia’s</w:t>
      </w:r>
      <w:r w:rsidRPr="009F16EB">
        <w:rPr>
          <w:lang w:eastAsia="en-AU"/>
        </w:rPr>
        <w:t xml:space="preserve"> </w:t>
      </w:r>
      <w:r>
        <w:rPr>
          <w:lang w:eastAsia="en-AU"/>
        </w:rPr>
        <w:t>constitutional</w:t>
      </w:r>
      <w:r w:rsidRPr="009F16EB">
        <w:rPr>
          <w:lang w:eastAsia="en-AU"/>
        </w:rPr>
        <w:t xml:space="preserve"> structure</w:t>
      </w:r>
      <w:r>
        <w:rPr>
          <w:lang w:eastAsia="en-AU"/>
        </w:rPr>
        <w:t>,</w:t>
      </w:r>
      <w:r w:rsidRPr="009F16EB">
        <w:rPr>
          <w:lang w:eastAsia="en-AU"/>
        </w:rPr>
        <w:t xml:space="preserve"> it remains true that this is not solely a Commonwealth matter. While there is a range of state and territory legislation that regulates second hand dealers there is disparity between states</w:t>
      </w:r>
      <w:r w:rsidR="00C963C9">
        <w:rPr>
          <w:lang w:eastAsia="en-AU"/>
        </w:rPr>
        <w:t>,</w:t>
      </w:r>
      <w:r w:rsidRPr="009F16EB">
        <w:rPr>
          <w:lang w:eastAsia="en-AU"/>
        </w:rPr>
        <w:t xml:space="preserve"> and much of the legislation is focussed on pawn broking o</w:t>
      </w:r>
      <w:r>
        <w:rPr>
          <w:lang w:eastAsia="en-AU"/>
        </w:rPr>
        <w:t>r</w:t>
      </w:r>
      <w:r w:rsidRPr="009F16EB">
        <w:rPr>
          <w:lang w:eastAsia="en-AU"/>
        </w:rPr>
        <w:t xml:space="preserve"> second hand goods rather than ethical trade in antiquities, art or other cultural material. On reflection, the aligning of state and territory legislation in this matter was considered outside the scope of this Review.</w:t>
      </w:r>
    </w:p>
    <w:p w14:paraId="1485B255" w14:textId="77777777" w:rsidR="00332261" w:rsidRDefault="00332261">
      <w:pPr>
        <w:spacing w:line="276" w:lineRule="auto"/>
        <w:rPr>
          <w:lang w:eastAsia="en-AU"/>
        </w:rPr>
      </w:pPr>
      <w:r>
        <w:rPr>
          <w:lang w:eastAsia="en-AU"/>
        </w:rPr>
        <w:br w:type="page"/>
      </w:r>
    </w:p>
    <w:p w14:paraId="2F3331BE" w14:textId="7C278E29" w:rsidR="00E26817" w:rsidRDefault="00E26817" w:rsidP="00332261">
      <w:pPr>
        <w:rPr>
          <w:i/>
          <w:sz w:val="20"/>
          <w:szCs w:val="20"/>
          <w:lang w:eastAsia="en-AU"/>
        </w:rPr>
      </w:pPr>
      <w:r>
        <w:rPr>
          <w:noProof/>
          <w:lang w:eastAsia="en-AU"/>
        </w:rPr>
        <w:lastRenderedPageBreak/>
        <w:drawing>
          <wp:inline distT="0" distB="0" distL="0" distR="0" wp14:anchorId="52A46EEE" wp14:editId="4BDBE5F6">
            <wp:extent cx="5456255" cy="3372529"/>
            <wp:effectExtent l="0" t="0" r="0" b="0"/>
            <wp:docPr id="676" name="Picture 676" descr="Word map highlighting the 129 state parties to the UNESCO 1970 Convention. State Parties listed at &lt;http://www.unesco.org/&gt;. &#10;" title="Figure 17 – State Parties to the UNESCO 1970 Convention (129 state pa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nok\AppData\Local\Microsoft\Windows\Temporary Internet Files\Content.Outlook\C32Z8NFG\image (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0455" cy="3368944"/>
                    </a:xfrm>
                    <a:prstGeom prst="rect">
                      <a:avLst/>
                    </a:prstGeom>
                    <a:noFill/>
                    <a:ln>
                      <a:noFill/>
                    </a:ln>
                  </pic:spPr>
                </pic:pic>
              </a:graphicData>
            </a:graphic>
          </wp:inline>
        </w:drawing>
      </w:r>
    </w:p>
    <w:p w14:paraId="5A08027D" w14:textId="77777777" w:rsidR="00E26817" w:rsidRDefault="00E26817" w:rsidP="00172D73">
      <w:pPr>
        <w:ind w:left="284"/>
        <w:rPr>
          <w:i/>
          <w:sz w:val="20"/>
          <w:szCs w:val="20"/>
          <w:lang w:eastAsia="en-AU"/>
        </w:rPr>
      </w:pPr>
    </w:p>
    <w:p w14:paraId="29DF8485" w14:textId="15755AED" w:rsidR="00A07460" w:rsidRDefault="00E26817" w:rsidP="00172D73">
      <w:pPr>
        <w:ind w:left="284"/>
        <w:rPr>
          <w:i/>
          <w:sz w:val="20"/>
          <w:szCs w:val="20"/>
          <w:lang w:eastAsia="en-AU"/>
        </w:rPr>
      </w:pPr>
      <w:r w:rsidRPr="004B02E4">
        <w:rPr>
          <w:rFonts w:eastAsia="Times New Roman" w:cs="Arial"/>
          <w:bCs/>
          <w:i/>
          <w:sz w:val="20"/>
          <w:szCs w:val="20"/>
          <w:lang w:eastAsia="en-AU"/>
        </w:rPr>
        <w:t xml:space="preserve">Figure </w:t>
      </w:r>
      <w:r w:rsidR="00B51AD0" w:rsidRPr="004B02E4">
        <w:rPr>
          <w:rFonts w:eastAsia="Times New Roman" w:cs="Arial"/>
          <w:bCs/>
          <w:i/>
          <w:sz w:val="20"/>
          <w:szCs w:val="20"/>
          <w:lang w:eastAsia="en-AU"/>
        </w:rPr>
        <w:t>17</w:t>
      </w:r>
      <w:r w:rsidR="00801A32">
        <w:rPr>
          <w:rFonts w:eastAsia="Times New Roman" w:cs="Arial"/>
          <w:bCs/>
          <w:i/>
          <w:sz w:val="20"/>
          <w:szCs w:val="20"/>
          <w:lang w:eastAsia="en-AU"/>
        </w:rPr>
        <w:t>—</w:t>
      </w:r>
      <w:r w:rsidR="001A20CD" w:rsidRPr="004B02E4">
        <w:rPr>
          <w:rFonts w:eastAsia="Times New Roman" w:cs="Arial"/>
          <w:bCs/>
          <w:i/>
          <w:sz w:val="20"/>
          <w:szCs w:val="20"/>
          <w:lang w:eastAsia="en-AU"/>
        </w:rPr>
        <w:t>State Parties to the UNESCO 1970 Convention (129 state parties)</w:t>
      </w:r>
      <w:r w:rsidR="001A20CD" w:rsidRPr="001B5D3A">
        <w:rPr>
          <w:rStyle w:val="FootnoteReference"/>
          <w:i/>
          <w:sz w:val="20"/>
          <w:szCs w:val="20"/>
          <w:lang w:eastAsia="en-AU"/>
        </w:rPr>
        <w:footnoteReference w:id="84"/>
      </w:r>
    </w:p>
    <w:p w14:paraId="6948606F" w14:textId="77777777" w:rsidR="00A07460" w:rsidRDefault="00A07460">
      <w:pPr>
        <w:spacing w:line="276" w:lineRule="auto"/>
        <w:rPr>
          <w:i/>
          <w:sz w:val="20"/>
          <w:szCs w:val="20"/>
          <w:lang w:eastAsia="en-AU"/>
        </w:rPr>
      </w:pPr>
      <w:r>
        <w:rPr>
          <w:i/>
          <w:sz w:val="20"/>
          <w:szCs w:val="20"/>
          <w:lang w:eastAsia="en-AU"/>
        </w:rPr>
        <w:br w:type="page"/>
      </w:r>
    </w:p>
    <w:p w14:paraId="6B5B0FB1" w14:textId="77777777" w:rsidR="00AA7153" w:rsidRDefault="001A20CD" w:rsidP="004B02E4">
      <w:pPr>
        <w:pStyle w:val="Heading3"/>
      </w:pPr>
      <w:r w:rsidRPr="009F16EB">
        <w:lastRenderedPageBreak/>
        <w:t xml:space="preserve">United </w:t>
      </w:r>
      <w:r w:rsidRPr="004B02E4">
        <w:t>Nations</w:t>
      </w:r>
      <w:r w:rsidRPr="009F16EB">
        <w:t xml:space="preserve"> Security Council Sanctions</w:t>
      </w:r>
    </w:p>
    <w:p w14:paraId="09AA15CB" w14:textId="77777777" w:rsidR="00AA7153" w:rsidRDefault="001A20CD" w:rsidP="001A20CD">
      <w:r w:rsidRPr="009F16EB">
        <w:t xml:space="preserve">From time to time, sanctions regimes adopted by the United Nations Security Council relate to cultural property. These are given effect under Australian law through Regulations to the </w:t>
      </w:r>
      <w:r w:rsidRPr="009F16EB">
        <w:rPr>
          <w:i/>
        </w:rPr>
        <w:t>Charter of the United Nations Act 1945</w:t>
      </w:r>
      <w:r w:rsidRPr="009F16EB">
        <w:t>.</w:t>
      </w:r>
    </w:p>
    <w:p w14:paraId="323749F6" w14:textId="77777777" w:rsidR="00AA7153" w:rsidRDefault="001A20CD" w:rsidP="001A20CD">
      <w:r w:rsidRPr="009F16EB">
        <w:t>Currently, only the Sanctions Regulations relating to Iraq include cultural property provisions</w:t>
      </w:r>
      <w:r w:rsidR="00C963C9">
        <w:t>,</w:t>
      </w:r>
      <w:r w:rsidRPr="009F16EB">
        <w:t xml:space="preserve"> however in February 2015 the Security Council unanimously adopted resolution 2199</w:t>
      </w:r>
      <w:r w:rsidRPr="009F16EB">
        <w:rPr>
          <w:vertAlign w:val="superscript"/>
        </w:rPr>
        <w:footnoteReference w:id="85"/>
      </w:r>
      <w:r w:rsidRPr="009F16EB">
        <w:t xml:space="preserve"> condemning the destruction of cultural heritage in Iraq and Syria, particularly by ISIL and the Al-</w:t>
      </w:r>
      <w:proofErr w:type="spellStart"/>
      <w:r w:rsidRPr="009F16EB">
        <w:t>Nusrah</w:t>
      </w:r>
      <w:proofErr w:type="spellEnd"/>
      <w:r w:rsidRPr="009F16EB">
        <w:t xml:space="preserve"> Front. It decided that all Member States should take steps, in cooperation with Interpol, UNESCO and other international organisations, to prevent the trade in items of cultural, scientific and religious importance illegally removed from either Iraq or Syria during periods of conflict.</w:t>
      </w:r>
    </w:p>
    <w:p w14:paraId="56B31816" w14:textId="5D12B85A" w:rsidR="00A07460" w:rsidRDefault="001A20CD" w:rsidP="001A20CD">
      <w:r w:rsidRPr="009F16EB">
        <w:t xml:space="preserve">At the time of writing, it is Australia’s intention to give effect to Resolution 2199 by way of regulation pursuant to the </w:t>
      </w:r>
      <w:r w:rsidRPr="009F16EB">
        <w:rPr>
          <w:i/>
        </w:rPr>
        <w:t>Charter of the United Nations Act 1945</w:t>
      </w:r>
      <w:r w:rsidRPr="009F16EB">
        <w:t>. It may well be a timely way to give legal effect to Resolution 2199. However what must not be overlooked is that a protection regime for foreign cultural material necessarily requires an array of legal</w:t>
      </w:r>
      <w:r w:rsidR="00723270">
        <w:t>,</w:t>
      </w:r>
      <w:r w:rsidRPr="009F16EB">
        <w:rPr>
          <w:rStyle w:val="FootnoteReference"/>
        </w:rPr>
        <w:footnoteReference w:id="86"/>
      </w:r>
      <w:r w:rsidRPr="009F16EB">
        <w:t xml:space="preserve"> administrative</w:t>
      </w:r>
      <w:r w:rsidRPr="009F16EB">
        <w:rPr>
          <w:rStyle w:val="FootnoteReference"/>
        </w:rPr>
        <w:footnoteReference w:id="87"/>
      </w:r>
      <w:r w:rsidRPr="009F16EB">
        <w:t xml:space="preserve"> and practical responsibilities.</w:t>
      </w:r>
      <w:r w:rsidRPr="009F16EB">
        <w:rPr>
          <w:rStyle w:val="FootnoteReference"/>
        </w:rPr>
        <w:footnoteReference w:id="88"/>
      </w:r>
      <w:r w:rsidRPr="009F16EB">
        <w:t xml:space="preserve"> </w:t>
      </w:r>
      <w:r>
        <w:t>For this reason, the model provides that the Act is the implementation tool for such international instruments.</w:t>
      </w:r>
    </w:p>
    <w:p w14:paraId="1180780A" w14:textId="77777777" w:rsidR="00A07460" w:rsidRDefault="00A07460">
      <w:pPr>
        <w:spacing w:line="276" w:lineRule="auto"/>
      </w:pPr>
      <w:r>
        <w:br w:type="page"/>
      </w:r>
    </w:p>
    <w:p w14:paraId="0E659F6D" w14:textId="77777777" w:rsidR="00AA7153" w:rsidRDefault="001A20CD" w:rsidP="004B02E4">
      <w:pPr>
        <w:pStyle w:val="Heading3"/>
      </w:pPr>
      <w:r w:rsidRPr="009F16EB">
        <w:lastRenderedPageBreak/>
        <w:t xml:space="preserve">The </w:t>
      </w:r>
      <w:r w:rsidRPr="004B02E4">
        <w:t>Hague</w:t>
      </w:r>
      <w:r w:rsidRPr="009F16EB">
        <w:t xml:space="preserve"> Convention</w:t>
      </w:r>
    </w:p>
    <w:p w14:paraId="3AAE5499" w14:textId="77777777" w:rsidR="00AA7153" w:rsidRDefault="001A20CD" w:rsidP="001A20CD">
      <w:r w:rsidRPr="009F16EB">
        <w:t>Coming out of the horrors of World War II and the destruction of cultural property inflicted by both</w:t>
      </w:r>
      <w:r w:rsidR="00C963C9">
        <w:t xml:space="preserve"> sides, it was timely for </w:t>
      </w:r>
      <w:r w:rsidRPr="009F16EB">
        <w:t>nations to recognise the losses that the combatants had inflicted on international cultural heritage. Even those countries that had not been directly involved in the damage and destruction of the conflict recognised that their losses, although indirect, were no less real.</w:t>
      </w:r>
    </w:p>
    <w:p w14:paraId="5667AAFC" w14:textId="6BA1D67C" w:rsidR="001A20CD" w:rsidRPr="009F16EB" w:rsidRDefault="001A20CD" w:rsidP="001A20CD">
      <w:r w:rsidRPr="009F16EB">
        <w:t>Acknowledging that the existing protections had proven so inadequate, in 1954, UNESCO produced the Hague Convention.</w:t>
      </w:r>
      <w:r w:rsidRPr="009F16EB">
        <w:rPr>
          <w:vertAlign w:val="superscript"/>
        </w:rPr>
        <w:footnoteReference w:id="89"/>
      </w:r>
      <w:r w:rsidRPr="009F16EB">
        <w:t xml:space="preserve"> The Hague Convention is supplemented by two Protocols: the First Protocol, which entered into force at the same time as </w:t>
      </w:r>
      <w:proofErr w:type="gramStart"/>
      <w:r w:rsidRPr="009F16EB">
        <w:t>the</w:t>
      </w:r>
      <w:proofErr w:type="gramEnd"/>
      <w:r w:rsidRPr="009F16EB">
        <w:t xml:space="preserve"> Hague Convention itself, and the Second Protocol, which was adopted in 1999 and came into force on 9 March 2004.</w:t>
      </w:r>
      <w:r w:rsidRPr="009F16EB">
        <w:rPr>
          <w:vertAlign w:val="superscript"/>
        </w:rPr>
        <w:footnoteReference w:id="90"/>
      </w:r>
    </w:p>
    <w:p w14:paraId="39E07C07" w14:textId="77777777" w:rsidR="00AA7153" w:rsidRDefault="001A20CD" w:rsidP="001A20CD">
      <w:r w:rsidRPr="009F16EB">
        <w:t>Although Australia was one of the signatories to the Hague Convention</w:t>
      </w:r>
      <w:r w:rsidR="00E26817">
        <w:t xml:space="preserve"> 1954</w:t>
      </w:r>
      <w:r w:rsidRPr="009F16EB">
        <w:t>, it did not ratify it until 19 September 1984.</w:t>
      </w:r>
      <w:r w:rsidRPr="009F16EB">
        <w:rPr>
          <w:vertAlign w:val="superscript"/>
        </w:rPr>
        <w:footnoteReference w:id="91"/>
      </w:r>
    </w:p>
    <w:p w14:paraId="394261A4" w14:textId="4CF04DAB" w:rsidR="001A20CD" w:rsidRPr="009F16EB" w:rsidRDefault="001A20CD" w:rsidP="004B02E4">
      <w:pPr>
        <w:pStyle w:val="Heading4"/>
      </w:pPr>
      <w:r w:rsidRPr="004B02E4">
        <w:t>Structure</w:t>
      </w:r>
    </w:p>
    <w:p w14:paraId="42A8A7F2" w14:textId="77777777" w:rsidR="001A20CD" w:rsidRDefault="001A20CD" w:rsidP="001A20CD">
      <w:r w:rsidRPr="009F16EB">
        <w:t>State Parties are expected to take action in relation to the forty articles in its General Provisions (which define the terms used and outline the scope) and the Regulations.</w:t>
      </w:r>
    </w:p>
    <w:p w14:paraId="2EC07ACB" w14:textId="77777777" w:rsidR="00AA7153" w:rsidRDefault="001A20CD" w:rsidP="004B02E4">
      <w:pPr>
        <w:pStyle w:val="Heading4"/>
      </w:pPr>
      <w:r w:rsidRPr="009F16EB">
        <w:t>Definitions</w:t>
      </w:r>
    </w:p>
    <w:p w14:paraId="37D4B37F" w14:textId="7402E963" w:rsidR="001A20CD" w:rsidRPr="009F16EB" w:rsidRDefault="001A20CD" w:rsidP="001A20CD">
      <w:r w:rsidRPr="009F16EB">
        <w:t xml:space="preserve"> ‘Cultural Property’, the focus of the treaty, is very broadly defined. Irrespective of origin or ownership, it covers:</w:t>
      </w:r>
    </w:p>
    <w:p w14:paraId="75F6D0FF" w14:textId="77777777" w:rsidR="001A20CD" w:rsidRPr="002B2846" w:rsidRDefault="001A20CD" w:rsidP="001B5D3A">
      <w:pPr>
        <w:ind w:left="284" w:right="521"/>
        <w:jc w:val="both"/>
        <w:rPr>
          <w:i/>
          <w:sz w:val="20"/>
          <w:szCs w:val="20"/>
        </w:rPr>
      </w:pPr>
      <w:r w:rsidRPr="001B5D3A">
        <w:rPr>
          <w:i/>
          <w:sz w:val="20"/>
          <w:szCs w:val="20"/>
        </w:rPr>
        <w:t>(a)</w:t>
      </w:r>
      <w:r w:rsidRPr="00723270">
        <w:rPr>
          <w:i/>
          <w:sz w:val="20"/>
          <w:szCs w:val="20"/>
        </w:rPr>
        <w:tab/>
      </w:r>
      <w:r w:rsidRPr="002B2846">
        <w:rPr>
          <w:i/>
          <w:sz w:val="20"/>
          <w:szCs w:val="20"/>
        </w:rPr>
        <w:t>movable or immovable property of great importance to the cultural heritage of every people, such as monuments of architecture, art or history, whether religious or secular; archaeological sites; groups of buildings which, as a whole, are of historical or artistic interest; works of art; manuscripts, books and other objects of artistic, historical or archaeological interest; as well as scientific collections and important collections of books or archives or of reproductions of the property defined above;</w:t>
      </w:r>
    </w:p>
    <w:p w14:paraId="3EA190A3" w14:textId="77777777" w:rsidR="007C4781" w:rsidRDefault="001A20CD" w:rsidP="001B5D3A">
      <w:pPr>
        <w:ind w:left="284" w:right="662"/>
        <w:jc w:val="both"/>
        <w:rPr>
          <w:i/>
          <w:sz w:val="20"/>
          <w:szCs w:val="20"/>
        </w:rPr>
      </w:pPr>
      <w:r w:rsidRPr="00723270">
        <w:rPr>
          <w:i/>
          <w:sz w:val="20"/>
          <w:szCs w:val="20"/>
        </w:rPr>
        <w:t>(b)</w:t>
      </w:r>
      <w:r w:rsidRPr="00723270">
        <w:rPr>
          <w:i/>
          <w:sz w:val="20"/>
          <w:szCs w:val="20"/>
        </w:rPr>
        <w:tab/>
      </w:r>
      <w:r w:rsidRPr="002B2846">
        <w:rPr>
          <w:i/>
          <w:sz w:val="20"/>
          <w:szCs w:val="20"/>
        </w:rPr>
        <w:t xml:space="preserve">buildings whose main and effective purpose is to preserve or exhibit the movable cultural property defined in sub-paragraph (a) such as museums, large libraries and depositories of </w:t>
      </w:r>
      <w:r w:rsidRPr="002B2846">
        <w:rPr>
          <w:i/>
          <w:sz w:val="20"/>
          <w:szCs w:val="20"/>
        </w:rPr>
        <w:lastRenderedPageBreak/>
        <w:t xml:space="preserve">archives, and refuges intended to shelter, in the event of armed conflict, the movable cultural property defined in sub-paragraph (a); </w:t>
      </w:r>
    </w:p>
    <w:p w14:paraId="18BCB9E1" w14:textId="64DD7F4A" w:rsidR="001A20CD" w:rsidRPr="002B2846" w:rsidRDefault="001A20CD" w:rsidP="001B5D3A">
      <w:pPr>
        <w:ind w:left="284" w:right="662"/>
        <w:jc w:val="both"/>
        <w:rPr>
          <w:i/>
          <w:sz w:val="20"/>
          <w:szCs w:val="20"/>
        </w:rPr>
      </w:pPr>
      <w:r w:rsidRPr="002B2846">
        <w:rPr>
          <w:i/>
          <w:sz w:val="20"/>
          <w:szCs w:val="20"/>
        </w:rPr>
        <w:t xml:space="preserve">(c) </w:t>
      </w:r>
      <w:proofErr w:type="spellStart"/>
      <w:proofErr w:type="gramStart"/>
      <w:r w:rsidRPr="002B2846">
        <w:rPr>
          <w:i/>
          <w:sz w:val="20"/>
          <w:szCs w:val="20"/>
        </w:rPr>
        <w:t>centers</w:t>
      </w:r>
      <w:proofErr w:type="spellEnd"/>
      <w:proofErr w:type="gramEnd"/>
      <w:r w:rsidRPr="002B2846">
        <w:rPr>
          <w:i/>
          <w:sz w:val="20"/>
          <w:szCs w:val="20"/>
        </w:rPr>
        <w:t xml:space="preserve"> containing a large amount of cultural property as defined in sub-paragraphs (a) and (b), to be known as ‘</w:t>
      </w:r>
      <w:proofErr w:type="spellStart"/>
      <w:r w:rsidRPr="002B2846">
        <w:rPr>
          <w:i/>
          <w:sz w:val="20"/>
          <w:szCs w:val="20"/>
        </w:rPr>
        <w:t>centers</w:t>
      </w:r>
      <w:proofErr w:type="spellEnd"/>
      <w:r w:rsidRPr="002B2846">
        <w:rPr>
          <w:i/>
          <w:sz w:val="20"/>
          <w:szCs w:val="20"/>
        </w:rPr>
        <w:t xml:space="preserve"> containing monuments’.</w:t>
      </w:r>
      <w:r w:rsidRPr="002B2846">
        <w:rPr>
          <w:sz w:val="20"/>
          <w:szCs w:val="20"/>
          <w:vertAlign w:val="superscript"/>
        </w:rPr>
        <w:footnoteReference w:id="92"/>
      </w:r>
    </w:p>
    <w:p w14:paraId="1B33AE27" w14:textId="20692B67" w:rsidR="001A20CD" w:rsidRPr="009F16EB" w:rsidRDefault="001A20CD" w:rsidP="001A20CD">
      <w:r w:rsidRPr="009F16EB">
        <w:t xml:space="preserve">It is important to note that this definition relates to both </w:t>
      </w:r>
      <w:r w:rsidRPr="009F16EB">
        <w:rPr>
          <w:b/>
        </w:rPr>
        <w:t>movable</w:t>
      </w:r>
      <w:r w:rsidRPr="009F16EB">
        <w:t xml:space="preserve"> cultural property (the subject of the Act) and </w:t>
      </w:r>
      <w:r w:rsidRPr="009F16EB">
        <w:rPr>
          <w:b/>
        </w:rPr>
        <w:t>immovable</w:t>
      </w:r>
      <w:r w:rsidRPr="009F16EB">
        <w:t xml:space="preserve"> cultural property.</w:t>
      </w:r>
      <w:r w:rsidRPr="009F16EB">
        <w:rPr>
          <w:vertAlign w:val="superscript"/>
        </w:rPr>
        <w:footnoteReference w:id="93"/>
      </w:r>
      <w:r w:rsidR="00801A32">
        <w:t xml:space="preserve"> </w:t>
      </w:r>
      <w:r w:rsidRPr="009F16EB">
        <w:t>Although immovable cultural property is not covered by the Act, if anyone were to dismember a part of immovable cultural property in order to import the item into Australia, the removed item would logically become movable and thus covered by the Act (for instance, a statue or fixture removed from a protected building).</w:t>
      </w:r>
    </w:p>
    <w:p w14:paraId="28ACD799" w14:textId="77777777" w:rsidR="001A20CD" w:rsidRPr="009F16EB" w:rsidRDefault="001A20CD" w:rsidP="004B02E4">
      <w:pPr>
        <w:pStyle w:val="Heading4"/>
      </w:pPr>
      <w:r w:rsidRPr="009F16EB">
        <w:t>Analysis of the Hague Convention provisions</w:t>
      </w:r>
    </w:p>
    <w:p w14:paraId="3A98EF2F" w14:textId="77777777" w:rsidR="00AA7153" w:rsidRDefault="001A20CD" w:rsidP="00172D73">
      <w:r w:rsidRPr="009F16EB">
        <w:t xml:space="preserve">The Hague Convention prohibits certain conduct and requires State Parties to enact criminal offences to give effect to these prohibitions. Currently, Australia has a ‘jigsaw’ approach with aspects covered by some provisions in existing legislation such as the </w:t>
      </w:r>
      <w:r w:rsidRPr="009F16EB">
        <w:rPr>
          <w:i/>
        </w:rPr>
        <w:t>Criminal Code Act 1995</w:t>
      </w:r>
      <w:r w:rsidRPr="009F16EB">
        <w:rPr>
          <w:vertAlign w:val="superscript"/>
        </w:rPr>
        <w:footnoteReference w:id="94"/>
      </w:r>
      <w:r w:rsidRPr="009F16EB">
        <w:t xml:space="preserve"> and the </w:t>
      </w:r>
      <w:r w:rsidRPr="009F16EB">
        <w:rPr>
          <w:i/>
        </w:rPr>
        <w:t>Crimes Act 1914</w:t>
      </w:r>
      <w:r w:rsidRPr="009F16EB">
        <w:t>,</w:t>
      </w:r>
      <w:r w:rsidRPr="009F16EB">
        <w:rPr>
          <w:vertAlign w:val="superscript"/>
        </w:rPr>
        <w:footnoteReference w:id="95"/>
      </w:r>
      <w:r w:rsidRPr="009F16EB">
        <w:t xml:space="preserve"> others are met through mechanisms including</w:t>
      </w:r>
      <w:r w:rsidRPr="009F16EB">
        <w:rPr>
          <w:b/>
        </w:rPr>
        <w:t xml:space="preserve"> </w:t>
      </w:r>
      <w:r w:rsidRPr="009F16EB">
        <w:t>Defence practices, doctrine and training.</w:t>
      </w:r>
    </w:p>
    <w:p w14:paraId="3A219A64" w14:textId="365E139A" w:rsidR="001A20CD" w:rsidRDefault="001A20CD" w:rsidP="001A20CD">
      <w:r w:rsidRPr="009F16EB">
        <w:t>The following table, outlining obligations under Articles 4 and 9, is illustrative of the approach in implementing Australia’s Hague Convention</w:t>
      </w:r>
      <w:r w:rsidR="00513739">
        <w:t xml:space="preserve"> 1954</w:t>
      </w:r>
      <w:r w:rsidRPr="009F16EB">
        <w:t xml:space="preserve"> obligations.</w:t>
      </w:r>
    </w:p>
    <w:p w14:paraId="3E5F40E9" w14:textId="6749F3D9" w:rsidR="00172D73" w:rsidRDefault="00172D73">
      <w:pPr>
        <w:spacing w:line="276" w:lineRule="auto"/>
      </w:pPr>
      <w:r>
        <w:br w:type="page"/>
      </w:r>
    </w:p>
    <w:tbl>
      <w:tblPr>
        <w:tblStyle w:val="TableGrid"/>
        <w:tblW w:w="0" w:type="auto"/>
        <w:tblInd w:w="108" w:type="dxa"/>
        <w:tblLook w:val="04A0" w:firstRow="1" w:lastRow="0" w:firstColumn="1" w:lastColumn="0" w:noHBand="0" w:noVBand="1"/>
        <w:tblCaption w:val="Hague Convention Provisions"/>
        <w:tblDescription w:val="The Convention provisions:&#10;Article 4&#10;Using cultural property and its immediate surroundings or the appliances in use for its protection for purposes which are likely to expose it to destruction or damage, except in the event of imperative military necessity. &#10;Requisitioning cultural property situated in the territory of another State Party. &#10;Any act directed by way of reprisals against cultural property. &#10;Any act of hostility directed against cultural property except in the event of imperative military necessity.&#10;Any form of theft, pillage or misappropriation and any acts of vandalism.&#10;&#10;Relevant provisions of Australian legislation and processes:&#10;Reflected in Australian Defence Force (ADF) rules of engagement, violation may amount to an offence under Part III of the Defence Force Discipline Act 1982 (for example, section 27 makes it an offence to disobey a lawful command). Such an offence only applies to conduct of the ADF.&#10;Criminal Code section 268.36 (attacking civilian objects).&#10;Criminal Code section 268.38 (excessive incidental death, injury or damage).&#10;Criminal Code section 268.46 (attacking protected objects in international armed conflict).&#10;Criminal Code section 268.80 (attacking protected objects in non-international armed conflict).&#10;Provisions in various Commonwealth and State/Territory legislation regarding stealing, fraud, burglary and vandalism. &#10;&#10;The Convention provisions:&#10;Article 9&#10;Any use of cultural property under special protection or its surroundings for military purpose. &#10;Any act of hostility against and using cultural property under special protection&#10;&#10;Relevant provisions of Australian legislation and processes:&#10;Reflected in Australian Defence Force (ADF) rules of engagement, violation may amount to an offence under Part III of the Defence Force Discipline Act 1982 (for example, section 27 makes it an offence to disobey a lawful command). Such an offence only applies to conduct of the ADF.&#10;Criminal Code section 268.36 (attacking civilian objects)&#10;Criminal Code section 268.38 (excessive incidental death, injury or damage).&#10;Criminal Code section 268.46 (attacking protected objects in international armed conflict).&#10;Criminal Code section 268.80 (attacking protected objects in non-international armed conflict).&#10;Criminal Code section 268.101 (attacking objects under special protection in international armed conflict).&#10;Criminal Code section 268.115 (responsibility of military commanders and other superiors). &#10;&#10;"/>
      </w:tblPr>
      <w:tblGrid>
        <w:gridCol w:w="3544"/>
        <w:gridCol w:w="5387"/>
      </w:tblGrid>
      <w:tr w:rsidR="001A20CD" w:rsidRPr="009F16EB" w14:paraId="43B0FA59" w14:textId="77777777" w:rsidTr="00332261">
        <w:trPr>
          <w:trHeight w:val="657"/>
          <w:tblHeader/>
        </w:trPr>
        <w:tc>
          <w:tcPr>
            <w:tcW w:w="3544" w:type="dxa"/>
            <w:tcBorders>
              <w:top w:val="single" w:sz="4" w:space="0" w:color="auto"/>
              <w:left w:val="single" w:sz="4" w:space="0" w:color="auto"/>
              <w:bottom w:val="single" w:sz="4" w:space="0" w:color="auto"/>
              <w:right w:val="single" w:sz="4" w:space="0" w:color="auto"/>
            </w:tcBorders>
            <w:shd w:val="clear" w:color="auto" w:fill="D4EAEC"/>
          </w:tcPr>
          <w:p w14:paraId="362CB73C" w14:textId="77777777" w:rsidR="001A20CD" w:rsidRPr="009F16EB" w:rsidRDefault="001A20CD" w:rsidP="003A5D13">
            <w:pPr>
              <w:spacing w:after="200"/>
              <w:rPr>
                <w:b/>
                <w:lang w:val="fr-CH"/>
              </w:rPr>
            </w:pPr>
            <w:r w:rsidRPr="009F16EB">
              <w:rPr>
                <w:rFonts w:cs="Arial"/>
                <w:b/>
                <w:sz w:val="20"/>
                <w:szCs w:val="20"/>
              </w:rPr>
              <w:lastRenderedPageBreak/>
              <w:t>The Convention provisions</w:t>
            </w:r>
          </w:p>
        </w:tc>
        <w:tc>
          <w:tcPr>
            <w:tcW w:w="5387" w:type="dxa"/>
            <w:tcBorders>
              <w:top w:val="single" w:sz="4" w:space="0" w:color="auto"/>
              <w:left w:val="single" w:sz="4" w:space="0" w:color="auto"/>
              <w:bottom w:val="single" w:sz="4" w:space="0" w:color="auto"/>
              <w:right w:val="single" w:sz="4" w:space="0" w:color="auto"/>
            </w:tcBorders>
            <w:shd w:val="clear" w:color="auto" w:fill="D4EAEC"/>
          </w:tcPr>
          <w:p w14:paraId="6C7E4885" w14:textId="77777777" w:rsidR="001A20CD" w:rsidRPr="009F16EB" w:rsidRDefault="001A20CD" w:rsidP="003A5D13">
            <w:pPr>
              <w:spacing w:after="200"/>
              <w:rPr>
                <w:b/>
              </w:rPr>
            </w:pPr>
            <w:r w:rsidRPr="009F16EB">
              <w:rPr>
                <w:rFonts w:cs="Arial"/>
                <w:b/>
                <w:sz w:val="20"/>
                <w:szCs w:val="20"/>
              </w:rPr>
              <w:t>Relevant provisions of Australian legislation and processes</w:t>
            </w:r>
          </w:p>
        </w:tc>
      </w:tr>
      <w:tr w:rsidR="001A20CD" w:rsidRPr="009F16EB" w14:paraId="322C2718" w14:textId="77777777" w:rsidTr="00172D73">
        <w:trPr>
          <w:trHeight w:val="6282"/>
        </w:trPr>
        <w:tc>
          <w:tcPr>
            <w:tcW w:w="3544" w:type="dxa"/>
            <w:tcBorders>
              <w:top w:val="single" w:sz="4" w:space="0" w:color="auto"/>
              <w:left w:val="single" w:sz="4" w:space="0" w:color="auto"/>
              <w:bottom w:val="single" w:sz="4" w:space="0" w:color="auto"/>
              <w:right w:val="single" w:sz="4" w:space="0" w:color="auto"/>
            </w:tcBorders>
          </w:tcPr>
          <w:p w14:paraId="7780EEB0" w14:textId="77777777" w:rsidR="001A20CD" w:rsidRPr="009F16EB" w:rsidRDefault="001A20CD" w:rsidP="003A5D13">
            <w:pPr>
              <w:rPr>
                <w:rFonts w:cs="Arial"/>
                <w:b/>
                <w:sz w:val="18"/>
                <w:szCs w:val="18"/>
              </w:rPr>
            </w:pPr>
            <w:r w:rsidRPr="009F16EB">
              <w:rPr>
                <w:rFonts w:cs="Arial"/>
                <w:b/>
                <w:sz w:val="18"/>
                <w:szCs w:val="18"/>
              </w:rPr>
              <w:t>Article 4</w:t>
            </w:r>
          </w:p>
          <w:p w14:paraId="1EC2F4F6" w14:textId="77777777" w:rsidR="00AA7153" w:rsidRDefault="001A20CD" w:rsidP="006520F3">
            <w:pPr>
              <w:rPr>
                <w:rFonts w:cs="Arial"/>
                <w:sz w:val="20"/>
                <w:szCs w:val="20"/>
              </w:rPr>
            </w:pPr>
            <w:r w:rsidRPr="001B5D3A">
              <w:rPr>
                <w:rFonts w:cs="Arial"/>
                <w:sz w:val="20"/>
                <w:szCs w:val="20"/>
              </w:rPr>
              <w:t>Using cultural property and its immediate surroundings or the appliances in use for its protection for purposes which are likely to expose it to destruction or damage, except in the event of imperative military necessity</w:t>
            </w:r>
            <w:r w:rsidR="00723270">
              <w:rPr>
                <w:rFonts w:cs="Arial"/>
                <w:sz w:val="20"/>
                <w:szCs w:val="20"/>
              </w:rPr>
              <w:t>.</w:t>
            </w:r>
          </w:p>
          <w:p w14:paraId="7AA13EAB" w14:textId="77777777" w:rsidR="00AA7153" w:rsidRDefault="001A20CD" w:rsidP="006520F3">
            <w:pPr>
              <w:rPr>
                <w:rFonts w:cs="Arial"/>
                <w:sz w:val="20"/>
                <w:szCs w:val="20"/>
              </w:rPr>
            </w:pPr>
            <w:r w:rsidRPr="001B5D3A">
              <w:rPr>
                <w:rFonts w:cs="Arial"/>
                <w:sz w:val="20"/>
                <w:szCs w:val="20"/>
              </w:rPr>
              <w:t>Requisitioning cultural property situated in the territory of another State Party</w:t>
            </w:r>
            <w:r w:rsidR="00723270">
              <w:rPr>
                <w:rFonts w:cs="Arial"/>
                <w:sz w:val="20"/>
                <w:szCs w:val="20"/>
              </w:rPr>
              <w:t>.</w:t>
            </w:r>
          </w:p>
          <w:p w14:paraId="4A27058E" w14:textId="77777777" w:rsidR="00AA7153" w:rsidRDefault="001A20CD" w:rsidP="006520F3">
            <w:pPr>
              <w:keepNext/>
              <w:keepLines/>
              <w:outlineLvl w:val="5"/>
              <w:rPr>
                <w:rFonts w:cs="Arial"/>
                <w:sz w:val="20"/>
                <w:szCs w:val="20"/>
              </w:rPr>
            </w:pPr>
            <w:r w:rsidRPr="001B5D3A">
              <w:rPr>
                <w:rFonts w:cs="Arial"/>
                <w:sz w:val="20"/>
                <w:szCs w:val="20"/>
              </w:rPr>
              <w:t>Any act directed by way of reprisals against cultural property</w:t>
            </w:r>
            <w:r w:rsidR="00723270">
              <w:rPr>
                <w:rFonts w:cs="Arial"/>
                <w:sz w:val="20"/>
                <w:szCs w:val="20"/>
              </w:rPr>
              <w:t>.</w:t>
            </w:r>
          </w:p>
          <w:p w14:paraId="58AC0CAE" w14:textId="16EE2C52" w:rsidR="001A20CD" w:rsidRPr="001B5D3A" w:rsidRDefault="001A20CD" w:rsidP="006520F3">
            <w:pPr>
              <w:keepNext/>
              <w:keepLines/>
              <w:outlineLvl w:val="5"/>
              <w:rPr>
                <w:rFonts w:cs="Arial"/>
                <w:sz w:val="20"/>
                <w:szCs w:val="20"/>
              </w:rPr>
            </w:pPr>
            <w:r w:rsidRPr="001B5D3A">
              <w:rPr>
                <w:rFonts w:cs="Arial"/>
                <w:sz w:val="20"/>
                <w:szCs w:val="20"/>
              </w:rPr>
              <w:t>Any act of hostility directed against cultural property except in the event of imperative military necessity</w:t>
            </w:r>
            <w:r w:rsidR="00723270">
              <w:rPr>
                <w:rFonts w:cs="Arial"/>
                <w:sz w:val="20"/>
                <w:szCs w:val="20"/>
              </w:rPr>
              <w:t>.</w:t>
            </w:r>
          </w:p>
          <w:p w14:paraId="5B6F5423" w14:textId="021D48DD" w:rsidR="001A20CD" w:rsidRPr="009F16EB" w:rsidRDefault="001A20CD" w:rsidP="006520F3">
            <w:pPr>
              <w:keepNext/>
              <w:keepLines/>
              <w:outlineLvl w:val="5"/>
              <w:rPr>
                <w:sz w:val="18"/>
                <w:szCs w:val="18"/>
              </w:rPr>
            </w:pPr>
            <w:r w:rsidRPr="001B5D3A">
              <w:rPr>
                <w:rFonts w:cs="Arial"/>
                <w:sz w:val="20"/>
                <w:szCs w:val="20"/>
              </w:rPr>
              <w:t>Any form of theft, pillage or misappropriation and any acts of vandalism</w:t>
            </w:r>
            <w:r w:rsidR="00723270">
              <w:rPr>
                <w:rFonts w:cs="Arial"/>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58FBB641" w14:textId="77777777" w:rsidR="001A20CD" w:rsidRPr="001B5D3A" w:rsidRDefault="001A20CD" w:rsidP="006520F3">
            <w:pPr>
              <w:keepNext/>
              <w:keepLines/>
              <w:outlineLvl w:val="5"/>
              <w:rPr>
                <w:rFonts w:cs="Arial"/>
                <w:sz w:val="20"/>
                <w:szCs w:val="20"/>
              </w:rPr>
            </w:pPr>
            <w:r w:rsidRPr="001B5D3A">
              <w:rPr>
                <w:rFonts w:cs="Arial"/>
                <w:sz w:val="20"/>
                <w:szCs w:val="20"/>
              </w:rPr>
              <w:t xml:space="preserve">Reflected in Australian Defence Force (ADF) rules of engagement, violation may amount to an offence under Part III of the </w:t>
            </w:r>
            <w:r w:rsidRPr="001B5D3A">
              <w:rPr>
                <w:rFonts w:cs="Arial"/>
                <w:i/>
                <w:sz w:val="20"/>
                <w:szCs w:val="20"/>
              </w:rPr>
              <w:t>Defence Force Discipline Act</w:t>
            </w:r>
            <w:r w:rsidRPr="001B5D3A">
              <w:rPr>
                <w:rFonts w:cs="Arial"/>
                <w:sz w:val="20"/>
                <w:szCs w:val="20"/>
              </w:rPr>
              <w:t xml:space="preserve"> </w:t>
            </w:r>
            <w:r w:rsidRPr="001B5D3A">
              <w:rPr>
                <w:rFonts w:cs="Arial"/>
                <w:i/>
                <w:sz w:val="20"/>
                <w:szCs w:val="20"/>
              </w:rPr>
              <w:t>1982</w:t>
            </w:r>
            <w:r w:rsidRPr="001B5D3A">
              <w:rPr>
                <w:rFonts w:cs="Arial"/>
                <w:sz w:val="20"/>
                <w:szCs w:val="20"/>
              </w:rPr>
              <w:t xml:space="preserve"> (for example, section 27 makes it an offence to disobey a lawful command). Such an offence only applies to conduct of the ADF.</w:t>
            </w:r>
          </w:p>
          <w:p w14:paraId="4B8BB8E6" w14:textId="388103E1" w:rsidR="001A20CD" w:rsidRPr="001B5D3A" w:rsidRDefault="001A20CD" w:rsidP="006520F3">
            <w:pPr>
              <w:rPr>
                <w:rFonts w:cs="Arial"/>
                <w:sz w:val="20"/>
                <w:szCs w:val="20"/>
              </w:rPr>
            </w:pPr>
            <w:r w:rsidRPr="001B5D3A">
              <w:rPr>
                <w:rFonts w:cs="Arial"/>
                <w:sz w:val="20"/>
                <w:szCs w:val="20"/>
              </w:rPr>
              <w:t>Criminal Code section 268.36 (attacking civilian objects)</w:t>
            </w:r>
            <w:r w:rsidR="00723270">
              <w:rPr>
                <w:rFonts w:cs="Arial"/>
                <w:sz w:val="20"/>
                <w:szCs w:val="20"/>
              </w:rPr>
              <w:t>.</w:t>
            </w:r>
          </w:p>
          <w:p w14:paraId="4A412EDD" w14:textId="487E8E0E" w:rsidR="001A20CD" w:rsidRPr="001B5D3A" w:rsidRDefault="001A20CD" w:rsidP="006520F3">
            <w:pPr>
              <w:rPr>
                <w:rFonts w:cs="Arial"/>
                <w:sz w:val="20"/>
                <w:szCs w:val="20"/>
              </w:rPr>
            </w:pPr>
            <w:r w:rsidRPr="001B5D3A">
              <w:rPr>
                <w:rFonts w:cs="Arial"/>
                <w:sz w:val="20"/>
                <w:szCs w:val="20"/>
              </w:rPr>
              <w:t>Criminal Code section 268.38 (excessive incidental death, injury or damage)</w:t>
            </w:r>
            <w:r w:rsidR="00723270">
              <w:rPr>
                <w:rFonts w:cs="Arial"/>
                <w:sz w:val="20"/>
                <w:szCs w:val="20"/>
              </w:rPr>
              <w:t>.</w:t>
            </w:r>
          </w:p>
          <w:p w14:paraId="41AFAFEC" w14:textId="3A1C8C39" w:rsidR="001A20CD" w:rsidRPr="001B5D3A" w:rsidRDefault="001A20CD" w:rsidP="006520F3">
            <w:pPr>
              <w:rPr>
                <w:rFonts w:cs="Arial"/>
                <w:sz w:val="20"/>
                <w:szCs w:val="20"/>
              </w:rPr>
            </w:pPr>
            <w:r w:rsidRPr="001B5D3A">
              <w:rPr>
                <w:rFonts w:cs="Arial"/>
                <w:sz w:val="20"/>
                <w:szCs w:val="20"/>
              </w:rPr>
              <w:t>Criminal Code section 268.46 (attacking protected objects in international armed conflict)</w:t>
            </w:r>
            <w:r w:rsidR="00723270">
              <w:rPr>
                <w:rFonts w:cs="Arial"/>
                <w:sz w:val="20"/>
                <w:szCs w:val="20"/>
              </w:rPr>
              <w:t>.</w:t>
            </w:r>
          </w:p>
          <w:p w14:paraId="0BFCD032" w14:textId="743C3814" w:rsidR="001A20CD" w:rsidRPr="001B5D3A" w:rsidRDefault="001A20CD" w:rsidP="006520F3">
            <w:pPr>
              <w:rPr>
                <w:rFonts w:cs="Arial"/>
                <w:sz w:val="20"/>
                <w:szCs w:val="20"/>
              </w:rPr>
            </w:pPr>
            <w:r w:rsidRPr="001B5D3A">
              <w:rPr>
                <w:rFonts w:cs="Arial"/>
                <w:sz w:val="20"/>
                <w:szCs w:val="20"/>
              </w:rPr>
              <w:t>Criminal Code section 268.80 (attacking protected objects in non-international armed conflict)</w:t>
            </w:r>
            <w:r w:rsidR="00723270">
              <w:rPr>
                <w:rFonts w:cs="Arial"/>
                <w:sz w:val="20"/>
                <w:szCs w:val="20"/>
              </w:rPr>
              <w:t>.</w:t>
            </w:r>
          </w:p>
          <w:p w14:paraId="7CCBD15F" w14:textId="77777777" w:rsidR="001A20CD" w:rsidRPr="009F16EB" w:rsidRDefault="001A20CD" w:rsidP="006520F3">
            <w:pPr>
              <w:keepNext/>
              <w:keepLines/>
              <w:outlineLvl w:val="5"/>
              <w:rPr>
                <w:sz w:val="18"/>
                <w:szCs w:val="18"/>
              </w:rPr>
            </w:pPr>
            <w:r w:rsidRPr="001B5D3A">
              <w:rPr>
                <w:rFonts w:cs="Arial"/>
                <w:sz w:val="20"/>
                <w:szCs w:val="20"/>
              </w:rPr>
              <w:t>Provisions in various Commonwealth and State/Territory legislation regarding stealing, fraud, burglary and vandalism.</w:t>
            </w:r>
            <w:r w:rsidRPr="001B5D3A">
              <w:rPr>
                <w:rStyle w:val="FootnoteReference"/>
                <w:rFonts w:cs="Arial"/>
                <w:sz w:val="20"/>
                <w:szCs w:val="20"/>
              </w:rPr>
              <w:footnoteReference w:id="96"/>
            </w:r>
          </w:p>
        </w:tc>
      </w:tr>
      <w:tr w:rsidR="001A20CD" w:rsidRPr="009F16EB" w14:paraId="60F39506" w14:textId="77777777" w:rsidTr="00172D73">
        <w:tc>
          <w:tcPr>
            <w:tcW w:w="3544" w:type="dxa"/>
            <w:tcBorders>
              <w:top w:val="single" w:sz="4" w:space="0" w:color="auto"/>
              <w:left w:val="single" w:sz="4" w:space="0" w:color="auto"/>
              <w:bottom w:val="single" w:sz="4" w:space="0" w:color="auto"/>
              <w:right w:val="single" w:sz="4" w:space="0" w:color="auto"/>
            </w:tcBorders>
          </w:tcPr>
          <w:p w14:paraId="62E487AD" w14:textId="77777777" w:rsidR="001A20CD" w:rsidRPr="009F16EB" w:rsidRDefault="001A20CD" w:rsidP="006520F3">
            <w:pPr>
              <w:rPr>
                <w:rFonts w:cs="Arial"/>
                <w:b/>
                <w:sz w:val="18"/>
                <w:szCs w:val="18"/>
              </w:rPr>
            </w:pPr>
            <w:r w:rsidRPr="009F16EB">
              <w:rPr>
                <w:rFonts w:cs="Arial"/>
                <w:b/>
                <w:sz w:val="18"/>
                <w:szCs w:val="18"/>
              </w:rPr>
              <w:t>Article 9</w:t>
            </w:r>
          </w:p>
          <w:p w14:paraId="16AFC35E" w14:textId="77777777" w:rsidR="00332261" w:rsidRDefault="001A20CD" w:rsidP="00332261">
            <w:pPr>
              <w:rPr>
                <w:rFonts w:cs="Arial"/>
                <w:sz w:val="20"/>
                <w:szCs w:val="20"/>
              </w:rPr>
            </w:pPr>
            <w:r w:rsidRPr="001B5D3A">
              <w:rPr>
                <w:rFonts w:cs="Arial"/>
                <w:sz w:val="20"/>
                <w:szCs w:val="20"/>
              </w:rPr>
              <w:t>Any use of cultural property under special protection or its surroundings for military purpose</w:t>
            </w:r>
            <w:r w:rsidR="00723270">
              <w:rPr>
                <w:rFonts w:cs="Arial"/>
                <w:sz w:val="20"/>
                <w:szCs w:val="20"/>
              </w:rPr>
              <w:t>.</w:t>
            </w:r>
          </w:p>
          <w:p w14:paraId="2A4AB192" w14:textId="7FD1F318" w:rsidR="001A20CD" w:rsidRPr="009F16EB" w:rsidRDefault="001A20CD" w:rsidP="00332261">
            <w:pPr>
              <w:spacing w:before="720"/>
              <w:rPr>
                <w:sz w:val="18"/>
                <w:szCs w:val="18"/>
              </w:rPr>
            </w:pPr>
            <w:r w:rsidRPr="001B5D3A">
              <w:rPr>
                <w:rFonts w:cs="Arial"/>
                <w:sz w:val="20"/>
                <w:szCs w:val="20"/>
              </w:rPr>
              <w:t>Any act of hostility against and using cultural property under special protection</w:t>
            </w:r>
          </w:p>
        </w:tc>
        <w:tc>
          <w:tcPr>
            <w:tcW w:w="5387" w:type="dxa"/>
            <w:tcBorders>
              <w:top w:val="single" w:sz="4" w:space="0" w:color="auto"/>
              <w:left w:val="single" w:sz="4" w:space="0" w:color="auto"/>
              <w:bottom w:val="single" w:sz="4" w:space="0" w:color="auto"/>
              <w:right w:val="single" w:sz="4" w:space="0" w:color="auto"/>
            </w:tcBorders>
          </w:tcPr>
          <w:p w14:paraId="0E8AEF9B" w14:textId="77777777" w:rsidR="001A20CD" w:rsidRPr="001B5D3A" w:rsidRDefault="001A20CD" w:rsidP="006520F3">
            <w:pPr>
              <w:keepNext/>
              <w:keepLines/>
              <w:outlineLvl w:val="5"/>
              <w:rPr>
                <w:rFonts w:cs="Arial"/>
                <w:sz w:val="20"/>
                <w:szCs w:val="20"/>
              </w:rPr>
            </w:pPr>
            <w:r w:rsidRPr="001B5D3A">
              <w:rPr>
                <w:rFonts w:cs="Arial"/>
                <w:sz w:val="20"/>
                <w:szCs w:val="20"/>
              </w:rPr>
              <w:t xml:space="preserve">Reflected in Australian Defence Force (ADF) rules of engagement, violation may amount to an offence under Part III of the </w:t>
            </w:r>
            <w:r w:rsidRPr="001B5D3A">
              <w:rPr>
                <w:rFonts w:cs="Arial"/>
                <w:i/>
                <w:sz w:val="20"/>
                <w:szCs w:val="20"/>
              </w:rPr>
              <w:t>Defence Force Discipline Act</w:t>
            </w:r>
            <w:r w:rsidRPr="001B5D3A">
              <w:rPr>
                <w:rFonts w:cs="Arial"/>
                <w:sz w:val="20"/>
                <w:szCs w:val="20"/>
              </w:rPr>
              <w:t xml:space="preserve"> </w:t>
            </w:r>
            <w:r w:rsidRPr="001B5D3A">
              <w:rPr>
                <w:rFonts w:cs="Arial"/>
                <w:i/>
                <w:sz w:val="20"/>
                <w:szCs w:val="20"/>
              </w:rPr>
              <w:t>1982</w:t>
            </w:r>
            <w:r w:rsidRPr="001B5D3A">
              <w:rPr>
                <w:rFonts w:cs="Arial"/>
                <w:sz w:val="20"/>
                <w:szCs w:val="20"/>
              </w:rPr>
              <w:t xml:space="preserve"> (for example, section 27 makes it an offence to disobey a lawful command). Such an offence only applies to conduct of the ADF.</w:t>
            </w:r>
          </w:p>
          <w:p w14:paraId="0316BE51" w14:textId="77777777" w:rsidR="001A20CD" w:rsidRPr="001B5D3A" w:rsidRDefault="001A20CD" w:rsidP="006520F3">
            <w:pPr>
              <w:rPr>
                <w:rFonts w:cs="Arial"/>
                <w:sz w:val="20"/>
                <w:szCs w:val="20"/>
              </w:rPr>
            </w:pPr>
            <w:r w:rsidRPr="001B5D3A">
              <w:rPr>
                <w:rFonts w:cs="Arial"/>
                <w:sz w:val="20"/>
                <w:szCs w:val="20"/>
              </w:rPr>
              <w:t>Criminal Code section 268.36 (attacking civilian objects)</w:t>
            </w:r>
          </w:p>
          <w:p w14:paraId="1A8FD4F6" w14:textId="00711DAE" w:rsidR="001A20CD" w:rsidRPr="001B5D3A" w:rsidRDefault="001A20CD" w:rsidP="006520F3">
            <w:pPr>
              <w:rPr>
                <w:rFonts w:cs="Arial"/>
                <w:sz w:val="20"/>
                <w:szCs w:val="20"/>
              </w:rPr>
            </w:pPr>
            <w:r w:rsidRPr="001B5D3A">
              <w:rPr>
                <w:rFonts w:cs="Arial"/>
                <w:sz w:val="20"/>
                <w:szCs w:val="20"/>
              </w:rPr>
              <w:t>Criminal Code section 268.38 (excessive incidental death, injury or damage)</w:t>
            </w:r>
            <w:r w:rsidR="00723270">
              <w:rPr>
                <w:rFonts w:cs="Arial"/>
                <w:sz w:val="20"/>
                <w:szCs w:val="20"/>
              </w:rPr>
              <w:t>.</w:t>
            </w:r>
          </w:p>
          <w:p w14:paraId="1AE9A94E" w14:textId="0E8C3B9C" w:rsidR="001A20CD" w:rsidRPr="001B5D3A" w:rsidRDefault="001A20CD" w:rsidP="006520F3">
            <w:pPr>
              <w:rPr>
                <w:rFonts w:cs="Arial"/>
                <w:sz w:val="20"/>
                <w:szCs w:val="20"/>
              </w:rPr>
            </w:pPr>
            <w:r w:rsidRPr="001B5D3A">
              <w:rPr>
                <w:rFonts w:cs="Arial"/>
                <w:sz w:val="20"/>
                <w:szCs w:val="20"/>
              </w:rPr>
              <w:t>Criminal Code section 268.46 (attacking protected objects in international armed conflict)</w:t>
            </w:r>
            <w:r w:rsidR="00723270">
              <w:rPr>
                <w:rFonts w:cs="Arial"/>
                <w:sz w:val="20"/>
                <w:szCs w:val="20"/>
              </w:rPr>
              <w:t>.</w:t>
            </w:r>
          </w:p>
          <w:p w14:paraId="1110C7D7" w14:textId="34D78745" w:rsidR="001A20CD" w:rsidRPr="001B5D3A" w:rsidRDefault="001A20CD" w:rsidP="006520F3">
            <w:pPr>
              <w:rPr>
                <w:rFonts w:cs="Arial"/>
                <w:sz w:val="20"/>
                <w:szCs w:val="20"/>
              </w:rPr>
            </w:pPr>
            <w:r w:rsidRPr="001B5D3A">
              <w:rPr>
                <w:rFonts w:cs="Arial"/>
                <w:sz w:val="20"/>
                <w:szCs w:val="20"/>
              </w:rPr>
              <w:t>Criminal Code section 268.80 (attacking protected objects in non-international armed conflict)</w:t>
            </w:r>
            <w:r w:rsidR="00723270">
              <w:rPr>
                <w:rFonts w:cs="Arial"/>
                <w:sz w:val="20"/>
                <w:szCs w:val="20"/>
              </w:rPr>
              <w:t>.</w:t>
            </w:r>
          </w:p>
          <w:p w14:paraId="4BCF46EA" w14:textId="4B6D3EDD" w:rsidR="001A20CD" w:rsidRPr="001B5D3A" w:rsidRDefault="001A20CD" w:rsidP="006520F3">
            <w:pPr>
              <w:rPr>
                <w:rFonts w:cs="Arial"/>
                <w:sz w:val="20"/>
                <w:szCs w:val="20"/>
              </w:rPr>
            </w:pPr>
            <w:r w:rsidRPr="001B5D3A">
              <w:rPr>
                <w:rFonts w:cs="Arial"/>
                <w:sz w:val="20"/>
                <w:szCs w:val="20"/>
              </w:rPr>
              <w:t>Criminal Code section 268.101 (attacking objects under special protection in international armed conflict)</w:t>
            </w:r>
            <w:r w:rsidR="00723270">
              <w:rPr>
                <w:rFonts w:cs="Arial"/>
                <w:sz w:val="20"/>
                <w:szCs w:val="20"/>
              </w:rPr>
              <w:t>.</w:t>
            </w:r>
          </w:p>
          <w:p w14:paraId="69E0679B" w14:textId="39118FD8" w:rsidR="001A20CD" w:rsidRPr="009F16EB" w:rsidRDefault="001A20CD" w:rsidP="006520F3">
            <w:pPr>
              <w:rPr>
                <w:sz w:val="18"/>
                <w:szCs w:val="18"/>
              </w:rPr>
            </w:pPr>
            <w:r w:rsidRPr="001B5D3A">
              <w:rPr>
                <w:rFonts w:cs="Arial"/>
                <w:sz w:val="20"/>
                <w:szCs w:val="20"/>
              </w:rPr>
              <w:lastRenderedPageBreak/>
              <w:t>Criminal Code section 268.115 (responsibility of military commanders and other superiors)</w:t>
            </w:r>
            <w:r w:rsidR="00723270">
              <w:rPr>
                <w:rFonts w:cs="Arial"/>
                <w:sz w:val="20"/>
                <w:szCs w:val="20"/>
              </w:rPr>
              <w:t>.</w:t>
            </w:r>
            <w:r w:rsidRPr="001B5D3A">
              <w:rPr>
                <w:rStyle w:val="FootnoteReference"/>
                <w:rFonts w:cs="Arial"/>
                <w:sz w:val="20"/>
                <w:szCs w:val="20"/>
              </w:rPr>
              <w:footnoteReference w:id="97"/>
            </w:r>
          </w:p>
        </w:tc>
      </w:tr>
    </w:tbl>
    <w:p w14:paraId="474D4D55" w14:textId="77777777" w:rsidR="00AA7153" w:rsidRDefault="001A20CD" w:rsidP="001A20CD">
      <w:r w:rsidRPr="009F16EB">
        <w:lastRenderedPageBreak/>
        <w:t>Given that Australia ratified the Convention more than 30 years ago, sufficient time has passed and experience gained to mollify some of the earlier concerns that may have been held as to the effect that it might have on the country’s ability to act in war zones. Arguably, that time has also been sufficient to demonstrate that simple enhancements could be made.</w:t>
      </w:r>
    </w:p>
    <w:p w14:paraId="4DA1E2A0" w14:textId="560CE22A" w:rsidR="001A20CD" w:rsidRPr="009F16EB" w:rsidRDefault="001A20CD" w:rsidP="001A20CD">
      <w:r w:rsidRPr="009F16EB">
        <w:rPr>
          <w:noProof/>
          <w:lang w:eastAsia="en-AU"/>
        </w:rPr>
        <w:drawing>
          <wp:inline distT="0" distB="0" distL="0" distR="0" wp14:anchorId="3B63582A" wp14:editId="20951BAA">
            <wp:extent cx="5408246" cy="3275763"/>
            <wp:effectExtent l="0" t="0" r="2540" b="1270"/>
            <wp:docPr id="5" name="Picture 5" descr="World map highlighting the 126 state parties to the Hague Convention 1954. State Parties listed at &lt;http://www.unesco.org/&gt;" title="Figure 18 – State Parties to the Hague Convention 1954 (126 state pa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gu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2861" cy="3278558"/>
                    </a:xfrm>
                    <a:prstGeom prst="rect">
                      <a:avLst/>
                    </a:prstGeom>
                    <a:noFill/>
                    <a:ln>
                      <a:noFill/>
                    </a:ln>
                  </pic:spPr>
                </pic:pic>
              </a:graphicData>
            </a:graphic>
          </wp:inline>
        </w:drawing>
      </w:r>
    </w:p>
    <w:p w14:paraId="567FEE56" w14:textId="488005E4" w:rsidR="001A20CD" w:rsidRPr="001B5D3A" w:rsidRDefault="00E26817" w:rsidP="00172D73">
      <w:pPr>
        <w:ind w:left="284"/>
        <w:rPr>
          <w:i/>
          <w:sz w:val="20"/>
          <w:szCs w:val="20"/>
        </w:rPr>
      </w:pPr>
      <w:r>
        <w:rPr>
          <w:i/>
          <w:sz w:val="20"/>
          <w:szCs w:val="20"/>
        </w:rPr>
        <w:t>Figure 18</w:t>
      </w:r>
      <w:r w:rsidR="00801A32">
        <w:rPr>
          <w:i/>
          <w:sz w:val="20"/>
          <w:szCs w:val="20"/>
        </w:rPr>
        <w:t>—</w:t>
      </w:r>
      <w:r w:rsidR="001A20CD" w:rsidRPr="001B5D3A">
        <w:rPr>
          <w:i/>
          <w:sz w:val="20"/>
          <w:szCs w:val="20"/>
        </w:rPr>
        <w:t>State Parties to the Hague Convention 1954 (126 state parties).</w:t>
      </w:r>
      <w:r w:rsidR="001A20CD" w:rsidRPr="001B5D3A">
        <w:rPr>
          <w:rStyle w:val="FootnoteReference"/>
          <w:i/>
          <w:sz w:val="20"/>
          <w:szCs w:val="20"/>
        </w:rPr>
        <w:footnoteReference w:id="98"/>
      </w:r>
    </w:p>
    <w:p w14:paraId="2C684AE6" w14:textId="77777777" w:rsidR="006520F3" w:rsidRDefault="006520F3">
      <w:pPr>
        <w:spacing w:line="276" w:lineRule="auto"/>
        <w:rPr>
          <w:rFonts w:asciiTheme="majorHAnsi" w:eastAsiaTheme="majorEastAsia" w:hAnsiTheme="majorHAnsi" w:cstheme="majorBidi"/>
          <w:b/>
          <w:bCs/>
          <w:color w:val="1F7377"/>
        </w:rPr>
      </w:pPr>
      <w:r>
        <w:br w:type="page"/>
      </w:r>
    </w:p>
    <w:p w14:paraId="04E74DC2" w14:textId="2DB8FA55" w:rsidR="001A20CD" w:rsidRPr="009F16EB" w:rsidRDefault="001A20CD" w:rsidP="004B02E4">
      <w:pPr>
        <w:pStyle w:val="Heading3"/>
      </w:pPr>
      <w:r w:rsidRPr="009F16EB">
        <w:lastRenderedPageBreak/>
        <w:t>The Hague Convention First Protocol</w:t>
      </w:r>
    </w:p>
    <w:p w14:paraId="41FA23BB" w14:textId="20753964" w:rsidR="00AA7153" w:rsidRDefault="001A20CD" w:rsidP="000A0230">
      <w:r w:rsidRPr="009F16EB">
        <w:t>The primary focus of the First Protocol is to prohibit and inhibit the illicit trade in objects stolen during armed conflict</w:t>
      </w:r>
      <w:r w:rsidR="00801A32">
        <w:t>—</w:t>
      </w:r>
      <w:r w:rsidRPr="009F16EB">
        <w:t xml:space="preserve">which aligns it strongly with the focus of the Act. </w:t>
      </w:r>
    </w:p>
    <w:p w14:paraId="1DCA9917" w14:textId="77777777" w:rsidR="00AA7153" w:rsidRDefault="001A20CD" w:rsidP="000A0230">
      <w:r w:rsidRPr="009F16EB">
        <w:t>While the Hague Convention focuses on the protection of cultural property situated in inter-nation war zones, the First Protocol extends this protection to cultural property that has been stolen during all armed conflicts.</w:t>
      </w:r>
    </w:p>
    <w:p w14:paraId="76526F3C" w14:textId="77777777" w:rsidR="00AA7153" w:rsidRDefault="001A20CD" w:rsidP="000A0230">
      <w:r w:rsidRPr="009F16EB">
        <w:t>The First Protocol was concluded on 14 May 1954, the same date as the principal Hague Convention. One of the characteristics of the war that had just ended (like so many of them for centuries past and since) had been the sheer volume of cultural property that had been taken from its owners. Some of this had been straightforward looting but much had been done under the pretence of pseudo-legality.</w:t>
      </w:r>
    </w:p>
    <w:p w14:paraId="436DF534" w14:textId="005FCD45" w:rsidR="001A20CD" w:rsidRDefault="001A20CD" w:rsidP="000A0230">
      <w:r w:rsidRPr="009F16EB">
        <w:t>When the war ended, the Final Act of the 1945 Paris Conference on Reparations provided some restitution mechanisms but many considered that they were flawed, or at least, did not go far enough. In particular, many considered that there needed to be positive, practical mechanisms to prohibit the illegal trafficking of cultural material. These criticisms were taken into account by those drafting the Hague Convention</w:t>
      </w:r>
      <w:r w:rsidRPr="009F16EB">
        <w:rPr>
          <w:i/>
        </w:rPr>
        <w:t xml:space="preserve"> </w:t>
      </w:r>
      <w:r w:rsidRPr="009F16EB">
        <w:t>and in the initial draft they included a provision that stated:</w:t>
      </w:r>
    </w:p>
    <w:p w14:paraId="0E3E85C7" w14:textId="0A781E4F" w:rsidR="00953E82" w:rsidRPr="00953E82" w:rsidRDefault="004B02E4" w:rsidP="00DC2B9B">
      <w:pPr>
        <w:ind w:left="567"/>
      </w:pPr>
      <w:bookmarkStart w:id="294" w:name="_Toc431223028"/>
      <w:bookmarkStart w:id="295" w:name="_Toc431303175"/>
      <w:bookmarkStart w:id="296" w:name="_Toc431307823"/>
      <w:r w:rsidRPr="00DC2B9B">
        <w:rPr>
          <w:i/>
          <w:sz w:val="20"/>
          <w:szCs w:val="20"/>
        </w:rPr>
        <w:t>If during an occupation, a cultural property has changed hands and been exported, the restitution of that property may be required of its last holder within a period of ten years from the date on which it becomes possible to bring an action for restitution before a competent magistrate. If, however, the last holder can show proof that the property changed hands as a result of a legal transaction carried out without extortion of consent, the action for restitution shall be dismissed.</w:t>
      </w:r>
      <w:r w:rsidR="00953E82" w:rsidRPr="00DC2B9B">
        <w:rPr>
          <w:vertAlign w:val="superscript"/>
        </w:rPr>
        <w:footnoteReference w:id="99"/>
      </w:r>
    </w:p>
    <w:bookmarkEnd w:id="294"/>
    <w:bookmarkEnd w:id="295"/>
    <w:bookmarkEnd w:id="296"/>
    <w:p w14:paraId="6EAC4C48" w14:textId="18A7CBE6" w:rsidR="001A20CD" w:rsidRPr="009F16EB" w:rsidRDefault="001A20CD" w:rsidP="00DC2B9B">
      <w:pPr>
        <w:rPr>
          <w:i/>
        </w:rPr>
      </w:pPr>
      <w:r w:rsidRPr="009F16EB">
        <w:t>This draft provision was much disputed. Had it remained, several countries would have refused to sign the Hague Convention so it was agreed that the mechanisms relating to the international trafficking and repatriation of looted property would be split off into a separate document, the First Protocol.</w:t>
      </w:r>
      <w:r w:rsidR="00DC2B9B">
        <w:rPr>
          <w:rStyle w:val="FootnoteReference"/>
        </w:rPr>
        <w:footnoteReference w:id="100"/>
      </w:r>
    </w:p>
    <w:p w14:paraId="62F751D4" w14:textId="77777777" w:rsidR="001A20CD" w:rsidRPr="009F16EB" w:rsidRDefault="001A20CD" w:rsidP="004B02E4">
      <w:pPr>
        <w:pStyle w:val="Heading4"/>
      </w:pPr>
      <w:r w:rsidRPr="009F16EB">
        <w:lastRenderedPageBreak/>
        <w:t>Analysis of First Protocol provisions</w:t>
      </w:r>
    </w:p>
    <w:p w14:paraId="450B0C9B" w14:textId="77777777" w:rsidR="001A20CD" w:rsidRPr="009F16EB" w:rsidRDefault="001A20CD" w:rsidP="001A20CD">
      <w:r w:rsidRPr="009F16EB">
        <w:t>The First Protocol is brief. The majority of the provisions relate directly to the export and import of cultural material which could easily be fulfilled under the new model. First, each party makes a number of undertakings:</w:t>
      </w:r>
    </w:p>
    <w:p w14:paraId="53EF60F0" w14:textId="77777777" w:rsidR="001A20CD" w:rsidRPr="009F16EB" w:rsidRDefault="001A20CD" w:rsidP="00C66090">
      <w:pPr>
        <w:ind w:left="567"/>
        <w:rPr>
          <w:i/>
        </w:rPr>
      </w:pPr>
      <w:proofErr w:type="gramStart"/>
      <w:r w:rsidRPr="00273139">
        <w:rPr>
          <w:i/>
          <w:sz w:val="20"/>
          <w:szCs w:val="20"/>
        </w:rPr>
        <w:t>to</w:t>
      </w:r>
      <w:proofErr w:type="gramEnd"/>
      <w:r w:rsidRPr="00273139">
        <w:rPr>
          <w:i/>
          <w:sz w:val="20"/>
          <w:szCs w:val="20"/>
        </w:rPr>
        <w:t xml:space="preserve"> take into its custody any cultural property imported into its territory either directly or indirectly from any occupied territory</w:t>
      </w:r>
      <w:r w:rsidRPr="009F16EB">
        <w:rPr>
          <w:i/>
        </w:rPr>
        <w:t>;</w:t>
      </w:r>
      <w:r w:rsidRPr="001B5D3A">
        <w:rPr>
          <w:rStyle w:val="FootnoteReference"/>
          <w:i/>
          <w:sz w:val="20"/>
          <w:szCs w:val="20"/>
        </w:rPr>
        <w:footnoteReference w:id="101"/>
      </w:r>
    </w:p>
    <w:p w14:paraId="2166ADBB" w14:textId="77777777" w:rsidR="001A20CD" w:rsidRPr="009F16EB" w:rsidRDefault="001A20CD" w:rsidP="00C66090">
      <w:pPr>
        <w:ind w:left="567"/>
        <w:rPr>
          <w:i/>
        </w:rPr>
      </w:pPr>
      <w:proofErr w:type="gramStart"/>
      <w:r w:rsidRPr="009F16EB">
        <w:t>and</w:t>
      </w:r>
      <w:proofErr w:type="gramEnd"/>
    </w:p>
    <w:p w14:paraId="46E669F4" w14:textId="77777777" w:rsidR="00AA7153" w:rsidRDefault="001A20CD" w:rsidP="00DC2B9B">
      <w:pPr>
        <w:ind w:left="567"/>
        <w:rPr>
          <w:i/>
          <w:sz w:val="20"/>
          <w:szCs w:val="20"/>
        </w:rPr>
      </w:pPr>
      <w:proofErr w:type="gramStart"/>
      <w:r w:rsidRPr="00DC2B9B">
        <w:rPr>
          <w:i/>
          <w:sz w:val="20"/>
          <w:szCs w:val="20"/>
        </w:rPr>
        <w:t>to</w:t>
      </w:r>
      <w:proofErr w:type="gramEnd"/>
      <w:r w:rsidRPr="00DC2B9B">
        <w:rPr>
          <w:i/>
          <w:sz w:val="20"/>
          <w:szCs w:val="20"/>
        </w:rPr>
        <w:t xml:space="preserve"> return, at the close of hostilities, to the competent authorities of the territory previously occupied, cultural property which is in its territory, if such property has been exported in contravention of the principle laid down in the first paragraph. Such property shall never be retained as war reparations.</w:t>
      </w:r>
      <w:r w:rsidR="00723270" w:rsidRPr="00DC2B9B">
        <w:rPr>
          <w:i/>
          <w:sz w:val="20"/>
          <w:szCs w:val="20"/>
          <w:vertAlign w:val="superscript"/>
        </w:rPr>
        <w:footnoteReference w:id="102"/>
      </w:r>
    </w:p>
    <w:p w14:paraId="6DC3A44B" w14:textId="77777777" w:rsidR="00AA7153" w:rsidRDefault="001A20CD" w:rsidP="001A20CD">
      <w:r>
        <w:t>Such</w:t>
      </w:r>
      <w:r w:rsidRPr="009F16EB">
        <w:t xml:space="preserve"> concepts are inarguably proper and completely consistent with Australia’s expressed ethical position.</w:t>
      </w:r>
    </w:p>
    <w:p w14:paraId="07031672" w14:textId="77777777" w:rsidR="00AA7153" w:rsidRDefault="001A20CD" w:rsidP="001A20CD">
      <w:r>
        <w:t>It</w:t>
      </w:r>
      <w:r w:rsidRPr="009F16EB">
        <w:t xml:space="preserve"> also seeks to provide compensation to holders in good faith of such material:</w:t>
      </w:r>
    </w:p>
    <w:p w14:paraId="5F22820C" w14:textId="0582D3C6" w:rsidR="001A20CD" w:rsidRPr="00273139" w:rsidRDefault="001A20CD" w:rsidP="00C66090">
      <w:pPr>
        <w:pStyle w:val="ListParagraph"/>
        <w:ind w:firstLine="0"/>
        <w:rPr>
          <w:rFonts w:eastAsia="Times New Roman" w:cs="Arial"/>
          <w:i/>
          <w:sz w:val="20"/>
          <w:szCs w:val="20"/>
        </w:rPr>
      </w:pPr>
      <w:r w:rsidRPr="00273139">
        <w:rPr>
          <w:rFonts w:eastAsia="Times New Roman" w:cs="Arial"/>
          <w:i/>
          <w:sz w:val="20"/>
          <w:szCs w:val="20"/>
        </w:rPr>
        <w:t>The High Contracting Party whose obligation it was to prevent the exportation of cultural property from the territory occupied by it, shall pay an indemnity to the holders in good faith of any cultural property which has to be returned in accordance with the preceding paragraph.</w:t>
      </w:r>
      <w:r w:rsidRPr="00273139">
        <w:rPr>
          <w:rFonts w:cs="Arial"/>
          <w:i/>
          <w:sz w:val="20"/>
          <w:szCs w:val="20"/>
          <w:vertAlign w:val="superscript"/>
        </w:rPr>
        <w:footnoteReference w:id="103"/>
      </w:r>
    </w:p>
    <w:p w14:paraId="49E3E67E" w14:textId="77777777" w:rsidR="001A20CD" w:rsidRPr="009F16EB" w:rsidRDefault="001A20CD" w:rsidP="001A20CD">
      <w:r w:rsidRPr="009F16EB">
        <w:t>Finally, the First Protocol makes provision for State Parties to ‘safeguard’ material for the duration of hostilities:</w:t>
      </w:r>
    </w:p>
    <w:p w14:paraId="470E4B56" w14:textId="2C9F90DF" w:rsidR="001A20CD" w:rsidRPr="00273139" w:rsidRDefault="001A20CD" w:rsidP="00C66090">
      <w:pPr>
        <w:ind w:left="567" w:right="379"/>
        <w:jc w:val="both"/>
        <w:rPr>
          <w:rFonts w:cs="Arial"/>
          <w:i/>
          <w:sz w:val="20"/>
          <w:szCs w:val="20"/>
        </w:rPr>
      </w:pPr>
      <w:r w:rsidRPr="00273139">
        <w:rPr>
          <w:rFonts w:eastAsia="Times New Roman" w:cs="Arial"/>
          <w:i/>
          <w:sz w:val="20"/>
          <w:szCs w:val="20"/>
        </w:rPr>
        <w:t>Cultural property coming from the territory of a High Contracting Party and deposited by it in the territory of another High Contracting Party for the purpose of protecting such property against the dangers of an armed conflict, shall be returned by the latter, at the end of hostilities, to the competent authorities of the territory from which it came.</w:t>
      </w:r>
      <w:r w:rsidR="00E26817">
        <w:rPr>
          <w:rStyle w:val="FootnoteReference"/>
          <w:rFonts w:eastAsia="Times New Roman" w:cs="Arial"/>
          <w:i/>
          <w:sz w:val="20"/>
          <w:szCs w:val="20"/>
        </w:rPr>
        <w:footnoteReference w:id="104"/>
      </w:r>
    </w:p>
    <w:p w14:paraId="1163E123" w14:textId="77777777" w:rsidR="00AA7153" w:rsidRDefault="001A20CD" w:rsidP="001A20CD">
      <w:r w:rsidRPr="009F16EB">
        <w:t>Note that the earlier paragraphs do not apply to internal conflicts, only occupied territories. This 5</w:t>
      </w:r>
      <w:r w:rsidRPr="009F16EB">
        <w:rPr>
          <w:vertAlign w:val="superscript"/>
        </w:rPr>
        <w:t>th</w:t>
      </w:r>
      <w:r w:rsidRPr="009F16EB">
        <w:t xml:space="preserve"> paragraph applies to any internal or external conflict.</w:t>
      </w:r>
    </w:p>
    <w:p w14:paraId="5CD46A91" w14:textId="77777777" w:rsidR="00AA7153" w:rsidRDefault="001A20CD" w:rsidP="001A20CD">
      <w:pPr>
        <w:rPr>
          <w:vertAlign w:val="superscript"/>
        </w:rPr>
      </w:pPr>
      <w:r w:rsidRPr="009F16EB">
        <w:lastRenderedPageBreak/>
        <w:t xml:space="preserve">In Australia, the temporary safekeeping of endangered foreign cultural material is partly covered through administrative arrangements. The Australian Government’s </w:t>
      </w:r>
      <w:r w:rsidRPr="009F16EB">
        <w:rPr>
          <w:i/>
        </w:rPr>
        <w:t>Australian Best Practice Guide to Collecting Cultural Material</w:t>
      </w:r>
      <w:r w:rsidRPr="009F16EB">
        <w:t xml:space="preserve"> refers to the use of Australian collecting institutions as safekeeping repositories through emergency loans. In addition, there are standardised agreements and codes of practice through UNESCO and ICOM which govern these situations.</w:t>
      </w:r>
    </w:p>
    <w:p w14:paraId="67B3C974" w14:textId="77777777" w:rsidR="00AA7153" w:rsidRDefault="001A20CD" w:rsidP="001A20CD">
      <w:r w:rsidRPr="009F16EB">
        <w:t xml:space="preserve">That said, it is appropriate that the temporary safekeeping of cultural material and its return be given a </w:t>
      </w:r>
      <w:r>
        <w:t xml:space="preserve">clear and cohesive </w:t>
      </w:r>
      <w:r w:rsidRPr="009F16EB">
        <w:t>legal foundation.</w:t>
      </w:r>
      <w:r w:rsidRPr="009F16EB">
        <w:rPr>
          <w:vertAlign w:val="superscript"/>
        </w:rPr>
        <w:footnoteReference w:id="105"/>
      </w:r>
    </w:p>
    <w:p w14:paraId="352FEC5D" w14:textId="5C093143" w:rsidR="001A20CD" w:rsidRPr="009F16EB" w:rsidRDefault="001A20CD" w:rsidP="004B02E4">
      <w:pPr>
        <w:pStyle w:val="Heading4"/>
      </w:pPr>
      <w:r w:rsidRPr="009F16EB">
        <w:t>Should Australia ratify?</w:t>
      </w:r>
    </w:p>
    <w:p w14:paraId="1429A492" w14:textId="77777777" w:rsidR="00AA7153" w:rsidRDefault="001A20CD" w:rsidP="001A20CD">
      <w:r w:rsidRPr="009F16EB">
        <w:t>During consultation the majority of stakeholders expressed strong support for the proposition that Australia should demonstrate its commitment to the prevention of illicit trade and looting from armed conflict areas by ratifying the First Protocol.</w:t>
      </w:r>
    </w:p>
    <w:p w14:paraId="06A4EAAE" w14:textId="77777777" w:rsidR="00AA7153" w:rsidRDefault="001A20CD" w:rsidP="001A20CD">
      <w:r w:rsidRPr="009F16EB">
        <w:t>The history of conflicts and associated looting has shown that treaties do not prevent evil, but the statement of and adherence to high principle should be a feature of any developed society. Like countries, including France, Germany, Canada and New Zealand, have ratified the First Protocol apparently with minimal issues.</w:t>
      </w:r>
    </w:p>
    <w:p w14:paraId="48BC3384" w14:textId="1C9B2346" w:rsidR="001A20CD" w:rsidRPr="009F16EB" w:rsidRDefault="001A20CD" w:rsidP="001A20CD">
      <w:r w:rsidRPr="009F16EB">
        <w:t xml:space="preserve">One </w:t>
      </w:r>
      <w:r>
        <w:t>obligation</w:t>
      </w:r>
      <w:r w:rsidRPr="009F16EB">
        <w:t xml:space="preserve"> has caused some major powers to delay ratification:</w:t>
      </w:r>
    </w:p>
    <w:p w14:paraId="77112D82" w14:textId="77777777" w:rsidR="001A20CD" w:rsidRPr="00DC2B9B" w:rsidRDefault="001A20CD" w:rsidP="00DC2B9B">
      <w:pPr>
        <w:ind w:left="567"/>
        <w:rPr>
          <w:i/>
          <w:sz w:val="20"/>
          <w:szCs w:val="20"/>
        </w:rPr>
      </w:pPr>
      <w:proofErr w:type="gramStart"/>
      <w:r w:rsidRPr="00DC2B9B">
        <w:rPr>
          <w:i/>
          <w:sz w:val="20"/>
          <w:szCs w:val="20"/>
        </w:rPr>
        <w:t>to</w:t>
      </w:r>
      <w:proofErr w:type="gramEnd"/>
      <w:r w:rsidRPr="00DC2B9B">
        <w:rPr>
          <w:i/>
          <w:sz w:val="20"/>
          <w:szCs w:val="20"/>
        </w:rPr>
        <w:t xml:space="preserve"> prevent the exportation of cultural property, from a territory that it occupies during an armed conflict;</w:t>
      </w:r>
      <w:r w:rsidRPr="00DC2B9B">
        <w:rPr>
          <w:i/>
          <w:sz w:val="20"/>
          <w:szCs w:val="20"/>
          <w:vertAlign w:val="superscript"/>
        </w:rPr>
        <w:footnoteReference w:id="106"/>
      </w:r>
    </w:p>
    <w:p w14:paraId="4ACA37FC" w14:textId="77777777" w:rsidR="00AA7153" w:rsidRDefault="001A20CD" w:rsidP="001A20CD">
      <w:r w:rsidRPr="009F16EB">
        <w:t>This is because, on one interpretation, it places on the occupier an obligation to</w:t>
      </w:r>
      <w:r w:rsidRPr="009F16EB">
        <w:rPr>
          <w:szCs w:val="24"/>
        </w:rPr>
        <w:t xml:space="preserve"> prevent the exportation of </w:t>
      </w:r>
      <w:r>
        <w:rPr>
          <w:szCs w:val="24"/>
        </w:rPr>
        <w:t xml:space="preserve">all </w:t>
      </w:r>
      <w:r w:rsidRPr="009F16EB">
        <w:rPr>
          <w:szCs w:val="24"/>
        </w:rPr>
        <w:t xml:space="preserve">cultural property from </w:t>
      </w:r>
      <w:r w:rsidR="00C963C9">
        <w:rPr>
          <w:szCs w:val="24"/>
        </w:rPr>
        <w:t xml:space="preserve">the </w:t>
      </w:r>
      <w:r w:rsidRPr="009F16EB">
        <w:rPr>
          <w:szCs w:val="24"/>
        </w:rPr>
        <w:t>occupied territory.</w:t>
      </w:r>
      <w:r w:rsidRPr="009F16EB">
        <w:rPr>
          <w:rStyle w:val="FootnoteReference"/>
          <w:rFonts w:cs="Arial"/>
        </w:rPr>
        <w:footnoteReference w:id="107"/>
      </w:r>
      <w:r w:rsidRPr="009F16EB">
        <w:t xml:space="preserve"> </w:t>
      </w:r>
      <w:r w:rsidRPr="009F16EB">
        <w:rPr>
          <w:szCs w:val="24"/>
        </w:rPr>
        <w:t xml:space="preserve">That interpretation would impose an obligation that could be impossible for any country to undertake. </w:t>
      </w:r>
      <w:r w:rsidRPr="009F16EB">
        <w:t>Full control of the borders is difficult at the best of times and is even more difficult in times of armed conflict.</w:t>
      </w:r>
    </w:p>
    <w:p w14:paraId="07348273" w14:textId="2104E579" w:rsidR="001A20CD" w:rsidRPr="009F16EB" w:rsidRDefault="001A20CD" w:rsidP="001A20CD">
      <w:r w:rsidRPr="009F16EB">
        <w:t xml:space="preserve">Rather, a more realistic interpretation is that there needs to be a regime by which the intentional removal of cultural property from an occupied territory is made unlawful. </w:t>
      </w:r>
      <w:r w:rsidRPr="009F16EB">
        <w:lastRenderedPageBreak/>
        <w:t>Further, the provision is one focussed on the nationals of the occupying force (and those under its discipline)</w:t>
      </w:r>
      <w:r w:rsidR="00801A32">
        <w:t>—</w:t>
      </w:r>
      <w:r w:rsidRPr="009F16EB">
        <w:t>not the nationals of the occupied country.</w:t>
      </w:r>
      <w:r w:rsidRPr="009F16EB">
        <w:rPr>
          <w:rStyle w:val="FootnoteReference"/>
        </w:rPr>
        <w:footnoteReference w:id="108"/>
      </w:r>
    </w:p>
    <w:p w14:paraId="047D3C37" w14:textId="6F085449" w:rsidR="001A20CD" w:rsidRPr="009F16EB" w:rsidRDefault="001A20CD" w:rsidP="001A20CD">
      <w:r w:rsidRPr="009F16EB">
        <w:t>Australia has had a long involvement in developing the system of international instruments designed to protect cultural material</w:t>
      </w:r>
      <w:r w:rsidR="00801A32">
        <w:t>—</w:t>
      </w:r>
      <w:r w:rsidRPr="009F16EB">
        <w:t>including its recent involvement in Unite</w:t>
      </w:r>
      <w:r w:rsidR="00E26817">
        <w:t>d Nations Resolution 2199</w:t>
      </w:r>
      <w:r w:rsidRPr="009F16EB">
        <w:t>. It should be noted that while some important functions of the First Protocol are already achieved in Australia</w:t>
      </w:r>
      <w:r w:rsidRPr="009F16EB">
        <w:rPr>
          <w:rStyle w:val="Emphasis"/>
          <w:rFonts w:cs="Arial"/>
          <w:color w:val="000000"/>
        </w:rPr>
        <w:t>,</w:t>
      </w:r>
      <w:r w:rsidRPr="009F16EB">
        <w:t xml:space="preserve"> it is appropriate that the fragmented expression of Australia’s commitment to the principles of the Protocol be clarified and integrated in legislation. There are several reasons for this:</w:t>
      </w:r>
    </w:p>
    <w:p w14:paraId="537BB391" w14:textId="77777777" w:rsidR="001A20CD" w:rsidRPr="009F16EB" w:rsidRDefault="001A20CD" w:rsidP="00C66090">
      <w:pPr>
        <w:pStyle w:val="ListParagraph"/>
        <w:numPr>
          <w:ilvl w:val="0"/>
          <w:numId w:val="47"/>
        </w:numPr>
        <w:ind w:left="567" w:hanging="567"/>
      </w:pPr>
      <w:r w:rsidRPr="009F16EB">
        <w:t>it would be an expression of Australia’s commitment to appropriate ethical conduct in time of armed conflict;</w:t>
      </w:r>
    </w:p>
    <w:p w14:paraId="4BA4943F" w14:textId="77777777" w:rsidR="001A20CD" w:rsidRPr="009F16EB" w:rsidRDefault="001A20CD" w:rsidP="00C66090">
      <w:pPr>
        <w:pStyle w:val="ListParagraph"/>
        <w:numPr>
          <w:ilvl w:val="0"/>
          <w:numId w:val="47"/>
        </w:numPr>
        <w:ind w:left="567" w:hanging="567"/>
      </w:pPr>
      <w:r w:rsidRPr="009F16EB">
        <w:t>as a senior member of the United Nations and UNESCO, ratification of the First Protocol is concomitant to a leadership role in the system of international instruments designed to protect cultural material in time of war;</w:t>
      </w:r>
    </w:p>
    <w:p w14:paraId="0C831BC3" w14:textId="77777777" w:rsidR="00AA7153" w:rsidRDefault="001A20CD" w:rsidP="00C66090">
      <w:pPr>
        <w:pStyle w:val="ListParagraph"/>
        <w:numPr>
          <w:ilvl w:val="0"/>
          <w:numId w:val="47"/>
        </w:numPr>
        <w:ind w:left="567" w:hanging="567"/>
      </w:pPr>
      <w:r w:rsidRPr="009F16EB">
        <w:t>it would provide a tool in the efforts to counter those terrorists using the sale of looted cultural material “to support their recruitment efforts and strengthen their operational capability to organise and carry out terrorist attacks”;</w:t>
      </w:r>
      <w:r w:rsidRPr="009F16EB">
        <w:rPr>
          <w:rStyle w:val="FootnoteReference"/>
          <w:rFonts w:cs="Arial"/>
        </w:rPr>
        <w:footnoteReference w:id="109"/>
      </w:r>
    </w:p>
    <w:p w14:paraId="13B0FC20" w14:textId="4AD29AA2" w:rsidR="001A20CD" w:rsidRPr="009F16EB" w:rsidRDefault="001A20CD" w:rsidP="00C66090">
      <w:pPr>
        <w:pStyle w:val="ListParagraph"/>
        <w:numPr>
          <w:ilvl w:val="0"/>
          <w:numId w:val="47"/>
        </w:numPr>
        <w:ind w:left="567" w:hanging="567"/>
      </w:pPr>
      <w:r w:rsidRPr="009F16EB">
        <w:t>it would assist the public to know and understand Australia’s existing administrative arrangements; and</w:t>
      </w:r>
    </w:p>
    <w:p w14:paraId="73E1F39D" w14:textId="77777777" w:rsidR="00AA7153" w:rsidRDefault="001A20CD" w:rsidP="00C66090">
      <w:pPr>
        <w:pStyle w:val="ListParagraph"/>
        <w:numPr>
          <w:ilvl w:val="0"/>
          <w:numId w:val="47"/>
        </w:numPr>
        <w:ind w:left="567" w:hanging="567"/>
      </w:pPr>
      <w:proofErr w:type="gramStart"/>
      <w:r w:rsidRPr="009F16EB">
        <w:t>it</w:t>
      </w:r>
      <w:proofErr w:type="gramEnd"/>
      <w:r w:rsidRPr="009F16EB">
        <w:t xml:space="preserve"> can be done in a way that complements Australia’s commitment in the United Nations, including to Resolution 2199 in respect of Iraq and Syria and to any other arenas of future conflict from which cultural material is looted, smuggled and otherwise endangered.</w:t>
      </w:r>
    </w:p>
    <w:p w14:paraId="7C8193EC" w14:textId="77777777" w:rsidR="00AA7153" w:rsidRDefault="001A20CD" w:rsidP="001A20CD">
      <w:r w:rsidRPr="009F16EB">
        <w:t>This Review is in strong support of ratification of the First Protocol but, ultimately, the question of ratification is one for the Australian Government. Certainly it is timely that Australia ratify. The principles it articulates are reasonable and indeed, by today’s ethical standards, unarguable and it would provide a clear demonstration of Australia’s continued commitment to appropriate ethical conduct in time of armed conflict.</w:t>
      </w:r>
    </w:p>
    <w:p w14:paraId="0FED8449" w14:textId="3E4BC998" w:rsidR="001A20CD" w:rsidRPr="009F16EB" w:rsidRDefault="001A20CD" w:rsidP="001A20CD">
      <w:r w:rsidRPr="009F16EB">
        <w:rPr>
          <w:noProof/>
          <w:lang w:eastAsia="en-AU"/>
        </w:rPr>
        <w:lastRenderedPageBreak/>
        <w:drawing>
          <wp:inline distT="0" distB="0" distL="0" distR="0" wp14:anchorId="679F39A5" wp14:editId="62735EE2">
            <wp:extent cx="5486400" cy="3535680"/>
            <wp:effectExtent l="0" t="0" r="0" b="7620"/>
            <wp:docPr id="7" name="Picture 7" descr="Word map highlighting the 103 state parties to the First Protocol. State Parties listed at &lt;http://www.unesco.org/&gt;" title="Figure 19 – State Parties to the First Protocol (103 state par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gue Prot 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535680"/>
                    </a:xfrm>
                    <a:prstGeom prst="rect">
                      <a:avLst/>
                    </a:prstGeom>
                    <a:noFill/>
                    <a:ln>
                      <a:noFill/>
                    </a:ln>
                  </pic:spPr>
                </pic:pic>
              </a:graphicData>
            </a:graphic>
          </wp:inline>
        </w:drawing>
      </w:r>
    </w:p>
    <w:p w14:paraId="0B2F6F4D" w14:textId="77777777" w:rsidR="00E26817" w:rsidRDefault="00E26817" w:rsidP="00172D73">
      <w:pPr>
        <w:ind w:left="284"/>
        <w:rPr>
          <w:i/>
          <w:sz w:val="20"/>
          <w:szCs w:val="20"/>
        </w:rPr>
      </w:pPr>
    </w:p>
    <w:p w14:paraId="05430529" w14:textId="7DBE4955" w:rsidR="00A07460" w:rsidRDefault="00E26817" w:rsidP="00172D73">
      <w:pPr>
        <w:ind w:left="284"/>
        <w:rPr>
          <w:i/>
          <w:sz w:val="20"/>
          <w:szCs w:val="20"/>
        </w:rPr>
      </w:pPr>
      <w:r>
        <w:rPr>
          <w:i/>
          <w:sz w:val="20"/>
          <w:szCs w:val="20"/>
        </w:rPr>
        <w:t>Figure 19</w:t>
      </w:r>
      <w:r w:rsidR="00801A32">
        <w:rPr>
          <w:i/>
          <w:sz w:val="20"/>
          <w:szCs w:val="20"/>
        </w:rPr>
        <w:t>—</w:t>
      </w:r>
      <w:r w:rsidR="001A20CD" w:rsidRPr="001B5D3A">
        <w:rPr>
          <w:i/>
          <w:sz w:val="20"/>
          <w:szCs w:val="20"/>
        </w:rPr>
        <w:t>State Parties to the First Protocol (103 state parties).</w:t>
      </w:r>
      <w:r w:rsidR="001A20CD" w:rsidRPr="001B5D3A">
        <w:rPr>
          <w:rStyle w:val="FootnoteReference"/>
          <w:i/>
          <w:sz w:val="20"/>
          <w:szCs w:val="20"/>
        </w:rPr>
        <w:footnoteReference w:id="110"/>
      </w:r>
    </w:p>
    <w:p w14:paraId="2C1A6207" w14:textId="77777777" w:rsidR="00E26817" w:rsidRDefault="00E26817" w:rsidP="00172D73">
      <w:pPr>
        <w:ind w:left="284"/>
        <w:rPr>
          <w:i/>
          <w:sz w:val="20"/>
          <w:szCs w:val="20"/>
        </w:rPr>
      </w:pPr>
    </w:p>
    <w:p w14:paraId="40D9E81C" w14:textId="77777777" w:rsidR="00AA7153" w:rsidRDefault="001A20CD" w:rsidP="004B02E4">
      <w:pPr>
        <w:pStyle w:val="Heading3"/>
      </w:pPr>
      <w:r w:rsidRPr="009F16EB">
        <w:t>The Second Protocol to the Hague Convention</w:t>
      </w:r>
    </w:p>
    <w:p w14:paraId="3578E00D" w14:textId="1214BE6C" w:rsidR="001A20CD" w:rsidRPr="009F16EB" w:rsidRDefault="001A20CD" w:rsidP="001A20CD">
      <w:r w:rsidRPr="009F16EB">
        <w:t>In 1995 UNESCO sponsored a meeting to discuss improvements to the Convention and the First Protocol. This resulted in the Second Protocol, which has four key purposes:</w:t>
      </w:r>
    </w:p>
    <w:p w14:paraId="79382A03" w14:textId="77777777" w:rsidR="001A20CD" w:rsidRPr="009F16EB" w:rsidRDefault="001A20CD" w:rsidP="00C66090">
      <w:pPr>
        <w:pStyle w:val="ListParagraph"/>
        <w:numPr>
          <w:ilvl w:val="0"/>
          <w:numId w:val="55"/>
        </w:numPr>
        <w:ind w:left="567" w:hanging="567"/>
      </w:pPr>
      <w:r w:rsidRPr="009F16EB">
        <w:t>it creates a new protection category of ‘enhanced protection’;</w:t>
      </w:r>
    </w:p>
    <w:p w14:paraId="5D5152A5" w14:textId="77777777" w:rsidR="00AA7153" w:rsidRDefault="001A20CD" w:rsidP="00C66090">
      <w:pPr>
        <w:pStyle w:val="ListParagraph"/>
        <w:numPr>
          <w:ilvl w:val="0"/>
          <w:numId w:val="55"/>
        </w:numPr>
        <w:ind w:left="567" w:hanging="567"/>
      </w:pPr>
      <w:r w:rsidRPr="009F16EB">
        <w:t>it requires parties to criminalise serious violations of the Protocol (including obligations to prosecute and punish);</w:t>
      </w:r>
    </w:p>
    <w:p w14:paraId="65EBC9A7" w14:textId="02AA60D4" w:rsidR="001A20CD" w:rsidRPr="009F16EB" w:rsidRDefault="001A20CD" w:rsidP="00C66090">
      <w:pPr>
        <w:pStyle w:val="ListParagraph"/>
        <w:numPr>
          <w:ilvl w:val="0"/>
          <w:numId w:val="55"/>
        </w:numPr>
        <w:ind w:left="567" w:hanging="567"/>
      </w:pPr>
      <w:r w:rsidRPr="009F16EB">
        <w:t>it seeks to strengthen various mechanisms of the Convention itself, including clarity as to the situations in which military necessity could be invoked; and</w:t>
      </w:r>
    </w:p>
    <w:p w14:paraId="0B95E157" w14:textId="77777777" w:rsidR="00AA7153" w:rsidRDefault="001A20CD" w:rsidP="00C66090">
      <w:pPr>
        <w:pStyle w:val="ListParagraph"/>
        <w:numPr>
          <w:ilvl w:val="0"/>
          <w:numId w:val="55"/>
        </w:numPr>
        <w:ind w:left="567" w:hanging="567"/>
      </w:pPr>
      <w:proofErr w:type="gramStart"/>
      <w:r w:rsidRPr="009F16EB">
        <w:t>it</w:t>
      </w:r>
      <w:proofErr w:type="gramEnd"/>
      <w:r w:rsidRPr="009F16EB">
        <w:t xml:space="preserve"> creates a new Intergovernmental Committee to oversee implementation.</w:t>
      </w:r>
    </w:p>
    <w:p w14:paraId="62879D37" w14:textId="7FB34C9F" w:rsidR="00AA7153" w:rsidRDefault="001A20CD" w:rsidP="001A20CD">
      <w:r w:rsidRPr="009F16EB">
        <w:t>Each State Party to the Second Protocol must take the necessary steps to establish offences as criminal offences under its domestic law</w:t>
      </w:r>
      <w:r w:rsidR="00E26817">
        <w:t>,</w:t>
      </w:r>
      <w:r w:rsidRPr="009F16EB">
        <w:rPr>
          <w:vertAlign w:val="superscript"/>
        </w:rPr>
        <w:footnoteReference w:id="111"/>
      </w:r>
      <w:r w:rsidRPr="009F16EB">
        <w:t xml:space="preserve"> as well as punish other </w:t>
      </w:r>
      <w:r w:rsidRPr="009F16EB">
        <w:lastRenderedPageBreak/>
        <w:t>violations of the Convention or Protocol.</w:t>
      </w:r>
      <w:r w:rsidRPr="009F16EB">
        <w:rPr>
          <w:vertAlign w:val="superscript"/>
        </w:rPr>
        <w:footnoteReference w:id="112"/>
      </w:r>
      <w:r w:rsidR="00801A32">
        <w:t xml:space="preserve"> </w:t>
      </w:r>
      <w:r w:rsidRPr="009F16EB">
        <w:t>When doing so, the State Party must ensure it is able to exercise jurisdiction over conduct taking place within the State’s jurisdiction or by the State’s nationals (i.e. extra-territorial jurisdiction).</w:t>
      </w:r>
      <w:r w:rsidRPr="009F16EB">
        <w:rPr>
          <w:vertAlign w:val="superscript"/>
        </w:rPr>
        <w:footnoteReference w:id="113"/>
      </w:r>
      <w:r w:rsidRPr="009F16EB">
        <w:t xml:space="preserve"> </w:t>
      </w:r>
    </w:p>
    <w:p w14:paraId="01A87D65" w14:textId="0FF26E8C" w:rsidR="001A20CD" w:rsidRPr="009F16EB" w:rsidRDefault="001A20CD" w:rsidP="004B02E4">
      <w:pPr>
        <w:pStyle w:val="Heading4"/>
      </w:pPr>
      <w:r w:rsidRPr="009F16EB">
        <w:t>Analysis of the Second Protocol provisions</w:t>
      </w:r>
    </w:p>
    <w:p w14:paraId="37DF2D43" w14:textId="77777777" w:rsidR="001A20CD" w:rsidRPr="009F16EB" w:rsidRDefault="001A20CD" w:rsidP="001A20CD">
      <w:r w:rsidRPr="009F16EB">
        <w:t>It should be noted that many aspects of the Second Protocol do not require legislation. Some elements go beyond the coverage of the Act and some will be determined by other Government policy and funding priorities. This Review is in support of ratification but, ultimately, the question of ratification is one for the Australian Government.</w:t>
      </w:r>
      <w:r w:rsidRPr="009F16EB">
        <w:rPr>
          <w:vertAlign w:val="superscript"/>
        </w:rPr>
        <w:footnoteReference w:id="114"/>
      </w:r>
    </w:p>
    <w:p w14:paraId="34B0C6C9" w14:textId="77777777" w:rsidR="00AA7153" w:rsidRDefault="001A20CD" w:rsidP="001A20CD">
      <w:r w:rsidRPr="009F16EB">
        <w:t xml:space="preserve">For the purposes of this Review and interaction with the Act, the key element of the Second Protocol is the introduction of criminal sanctions. Some of these actions are already offences under Australian law through the </w:t>
      </w:r>
      <w:r w:rsidRPr="009F16EB">
        <w:rPr>
          <w:i/>
        </w:rPr>
        <w:t>Criminal Code Act 1995</w:t>
      </w:r>
      <w:r w:rsidRPr="009F16EB">
        <w:t xml:space="preserve"> and the ADF rules of engagement and the </w:t>
      </w:r>
      <w:r w:rsidRPr="009F16EB">
        <w:rPr>
          <w:i/>
        </w:rPr>
        <w:t>Defence Force Discipline Act 1982</w:t>
      </w:r>
      <w:r w:rsidRPr="009F16EB">
        <w:t xml:space="preserve">. However, if bold statements are to be made about Australia’s commitment to the protection of cultural property in time of armed conflict, those principles should be comprehensively reinforced by </w:t>
      </w:r>
      <w:proofErr w:type="gramStart"/>
      <w:r w:rsidRPr="009F16EB">
        <w:t>sanctions.</w:t>
      </w:r>
      <w:proofErr w:type="gramEnd"/>
    </w:p>
    <w:p w14:paraId="0A18143C" w14:textId="07A73534" w:rsidR="001A20CD" w:rsidRDefault="0067788F" w:rsidP="001A20CD">
      <w:r>
        <w:t>B</w:t>
      </w:r>
      <w:r w:rsidR="001A20CD" w:rsidRPr="009F16EB">
        <w:t>elow is a summary of already existing Australian sanctions that correspond to the Second Protocol provisions.</w:t>
      </w:r>
    </w:p>
    <w:p w14:paraId="7B98716D" w14:textId="22444BF3" w:rsidR="006520F3" w:rsidRDefault="006520F3">
      <w:pPr>
        <w:spacing w:line="276" w:lineRule="auto"/>
      </w:pPr>
      <w:r>
        <w:br w:type="page"/>
      </w:r>
    </w:p>
    <w:tbl>
      <w:tblPr>
        <w:tblStyle w:val="TableGrid"/>
        <w:tblW w:w="0" w:type="auto"/>
        <w:tblInd w:w="250" w:type="dxa"/>
        <w:tblLook w:val="04A0" w:firstRow="1" w:lastRow="0" w:firstColumn="1" w:lastColumn="0" w:noHBand="0" w:noVBand="1"/>
        <w:tblCaption w:val="Second Protocol provisions"/>
        <w:tblDescription w:val="Second Protocol Provisions include Making cultural property under enhanced protection the object of attack (Article 15); and Making cultural property under the Convention or the Protocol the object of attack (Article 15). Relevant Provisions of Australian Legislation and Processes include Criminal Code section 268.36 (attacking civilian objects); Criminal Code section 268.38 (excessive incidental death, injury or damage); Criminal Code section 268.46 (attacking protected objects in international armed conflict); Criminal Code section 268.80 (attacking protected objects in non-international armed conflict); Criminal Code section 268.101 (attacking objects under special protection in international armed conflict); Criminal Code section 268.115 (responsibility of military commanders and other superiors). &#10;&#10;Second Protocol Provisions include Theft, pillage or misappropriation of cultural property protected under the Convention or acts of vandalism directed against that property (Article 15). Relevant Provisions of Australian Legislation and Processes include Criminal Code section 268.46 (attacking protected objects in international armed conflict); Criminal Code section 268.101 (attacking objects under special protection in international armed conflict); Provisions in various Commonwealth and State/Territory legislation regarding stealing, fraud, burglary and vandalism – but only where that theft or vandalism has occurred within Australia.  &#10;&#10;Second Protocol Provisions include Any illicit export, other removal or transfer of ownership of cultural property from occupied territory in violation of the Convention or the 2nd Protocol (Article 21). Relevant Provisions of Australian Legislation and Processes include PMCH Act section 14 makes it an offence to import an illegally exported foreign cultural object. The offence does not cover removal or transfer of ownership that does not result in an import into Australia.&#10;"/>
      </w:tblPr>
      <w:tblGrid>
        <w:gridCol w:w="4036"/>
        <w:gridCol w:w="4469"/>
      </w:tblGrid>
      <w:tr w:rsidR="003716E1" w:rsidRPr="009F16EB" w14:paraId="5BC4A690" w14:textId="77777777" w:rsidTr="00332261">
        <w:trPr>
          <w:tblHeader/>
        </w:trPr>
        <w:tc>
          <w:tcPr>
            <w:tcW w:w="4036" w:type="dxa"/>
            <w:tcBorders>
              <w:top w:val="single" w:sz="4" w:space="0" w:color="auto"/>
              <w:left w:val="single" w:sz="4" w:space="0" w:color="auto"/>
              <w:bottom w:val="single" w:sz="4" w:space="0" w:color="auto"/>
              <w:right w:val="single" w:sz="4" w:space="0" w:color="auto"/>
            </w:tcBorders>
            <w:shd w:val="clear" w:color="auto" w:fill="D4EAEC"/>
          </w:tcPr>
          <w:p w14:paraId="215058DA" w14:textId="77777777" w:rsidR="003716E1" w:rsidRPr="009F16EB" w:rsidRDefault="003716E1" w:rsidP="003716E1">
            <w:pPr>
              <w:rPr>
                <w:b/>
                <w:sz w:val="20"/>
                <w:szCs w:val="20"/>
              </w:rPr>
            </w:pPr>
            <w:r w:rsidRPr="009F16EB">
              <w:rPr>
                <w:b/>
                <w:sz w:val="20"/>
                <w:szCs w:val="20"/>
              </w:rPr>
              <w:lastRenderedPageBreak/>
              <w:t>Second Protocol Provisions</w:t>
            </w:r>
          </w:p>
        </w:tc>
        <w:tc>
          <w:tcPr>
            <w:tcW w:w="4469" w:type="dxa"/>
            <w:tcBorders>
              <w:top w:val="single" w:sz="4" w:space="0" w:color="auto"/>
              <w:left w:val="single" w:sz="4" w:space="0" w:color="auto"/>
              <w:bottom w:val="single" w:sz="4" w:space="0" w:color="auto"/>
              <w:right w:val="single" w:sz="4" w:space="0" w:color="auto"/>
            </w:tcBorders>
            <w:shd w:val="clear" w:color="auto" w:fill="D4EAEC"/>
          </w:tcPr>
          <w:p w14:paraId="226D723F" w14:textId="77777777" w:rsidR="003716E1" w:rsidRPr="009F16EB" w:rsidRDefault="003716E1" w:rsidP="003716E1">
            <w:pPr>
              <w:spacing w:after="200"/>
              <w:rPr>
                <w:b/>
                <w:sz w:val="20"/>
                <w:szCs w:val="20"/>
              </w:rPr>
            </w:pPr>
            <w:r w:rsidRPr="009F16EB">
              <w:rPr>
                <w:b/>
                <w:sz w:val="20"/>
                <w:szCs w:val="20"/>
              </w:rPr>
              <w:t>Relevant Provisions of Australian Legislation and Processes</w:t>
            </w:r>
          </w:p>
        </w:tc>
      </w:tr>
      <w:tr w:rsidR="003716E1" w:rsidRPr="009F16EB" w14:paraId="08B10DA6" w14:textId="77777777" w:rsidTr="00332261">
        <w:trPr>
          <w:trHeight w:val="5334"/>
        </w:trPr>
        <w:tc>
          <w:tcPr>
            <w:tcW w:w="4036" w:type="dxa"/>
            <w:tcBorders>
              <w:top w:val="single" w:sz="4" w:space="0" w:color="auto"/>
              <w:left w:val="single" w:sz="4" w:space="0" w:color="auto"/>
              <w:right w:val="single" w:sz="4" w:space="0" w:color="auto"/>
            </w:tcBorders>
          </w:tcPr>
          <w:p w14:paraId="744026DA" w14:textId="77777777" w:rsidR="00AA7153" w:rsidRDefault="003716E1" w:rsidP="003716E1">
            <w:pPr>
              <w:rPr>
                <w:sz w:val="20"/>
                <w:szCs w:val="20"/>
              </w:rPr>
            </w:pPr>
            <w:r w:rsidRPr="001B5D3A">
              <w:rPr>
                <w:sz w:val="20"/>
                <w:szCs w:val="20"/>
              </w:rPr>
              <w:t>Making cultural property under enhanced protection the object of attack (Article 15)</w:t>
            </w:r>
            <w:r>
              <w:rPr>
                <w:sz w:val="20"/>
                <w:szCs w:val="20"/>
              </w:rPr>
              <w:t>.</w:t>
            </w:r>
          </w:p>
          <w:p w14:paraId="2B7D9794" w14:textId="7CC6DE03" w:rsidR="003716E1" w:rsidRPr="001B5D3A" w:rsidRDefault="003716E1" w:rsidP="003716E1">
            <w:pPr>
              <w:rPr>
                <w:sz w:val="20"/>
                <w:szCs w:val="20"/>
              </w:rPr>
            </w:pPr>
            <w:r w:rsidRPr="001B5D3A">
              <w:rPr>
                <w:sz w:val="20"/>
                <w:szCs w:val="20"/>
              </w:rPr>
              <w:t>Making cultural property under the Convention or the Protocol the object of attack (Article 15)</w:t>
            </w:r>
            <w:r>
              <w:rPr>
                <w:sz w:val="20"/>
                <w:szCs w:val="20"/>
              </w:rPr>
              <w:t>.</w:t>
            </w:r>
          </w:p>
        </w:tc>
        <w:tc>
          <w:tcPr>
            <w:tcW w:w="4469" w:type="dxa"/>
            <w:tcBorders>
              <w:top w:val="single" w:sz="4" w:space="0" w:color="auto"/>
              <w:left w:val="single" w:sz="4" w:space="0" w:color="auto"/>
              <w:bottom w:val="single" w:sz="4" w:space="0" w:color="auto"/>
              <w:right w:val="single" w:sz="4" w:space="0" w:color="auto"/>
            </w:tcBorders>
          </w:tcPr>
          <w:p w14:paraId="0C2CDCEA" w14:textId="77777777" w:rsidR="003716E1" w:rsidRPr="001B5D3A" w:rsidRDefault="003716E1" w:rsidP="003716E1">
            <w:pPr>
              <w:rPr>
                <w:sz w:val="20"/>
                <w:szCs w:val="20"/>
              </w:rPr>
            </w:pPr>
            <w:r w:rsidRPr="001B5D3A">
              <w:rPr>
                <w:sz w:val="20"/>
                <w:szCs w:val="20"/>
              </w:rPr>
              <w:t>Criminal Code section 268.36 (attacking civilian objects)</w:t>
            </w:r>
            <w:r>
              <w:rPr>
                <w:sz w:val="20"/>
                <w:szCs w:val="20"/>
              </w:rPr>
              <w:t>.</w:t>
            </w:r>
          </w:p>
          <w:p w14:paraId="3023AFCF" w14:textId="77777777" w:rsidR="003716E1" w:rsidRPr="001B5D3A" w:rsidRDefault="003716E1" w:rsidP="003716E1">
            <w:pPr>
              <w:rPr>
                <w:sz w:val="20"/>
                <w:szCs w:val="20"/>
              </w:rPr>
            </w:pPr>
            <w:r w:rsidRPr="001B5D3A">
              <w:rPr>
                <w:sz w:val="20"/>
                <w:szCs w:val="20"/>
              </w:rPr>
              <w:t>Criminal Code section 268.38 (excessive incidental death, injury or damage)</w:t>
            </w:r>
            <w:r>
              <w:rPr>
                <w:sz w:val="20"/>
                <w:szCs w:val="20"/>
              </w:rPr>
              <w:t>.</w:t>
            </w:r>
          </w:p>
          <w:p w14:paraId="641C77E1" w14:textId="77777777" w:rsidR="003716E1" w:rsidRPr="001B5D3A" w:rsidRDefault="003716E1" w:rsidP="003716E1">
            <w:pPr>
              <w:rPr>
                <w:sz w:val="20"/>
                <w:szCs w:val="20"/>
              </w:rPr>
            </w:pPr>
            <w:r w:rsidRPr="001B5D3A">
              <w:rPr>
                <w:sz w:val="20"/>
                <w:szCs w:val="20"/>
              </w:rPr>
              <w:t>Criminal Code section 268.46 (attacking protected objects in international armed conflict)</w:t>
            </w:r>
            <w:r>
              <w:rPr>
                <w:sz w:val="20"/>
                <w:szCs w:val="20"/>
              </w:rPr>
              <w:t>.</w:t>
            </w:r>
          </w:p>
          <w:p w14:paraId="332FF138" w14:textId="77777777" w:rsidR="003716E1" w:rsidRPr="001B5D3A" w:rsidRDefault="003716E1" w:rsidP="003716E1">
            <w:pPr>
              <w:rPr>
                <w:sz w:val="20"/>
                <w:szCs w:val="20"/>
              </w:rPr>
            </w:pPr>
            <w:r w:rsidRPr="001B5D3A">
              <w:rPr>
                <w:sz w:val="20"/>
                <w:szCs w:val="20"/>
              </w:rPr>
              <w:t>Criminal Code section 268.80 (attacking protected objects in non-international armed conflict)</w:t>
            </w:r>
            <w:r>
              <w:rPr>
                <w:sz w:val="20"/>
                <w:szCs w:val="20"/>
              </w:rPr>
              <w:t>.</w:t>
            </w:r>
          </w:p>
          <w:p w14:paraId="5145BC32" w14:textId="77777777" w:rsidR="003716E1" w:rsidRPr="001B5D3A" w:rsidRDefault="003716E1" w:rsidP="003716E1">
            <w:pPr>
              <w:rPr>
                <w:sz w:val="20"/>
                <w:szCs w:val="20"/>
              </w:rPr>
            </w:pPr>
            <w:r w:rsidRPr="001B5D3A">
              <w:rPr>
                <w:sz w:val="20"/>
                <w:szCs w:val="20"/>
              </w:rPr>
              <w:t>Criminal Code section 268.101 (attacking objects under special protection in international armed conflict)</w:t>
            </w:r>
            <w:r>
              <w:rPr>
                <w:sz w:val="20"/>
                <w:szCs w:val="20"/>
              </w:rPr>
              <w:t>.</w:t>
            </w:r>
          </w:p>
          <w:p w14:paraId="7B51B59C" w14:textId="18BE3784" w:rsidR="003716E1" w:rsidRPr="001B5D3A" w:rsidRDefault="003716E1" w:rsidP="0002102C">
            <w:pPr>
              <w:rPr>
                <w:sz w:val="20"/>
                <w:szCs w:val="20"/>
              </w:rPr>
            </w:pPr>
            <w:r w:rsidRPr="001B5D3A">
              <w:rPr>
                <w:sz w:val="20"/>
                <w:szCs w:val="20"/>
              </w:rPr>
              <w:t>Criminal Code section 268.115 (responsibility of military commanders and other superiors)</w:t>
            </w:r>
            <w:r>
              <w:rPr>
                <w:sz w:val="20"/>
                <w:szCs w:val="20"/>
              </w:rPr>
              <w:t>.</w:t>
            </w:r>
            <w:r w:rsidR="0002102C">
              <w:rPr>
                <w:rStyle w:val="FootnoteReference"/>
                <w:sz w:val="20"/>
                <w:szCs w:val="20"/>
              </w:rPr>
              <w:footnoteReference w:id="115"/>
            </w:r>
          </w:p>
        </w:tc>
      </w:tr>
      <w:tr w:rsidR="003716E1" w:rsidRPr="009F16EB" w14:paraId="0F3F1803" w14:textId="77777777" w:rsidTr="00332261">
        <w:trPr>
          <w:trHeight w:val="3963"/>
        </w:trPr>
        <w:tc>
          <w:tcPr>
            <w:tcW w:w="4036" w:type="dxa"/>
            <w:tcBorders>
              <w:top w:val="single" w:sz="4" w:space="0" w:color="auto"/>
              <w:left w:val="single" w:sz="4" w:space="0" w:color="auto"/>
              <w:bottom w:val="single" w:sz="4" w:space="0" w:color="auto"/>
              <w:right w:val="single" w:sz="4" w:space="0" w:color="auto"/>
            </w:tcBorders>
          </w:tcPr>
          <w:p w14:paraId="0B65430B" w14:textId="77777777" w:rsidR="003716E1" w:rsidRPr="001B5D3A" w:rsidRDefault="003716E1" w:rsidP="003716E1">
            <w:pPr>
              <w:spacing w:after="200"/>
              <w:rPr>
                <w:sz w:val="20"/>
                <w:szCs w:val="20"/>
              </w:rPr>
            </w:pPr>
            <w:r w:rsidRPr="001B5D3A">
              <w:rPr>
                <w:sz w:val="20"/>
                <w:szCs w:val="20"/>
              </w:rPr>
              <w:t>Theft, pillage or misappropriation of cultural property protected under the Convention or acts of vandalism directed against that property (Article 15)</w:t>
            </w:r>
            <w:r>
              <w:rPr>
                <w:sz w:val="20"/>
                <w:szCs w:val="20"/>
              </w:rPr>
              <w:t>.</w:t>
            </w:r>
          </w:p>
        </w:tc>
        <w:tc>
          <w:tcPr>
            <w:tcW w:w="4469" w:type="dxa"/>
            <w:tcBorders>
              <w:top w:val="single" w:sz="4" w:space="0" w:color="auto"/>
              <w:left w:val="single" w:sz="4" w:space="0" w:color="auto"/>
              <w:bottom w:val="single" w:sz="4" w:space="0" w:color="auto"/>
              <w:right w:val="single" w:sz="4" w:space="0" w:color="auto"/>
            </w:tcBorders>
          </w:tcPr>
          <w:p w14:paraId="46C9B724" w14:textId="77777777" w:rsidR="003716E1" w:rsidRPr="001B5D3A" w:rsidRDefault="003716E1" w:rsidP="003716E1">
            <w:pPr>
              <w:rPr>
                <w:sz w:val="20"/>
                <w:szCs w:val="20"/>
              </w:rPr>
            </w:pPr>
            <w:r w:rsidRPr="001B5D3A">
              <w:rPr>
                <w:sz w:val="20"/>
                <w:szCs w:val="20"/>
              </w:rPr>
              <w:t>Criminal Code section 268.46 (attacking protected objects in international armed conflict).</w:t>
            </w:r>
          </w:p>
          <w:p w14:paraId="4383B81E" w14:textId="77777777" w:rsidR="003716E1" w:rsidRPr="001B5D3A" w:rsidRDefault="003716E1" w:rsidP="003716E1">
            <w:pPr>
              <w:rPr>
                <w:sz w:val="20"/>
                <w:szCs w:val="20"/>
              </w:rPr>
            </w:pPr>
            <w:r w:rsidRPr="001B5D3A">
              <w:rPr>
                <w:sz w:val="20"/>
                <w:szCs w:val="20"/>
              </w:rPr>
              <w:t>Criminal Code section 268.101 (attacking objects under special protection in international armed conflict).</w:t>
            </w:r>
          </w:p>
          <w:p w14:paraId="2F3B4126" w14:textId="733F8BBD" w:rsidR="003716E1" w:rsidRPr="001B5D3A" w:rsidRDefault="003716E1" w:rsidP="003716E1">
            <w:pPr>
              <w:rPr>
                <w:sz w:val="20"/>
                <w:szCs w:val="20"/>
              </w:rPr>
            </w:pPr>
            <w:r w:rsidRPr="001B5D3A">
              <w:rPr>
                <w:sz w:val="20"/>
                <w:szCs w:val="20"/>
              </w:rPr>
              <w:t>Provisions in various Commonwealth and State/Territory legislation regarding stealing, fraud, burglary and vandalism</w:t>
            </w:r>
            <w:r w:rsidR="00801A32">
              <w:rPr>
                <w:sz w:val="20"/>
                <w:szCs w:val="20"/>
              </w:rPr>
              <w:t>—</w:t>
            </w:r>
            <w:r w:rsidRPr="001B5D3A">
              <w:rPr>
                <w:sz w:val="20"/>
                <w:szCs w:val="20"/>
              </w:rPr>
              <w:t>but only where that theft or vandalism has occurred within Australia.</w:t>
            </w:r>
            <w:r w:rsidR="00801A32">
              <w:rPr>
                <w:sz w:val="20"/>
                <w:szCs w:val="20"/>
              </w:rPr>
              <w:t xml:space="preserve"> </w:t>
            </w:r>
          </w:p>
        </w:tc>
      </w:tr>
      <w:tr w:rsidR="003716E1" w:rsidRPr="009F16EB" w14:paraId="59FB61CF" w14:textId="77777777" w:rsidTr="00332261">
        <w:tc>
          <w:tcPr>
            <w:tcW w:w="4036" w:type="dxa"/>
            <w:tcBorders>
              <w:top w:val="single" w:sz="4" w:space="0" w:color="auto"/>
              <w:left w:val="single" w:sz="4" w:space="0" w:color="auto"/>
              <w:bottom w:val="single" w:sz="4" w:space="0" w:color="auto"/>
              <w:right w:val="single" w:sz="4" w:space="0" w:color="auto"/>
            </w:tcBorders>
          </w:tcPr>
          <w:p w14:paraId="0288F054" w14:textId="77777777" w:rsidR="003716E1" w:rsidRPr="001B5D3A" w:rsidRDefault="003716E1" w:rsidP="003716E1">
            <w:pPr>
              <w:spacing w:after="200"/>
              <w:rPr>
                <w:sz w:val="20"/>
                <w:szCs w:val="20"/>
              </w:rPr>
            </w:pPr>
            <w:r w:rsidRPr="001B5D3A">
              <w:rPr>
                <w:sz w:val="20"/>
                <w:szCs w:val="20"/>
              </w:rPr>
              <w:t>Any illicit export, other removal or transfer of ownership of cultural property from occupied territory in violation of the Convention or the 2nd Protocol (Article 21)</w:t>
            </w:r>
            <w:r>
              <w:rPr>
                <w:sz w:val="20"/>
                <w:szCs w:val="20"/>
              </w:rPr>
              <w:t>.</w:t>
            </w:r>
          </w:p>
        </w:tc>
        <w:tc>
          <w:tcPr>
            <w:tcW w:w="4469" w:type="dxa"/>
            <w:tcBorders>
              <w:top w:val="single" w:sz="4" w:space="0" w:color="auto"/>
              <w:left w:val="single" w:sz="4" w:space="0" w:color="auto"/>
              <w:bottom w:val="single" w:sz="4" w:space="0" w:color="auto"/>
              <w:right w:val="single" w:sz="4" w:space="0" w:color="auto"/>
            </w:tcBorders>
          </w:tcPr>
          <w:p w14:paraId="5A7873B2" w14:textId="77777777" w:rsidR="003716E1" w:rsidRPr="001B5D3A" w:rsidRDefault="003716E1" w:rsidP="003716E1">
            <w:pPr>
              <w:keepNext/>
              <w:keepLines/>
              <w:outlineLvl w:val="5"/>
              <w:rPr>
                <w:sz w:val="20"/>
                <w:szCs w:val="20"/>
              </w:rPr>
            </w:pPr>
            <w:r w:rsidRPr="001B5D3A">
              <w:rPr>
                <w:sz w:val="20"/>
                <w:szCs w:val="20"/>
              </w:rPr>
              <w:t>PMCH Act section 14 makes it an offence to import an illegally exported foreign cultural object. The offence does not cover removal or transfer of ownership that does not result in an import into Australia.</w:t>
            </w:r>
          </w:p>
        </w:tc>
      </w:tr>
    </w:tbl>
    <w:p w14:paraId="79B9D217" w14:textId="333F66BB" w:rsidR="001A20CD" w:rsidRPr="00172D73" w:rsidRDefault="001A20CD" w:rsidP="00172D73">
      <w:pPr>
        <w:ind w:left="284"/>
        <w:rPr>
          <w:sz w:val="20"/>
          <w:szCs w:val="20"/>
        </w:rPr>
      </w:pPr>
      <w:r w:rsidRPr="001B5D3A">
        <w:rPr>
          <w:i/>
          <w:noProof/>
          <w:lang w:eastAsia="en-AU"/>
        </w:rPr>
        <w:lastRenderedPageBreak/>
        <w:drawing>
          <wp:inline distT="0" distB="0" distL="0" distR="0" wp14:anchorId="4F02296D" wp14:editId="1E8F13FC">
            <wp:extent cx="5516274" cy="3406391"/>
            <wp:effectExtent l="0" t="0" r="8255" b="3810"/>
            <wp:docPr id="12" name="Picture 12" descr="Word map highlighting the 68 state parties to the Second Protocol. State Parties listed at &lt;http://www.unesco.org/&gt;." title="Figure 20 – State Parties to the Second Protocol (68 state pa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gue Prot II"/>
                    <pic:cNvPicPr>
                      <a:picLocks noChangeAspect="1" noChangeArrowheads="1"/>
                    </pic:cNvPicPr>
                  </pic:nvPicPr>
                  <pic:blipFill>
                    <a:blip r:embed="rId36">
                      <a:extLst>
                        <a:ext uri="{BEBA8EAE-BF5A-486C-A8C5-ECC9F3942E4B}">
                          <a14:imgProps xmlns:a14="http://schemas.microsoft.com/office/drawing/2010/main">
                            <a14:imgLayer r:embed="rId37">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516408" cy="3406474"/>
                    </a:xfrm>
                    <a:prstGeom prst="rect">
                      <a:avLst/>
                    </a:prstGeom>
                    <a:noFill/>
                    <a:ln>
                      <a:noFill/>
                    </a:ln>
                  </pic:spPr>
                </pic:pic>
              </a:graphicData>
            </a:graphic>
          </wp:inline>
        </w:drawing>
      </w:r>
      <w:r w:rsidR="00E26817">
        <w:rPr>
          <w:i/>
          <w:sz w:val="20"/>
          <w:szCs w:val="20"/>
        </w:rPr>
        <w:t>Figure 20</w:t>
      </w:r>
      <w:r w:rsidR="00801A32">
        <w:rPr>
          <w:i/>
          <w:sz w:val="20"/>
          <w:szCs w:val="20"/>
        </w:rPr>
        <w:t>—</w:t>
      </w:r>
      <w:r w:rsidRPr="001B5D3A">
        <w:rPr>
          <w:i/>
          <w:sz w:val="20"/>
          <w:szCs w:val="20"/>
        </w:rPr>
        <w:t>State Parties to the Second Protocol (68 state parties).</w:t>
      </w:r>
      <w:r w:rsidRPr="001B5D3A">
        <w:rPr>
          <w:rStyle w:val="FootnoteReference"/>
          <w:i/>
          <w:sz w:val="20"/>
          <w:szCs w:val="20"/>
        </w:rPr>
        <w:footnoteReference w:id="116"/>
      </w:r>
    </w:p>
    <w:p w14:paraId="58CC437E" w14:textId="77777777" w:rsidR="00172D73" w:rsidRDefault="00172D73">
      <w:pPr>
        <w:spacing w:line="276" w:lineRule="auto"/>
        <w:rPr>
          <w:rFonts w:asciiTheme="majorHAnsi" w:eastAsiaTheme="majorEastAsia" w:hAnsiTheme="majorHAnsi" w:cstheme="majorBidi"/>
          <w:b/>
          <w:bCs/>
          <w:color w:val="1F7377"/>
        </w:rPr>
      </w:pPr>
      <w:r>
        <w:br w:type="page"/>
      </w:r>
    </w:p>
    <w:p w14:paraId="3C92A60C" w14:textId="77777777" w:rsidR="00AA7153" w:rsidRDefault="001A20CD" w:rsidP="0067788F">
      <w:pPr>
        <w:pStyle w:val="Heading3"/>
      </w:pPr>
      <w:r w:rsidRPr="009F16EB">
        <w:lastRenderedPageBreak/>
        <w:t>UNIDROIT Convention 1995</w:t>
      </w:r>
    </w:p>
    <w:p w14:paraId="510BD64D" w14:textId="5C1F6C82" w:rsidR="001A20CD" w:rsidRPr="009F16EB" w:rsidRDefault="001A20CD" w:rsidP="001A20CD">
      <w:r w:rsidRPr="009F16EB">
        <w:t>A common problem with both the UNESCO Convention 1970 and the Hague Convention 1954 was the lack of clarity as to how they should be put into effect. This was particularly problematic for common law countries.</w:t>
      </w:r>
    </w:p>
    <w:p w14:paraId="4E2920FD" w14:textId="77777777" w:rsidR="001A20CD" w:rsidRPr="009F16EB" w:rsidRDefault="001A20CD" w:rsidP="001900D0">
      <w:r w:rsidRPr="009F16EB">
        <w:t>This was attempted to be rectified by the development of the UNIDROIT Convention 1995, which applies to international claims for:</w:t>
      </w:r>
    </w:p>
    <w:p w14:paraId="1AE35BA9" w14:textId="77777777" w:rsidR="001A20CD" w:rsidRPr="009F16EB" w:rsidRDefault="001A20CD" w:rsidP="00C66090">
      <w:pPr>
        <w:numPr>
          <w:ilvl w:val="0"/>
          <w:numId w:val="26"/>
        </w:numPr>
        <w:spacing w:after="0"/>
        <w:ind w:left="567" w:hanging="567"/>
      </w:pPr>
      <w:r w:rsidRPr="009F16EB">
        <w:t>the restitution of stolen cultural objects; and</w:t>
      </w:r>
    </w:p>
    <w:p w14:paraId="1F401C64" w14:textId="77777777" w:rsidR="001A20CD" w:rsidRDefault="001A20CD" w:rsidP="00C66090">
      <w:pPr>
        <w:numPr>
          <w:ilvl w:val="0"/>
          <w:numId w:val="26"/>
        </w:numPr>
        <w:spacing w:after="0"/>
        <w:ind w:left="567" w:hanging="567"/>
      </w:pPr>
      <w:proofErr w:type="gramStart"/>
      <w:r w:rsidRPr="009F16EB">
        <w:t>the</w:t>
      </w:r>
      <w:proofErr w:type="gramEnd"/>
      <w:r w:rsidRPr="009F16EB">
        <w:t xml:space="preserve"> return of cultural objects removed from their country of origin contrary to the export laws of that territory.</w:t>
      </w:r>
    </w:p>
    <w:p w14:paraId="314B0F58" w14:textId="77777777" w:rsidR="001900D0" w:rsidRPr="009F16EB" w:rsidRDefault="001900D0" w:rsidP="001900D0">
      <w:pPr>
        <w:spacing w:after="0"/>
        <w:ind w:left="567"/>
      </w:pPr>
    </w:p>
    <w:p w14:paraId="47B4D19B" w14:textId="77777777" w:rsidR="00AA7153" w:rsidRDefault="001A20CD" w:rsidP="001A20CD">
      <w:r w:rsidRPr="009F16EB">
        <w:t>While not offering a recommendation as to whether or not the Australian Government should ratify the UNIDROIT Convention</w:t>
      </w:r>
      <w:r w:rsidR="00E26817">
        <w:t xml:space="preserve"> 1995</w:t>
      </w:r>
      <w:r w:rsidRPr="009F16EB">
        <w:t>, there is value in closely considering the use of some of its provisions.</w:t>
      </w:r>
      <w:r>
        <w:t xml:space="preserve"> Accordingly, the</w:t>
      </w:r>
      <w:r w:rsidRPr="00D125F4">
        <w:t xml:space="preserve"> new model use</w:t>
      </w:r>
      <w:r>
        <w:t>s many of</w:t>
      </w:r>
      <w:r w:rsidRPr="00D125F4">
        <w:t xml:space="preserve"> the principles of the Convention to provide a clearer and more transparent model for addressing the issues that arise from the theft and illegal export of cultural material.</w:t>
      </w:r>
    </w:p>
    <w:p w14:paraId="559A5873" w14:textId="60F8E6A2" w:rsidR="001A20CD" w:rsidRPr="009F16EB" w:rsidRDefault="001A20CD" w:rsidP="001A20CD">
      <w:r w:rsidRPr="009F16EB">
        <w:t xml:space="preserve">One of </w:t>
      </w:r>
      <w:r>
        <w:t>its core tenets is that claims for the return of stolen or illegally exported</w:t>
      </w:r>
      <w:r w:rsidRPr="009F16EB">
        <w:t xml:space="preserve"> cultural material</w:t>
      </w:r>
      <w:r>
        <w:t xml:space="preserve"> is best dealt with by providing access to transparent </w:t>
      </w:r>
      <w:r w:rsidRPr="009F16EB">
        <w:t xml:space="preserve">court </w:t>
      </w:r>
      <w:r>
        <w:t>procedures.</w:t>
      </w:r>
    </w:p>
    <w:p w14:paraId="4074AE59" w14:textId="02CC5583" w:rsidR="00172D73" w:rsidRDefault="001A20CD" w:rsidP="00172D73">
      <w:r w:rsidRPr="009F16EB">
        <w:t>The Position Paper proposed a model that was based on the UNIDROIT Convention</w:t>
      </w:r>
      <w:r w:rsidR="00E26817">
        <w:t xml:space="preserve"> 1995</w:t>
      </w:r>
      <w:r w:rsidRPr="009F16EB">
        <w:t xml:space="preserve">, whereby a foreign state would have the right to commence court proceedings in Australia against an Australian possessor. The intent was, as far as possible, to keep the Australian Government out of the dispute and leave it to the possessor and the claimant to fight it out. After consultation, </w:t>
      </w:r>
      <w:r>
        <w:t>the</w:t>
      </w:r>
      <w:r w:rsidRPr="00D125F4">
        <w:t xml:space="preserve"> model ha</w:t>
      </w:r>
      <w:r>
        <w:t>s been amended to be less court-</w:t>
      </w:r>
      <w:r w:rsidRPr="00D125F4">
        <w:t>based and to include some involvement of government. It does however seek to reflect the general approach of the Convention by providing:</w:t>
      </w:r>
    </w:p>
    <w:p w14:paraId="407C13DC" w14:textId="57515636" w:rsidR="001A20CD" w:rsidRPr="00D125F4" w:rsidRDefault="001A20CD" w:rsidP="00E5299D">
      <w:pPr>
        <w:pStyle w:val="ListParagraph"/>
        <w:numPr>
          <w:ilvl w:val="0"/>
          <w:numId w:val="165"/>
        </w:numPr>
        <w:spacing w:after="0"/>
        <w:ind w:left="568" w:hanging="284"/>
      </w:pPr>
      <w:r w:rsidRPr="00D125F4">
        <w:t>a transparency as to foreign claims that is presently lacking;</w:t>
      </w:r>
    </w:p>
    <w:p w14:paraId="7312B550" w14:textId="77777777" w:rsidR="001A20CD" w:rsidRPr="00D125F4" w:rsidRDefault="001A20CD" w:rsidP="0035682E">
      <w:pPr>
        <w:numPr>
          <w:ilvl w:val="0"/>
          <w:numId w:val="35"/>
        </w:numPr>
        <w:spacing w:after="0"/>
        <w:ind w:left="568" w:hanging="284"/>
      </w:pPr>
      <w:r w:rsidRPr="00D125F4">
        <w:t>a mechanism by which the exchange of all information is core to the procedure;</w:t>
      </w:r>
    </w:p>
    <w:p w14:paraId="0EE623E6" w14:textId="77777777" w:rsidR="00AA7153" w:rsidRDefault="001A20CD" w:rsidP="0035682E">
      <w:pPr>
        <w:numPr>
          <w:ilvl w:val="0"/>
          <w:numId w:val="35"/>
        </w:numPr>
        <w:spacing w:after="0"/>
        <w:ind w:left="568" w:hanging="284"/>
      </w:pPr>
      <w:r w:rsidRPr="00D125F4">
        <w:t>an opportunity for the owner of the object to defend its interest in the property;</w:t>
      </w:r>
    </w:p>
    <w:p w14:paraId="59C58E02" w14:textId="7EDA11B4" w:rsidR="001A20CD" w:rsidRPr="00D125F4" w:rsidRDefault="001A20CD" w:rsidP="0035682E">
      <w:pPr>
        <w:numPr>
          <w:ilvl w:val="0"/>
          <w:numId w:val="35"/>
        </w:numPr>
        <w:spacing w:after="0"/>
        <w:ind w:left="568" w:hanging="284"/>
      </w:pPr>
      <w:r w:rsidRPr="00D125F4">
        <w:t>alternate dispute resolution opportunities; and</w:t>
      </w:r>
    </w:p>
    <w:p w14:paraId="0AE5C616" w14:textId="77777777" w:rsidR="001A20CD" w:rsidRPr="00D125F4" w:rsidRDefault="001A20CD" w:rsidP="0035682E">
      <w:pPr>
        <w:numPr>
          <w:ilvl w:val="0"/>
          <w:numId w:val="35"/>
        </w:numPr>
        <w:ind w:left="568" w:hanging="284"/>
      </w:pPr>
      <w:proofErr w:type="gramStart"/>
      <w:r w:rsidRPr="00D125F4">
        <w:t>a</w:t>
      </w:r>
      <w:proofErr w:type="gramEnd"/>
      <w:r w:rsidRPr="00D125F4">
        <w:t xml:space="preserve"> right of appeal</w:t>
      </w:r>
      <w:r>
        <w:t xml:space="preserve"> to the Administrative Appeals Tribunal</w:t>
      </w:r>
      <w:r w:rsidRPr="00D125F4">
        <w:t>.</w:t>
      </w:r>
    </w:p>
    <w:p w14:paraId="348B0E07" w14:textId="15D19308" w:rsidR="00AA7153" w:rsidRDefault="001A20CD" w:rsidP="001A20CD">
      <w:r>
        <w:lastRenderedPageBreak/>
        <w:t xml:space="preserve">In other words, </w:t>
      </w:r>
      <w:r w:rsidRPr="009F16EB">
        <w:t>the proposed model has been amended so that the Australian Government has oversight of the process while still providing appropriate opportunities for the parties to resolve their dispute</w:t>
      </w:r>
      <w:r w:rsidR="00AA7153">
        <w:t>—</w:t>
      </w:r>
      <w:r w:rsidRPr="009F16EB">
        <w:t>within a framework that allows review by a court-based system.</w:t>
      </w:r>
    </w:p>
    <w:p w14:paraId="576EFFB6" w14:textId="77777777" w:rsidR="00AA7153" w:rsidRDefault="001A20CD" w:rsidP="001A20CD">
      <w:pPr>
        <w:rPr>
          <w:rFonts w:cs="Arial"/>
          <w:szCs w:val="24"/>
        </w:rPr>
      </w:pPr>
      <w:r w:rsidRPr="009F16EB">
        <w:rPr>
          <w:rFonts w:cs="Arial"/>
          <w:szCs w:val="24"/>
        </w:rPr>
        <w:t xml:space="preserve">Indeed, on reflection, it became apparent that while it was appropriate to incorporate </w:t>
      </w:r>
      <w:r>
        <w:rPr>
          <w:rFonts w:cs="Arial"/>
          <w:szCs w:val="24"/>
        </w:rPr>
        <w:t>many</w:t>
      </w:r>
      <w:r w:rsidRPr="009F16EB">
        <w:rPr>
          <w:rFonts w:cs="Arial"/>
          <w:szCs w:val="24"/>
        </w:rPr>
        <w:t xml:space="preserve"> of the principles of the UNIDROIT Convention</w:t>
      </w:r>
      <w:r w:rsidR="00E26817">
        <w:rPr>
          <w:rFonts w:cs="Arial"/>
          <w:szCs w:val="24"/>
        </w:rPr>
        <w:t xml:space="preserve"> 1995</w:t>
      </w:r>
      <w:r w:rsidRPr="009F16EB">
        <w:rPr>
          <w:rFonts w:cs="Arial"/>
          <w:szCs w:val="24"/>
        </w:rPr>
        <w:t>, it is not appropriate to adopt the whole model.</w:t>
      </w:r>
    </w:p>
    <w:p w14:paraId="6259FC2F" w14:textId="55A5DF29" w:rsidR="001A20CD" w:rsidRPr="009F16EB" w:rsidRDefault="001A20CD" w:rsidP="001A20CD">
      <w:pPr>
        <w:rPr>
          <w:rFonts w:cs="Arial"/>
          <w:szCs w:val="24"/>
        </w:rPr>
      </w:pPr>
      <w:r w:rsidRPr="009F16EB">
        <w:rPr>
          <w:rFonts w:cs="Arial"/>
          <w:szCs w:val="24"/>
        </w:rPr>
        <w:t xml:space="preserve">For example, </w:t>
      </w:r>
      <w:r>
        <w:rPr>
          <w:rFonts w:cs="Arial"/>
          <w:szCs w:val="24"/>
        </w:rPr>
        <w:t xml:space="preserve">in my view, </w:t>
      </w:r>
      <w:r w:rsidR="00E26817">
        <w:rPr>
          <w:rFonts w:cs="Arial"/>
          <w:szCs w:val="24"/>
        </w:rPr>
        <w:t>the new</w:t>
      </w:r>
      <w:r w:rsidRPr="009F16EB">
        <w:rPr>
          <w:rFonts w:cs="Arial"/>
          <w:szCs w:val="24"/>
        </w:rPr>
        <w:t xml:space="preserve"> model should go further than the UNIDROIT model and not limit the procedures to contracting States. The current Act makes its procedures available to all (irrespective of the country’s treaty status) and there is no good reason to take a narrower approach.</w:t>
      </w:r>
    </w:p>
    <w:p w14:paraId="312C6FF1" w14:textId="3C11AB0A" w:rsidR="001A20CD" w:rsidRPr="009F16EB" w:rsidRDefault="001A20CD" w:rsidP="001A20CD">
      <w:pPr>
        <w:rPr>
          <w:szCs w:val="24"/>
        </w:rPr>
      </w:pPr>
      <w:r w:rsidRPr="009F16EB">
        <w:t>Further, the UNIDROIT Convention</w:t>
      </w:r>
      <w:r w:rsidR="00E26817">
        <w:t xml:space="preserve"> 1995</w:t>
      </w:r>
      <w:r w:rsidRPr="009F16EB">
        <w:t xml:space="preserve"> imposes a considerable hurdle on the claimant government and a burden on the deciding Government as it imposes a two-step regime: first to find whether the initial export was illegal; and if so, whether the </w:t>
      </w:r>
      <w:r w:rsidRPr="009F16EB">
        <w:rPr>
          <w:szCs w:val="24"/>
        </w:rPr>
        <w:t>material should be handed back:</w:t>
      </w:r>
    </w:p>
    <w:p w14:paraId="10CF345D" w14:textId="77777777" w:rsidR="001A20CD" w:rsidRPr="001B000C" w:rsidRDefault="001A20CD" w:rsidP="00C66090">
      <w:pPr>
        <w:spacing w:after="0"/>
        <w:ind w:left="567" w:right="805"/>
        <w:rPr>
          <w:rFonts w:cs="Arial"/>
          <w:i/>
          <w:sz w:val="20"/>
          <w:szCs w:val="20"/>
        </w:rPr>
      </w:pPr>
      <w:r w:rsidRPr="001B000C">
        <w:rPr>
          <w:rFonts w:cs="Arial"/>
          <w:i/>
          <w:sz w:val="20"/>
          <w:szCs w:val="20"/>
        </w:rPr>
        <w:t>The court or other competent authority of the State addressed shall order the return of an illegally exported cultural object if the requesting State establishes that the removal of the object from its territory significantly impairs one or more of the following interests:</w:t>
      </w:r>
    </w:p>
    <w:p w14:paraId="78189605" w14:textId="77777777" w:rsidR="001A20CD" w:rsidRPr="001B000C" w:rsidRDefault="001A20CD" w:rsidP="00C66090">
      <w:pPr>
        <w:spacing w:after="0"/>
        <w:ind w:left="567" w:right="805"/>
        <w:rPr>
          <w:rFonts w:cs="Arial"/>
          <w:i/>
          <w:sz w:val="20"/>
          <w:szCs w:val="20"/>
        </w:rPr>
      </w:pPr>
      <w:r w:rsidRPr="001B000C">
        <w:rPr>
          <w:rFonts w:cs="Arial"/>
          <w:i/>
          <w:sz w:val="20"/>
          <w:szCs w:val="20"/>
        </w:rPr>
        <w:t xml:space="preserve">(a) </w:t>
      </w:r>
      <w:proofErr w:type="gramStart"/>
      <w:r w:rsidRPr="001B000C">
        <w:rPr>
          <w:rFonts w:cs="Arial"/>
          <w:i/>
          <w:sz w:val="20"/>
          <w:szCs w:val="20"/>
        </w:rPr>
        <w:t>the</w:t>
      </w:r>
      <w:proofErr w:type="gramEnd"/>
      <w:r w:rsidRPr="001B000C">
        <w:rPr>
          <w:rFonts w:cs="Arial"/>
          <w:i/>
          <w:sz w:val="20"/>
          <w:szCs w:val="20"/>
        </w:rPr>
        <w:t xml:space="preserve"> physical preservation of the object or of its context;</w:t>
      </w:r>
    </w:p>
    <w:p w14:paraId="62402D88" w14:textId="77777777" w:rsidR="001A20CD" w:rsidRPr="001B000C" w:rsidRDefault="001A20CD" w:rsidP="00C66090">
      <w:pPr>
        <w:spacing w:after="0"/>
        <w:ind w:left="567" w:right="805"/>
        <w:rPr>
          <w:rFonts w:cs="Arial"/>
          <w:i/>
          <w:sz w:val="20"/>
          <w:szCs w:val="20"/>
        </w:rPr>
      </w:pPr>
      <w:r w:rsidRPr="001B000C">
        <w:rPr>
          <w:rFonts w:cs="Arial"/>
          <w:i/>
          <w:sz w:val="20"/>
          <w:szCs w:val="20"/>
        </w:rPr>
        <w:t>(</w:t>
      </w:r>
      <w:proofErr w:type="gramStart"/>
      <w:r w:rsidRPr="001B000C">
        <w:rPr>
          <w:rFonts w:cs="Arial"/>
          <w:i/>
          <w:sz w:val="20"/>
          <w:szCs w:val="20"/>
        </w:rPr>
        <w:t>b )</w:t>
      </w:r>
      <w:proofErr w:type="gramEnd"/>
      <w:r w:rsidRPr="001B000C">
        <w:rPr>
          <w:rFonts w:cs="Arial"/>
          <w:i/>
          <w:sz w:val="20"/>
          <w:szCs w:val="20"/>
        </w:rPr>
        <w:t>the integrity of a complex object;</w:t>
      </w:r>
    </w:p>
    <w:p w14:paraId="531FB404" w14:textId="77777777" w:rsidR="001A20CD" w:rsidRPr="001B000C" w:rsidRDefault="001A20CD" w:rsidP="00C66090">
      <w:pPr>
        <w:spacing w:after="0"/>
        <w:ind w:left="567" w:right="805"/>
        <w:rPr>
          <w:rFonts w:cs="Arial"/>
          <w:i/>
          <w:sz w:val="20"/>
          <w:szCs w:val="20"/>
        </w:rPr>
      </w:pPr>
      <w:r w:rsidRPr="001B000C">
        <w:rPr>
          <w:rFonts w:cs="Arial"/>
          <w:i/>
          <w:sz w:val="20"/>
          <w:szCs w:val="20"/>
        </w:rPr>
        <w:t xml:space="preserve">(c) </w:t>
      </w:r>
      <w:proofErr w:type="gramStart"/>
      <w:r w:rsidRPr="001B000C">
        <w:rPr>
          <w:rFonts w:cs="Arial"/>
          <w:i/>
          <w:sz w:val="20"/>
          <w:szCs w:val="20"/>
        </w:rPr>
        <w:t>the</w:t>
      </w:r>
      <w:proofErr w:type="gramEnd"/>
      <w:r w:rsidRPr="001B000C">
        <w:rPr>
          <w:rFonts w:cs="Arial"/>
          <w:i/>
          <w:sz w:val="20"/>
          <w:szCs w:val="20"/>
        </w:rPr>
        <w:t xml:space="preserve"> preservation of information of, for example, a scientific or historical character;</w:t>
      </w:r>
    </w:p>
    <w:p w14:paraId="0249CFBA" w14:textId="77777777" w:rsidR="001A20CD" w:rsidRPr="001B000C" w:rsidRDefault="001A20CD" w:rsidP="00C66090">
      <w:pPr>
        <w:spacing w:after="0"/>
        <w:ind w:left="567" w:right="805"/>
        <w:rPr>
          <w:rFonts w:cs="Arial"/>
          <w:sz w:val="20"/>
          <w:szCs w:val="20"/>
        </w:rPr>
      </w:pPr>
      <w:r w:rsidRPr="001B000C">
        <w:rPr>
          <w:rFonts w:cs="Arial"/>
          <w:i/>
          <w:sz w:val="20"/>
          <w:szCs w:val="20"/>
        </w:rPr>
        <w:t xml:space="preserve">(d) </w:t>
      </w:r>
      <w:proofErr w:type="gramStart"/>
      <w:r w:rsidRPr="001B000C">
        <w:rPr>
          <w:rFonts w:cs="Arial"/>
          <w:i/>
          <w:sz w:val="20"/>
          <w:szCs w:val="20"/>
        </w:rPr>
        <w:t>the</w:t>
      </w:r>
      <w:proofErr w:type="gramEnd"/>
      <w:r w:rsidRPr="001B000C">
        <w:rPr>
          <w:rFonts w:cs="Arial"/>
          <w:i/>
          <w:sz w:val="20"/>
          <w:szCs w:val="20"/>
        </w:rPr>
        <w:t xml:space="preserve"> traditional or ritual use of the object by a tribal or indigenous community, or establishes that the object is of significant cultural importance for the requesting State</w:t>
      </w:r>
      <w:r w:rsidRPr="001B000C">
        <w:rPr>
          <w:rFonts w:cs="Arial"/>
          <w:sz w:val="20"/>
          <w:szCs w:val="20"/>
        </w:rPr>
        <w:t>.</w:t>
      </w:r>
      <w:r w:rsidRPr="001B000C">
        <w:rPr>
          <w:rStyle w:val="FootnoteReference"/>
          <w:rFonts w:cs="Arial"/>
          <w:sz w:val="20"/>
          <w:szCs w:val="20"/>
        </w:rPr>
        <w:footnoteReference w:id="117"/>
      </w:r>
    </w:p>
    <w:p w14:paraId="64B2D6FA" w14:textId="77777777" w:rsidR="001A20CD" w:rsidRPr="009F16EB" w:rsidRDefault="001A20CD" w:rsidP="001A20CD">
      <w:pPr>
        <w:spacing w:after="0" w:line="240" w:lineRule="auto"/>
        <w:ind w:left="1418" w:right="804" w:hanging="851"/>
        <w:rPr>
          <w:rFonts w:cs="Arial"/>
          <w:sz w:val="20"/>
          <w:szCs w:val="20"/>
        </w:rPr>
      </w:pPr>
    </w:p>
    <w:p w14:paraId="3BEE2ECE" w14:textId="77777777" w:rsidR="001A20CD" w:rsidRPr="009F16EB" w:rsidRDefault="001A20CD" w:rsidP="001A20CD">
      <w:r w:rsidRPr="009F16EB">
        <w:t>In my view these requirements should not be included in the Australian legislation. No government is going to go to the trouble of making a formal claim for the return of its cultural material without having first considered the rationale for that claim and it is hardly appropriate that the Department or a court should be second-guessing the government of the country of origin as to the significance of its own cultural material.</w:t>
      </w:r>
    </w:p>
    <w:p w14:paraId="461B8A6F" w14:textId="6997918B" w:rsidR="00AA7153" w:rsidRDefault="001A20CD" w:rsidP="001A20CD">
      <w:r>
        <w:rPr>
          <w:rFonts w:cs="Arial"/>
          <w:szCs w:val="24"/>
        </w:rPr>
        <w:lastRenderedPageBreak/>
        <w:t xml:space="preserve">Given that the </w:t>
      </w:r>
      <w:r w:rsidR="00E26817">
        <w:rPr>
          <w:rFonts w:cs="Arial"/>
          <w:szCs w:val="24"/>
        </w:rPr>
        <w:t xml:space="preserve">UNIDROIT </w:t>
      </w:r>
      <w:r>
        <w:rPr>
          <w:rFonts w:cs="Arial"/>
          <w:szCs w:val="24"/>
        </w:rPr>
        <w:t xml:space="preserve">Convention </w:t>
      </w:r>
      <w:r w:rsidR="00E26817">
        <w:rPr>
          <w:rFonts w:cs="Arial"/>
          <w:szCs w:val="24"/>
        </w:rPr>
        <w:t xml:space="preserve">1995 </w:t>
      </w:r>
      <w:r>
        <w:rPr>
          <w:rFonts w:cs="Arial"/>
          <w:szCs w:val="24"/>
        </w:rPr>
        <w:t>is a take-it-or-leave</w:t>
      </w:r>
      <w:r w:rsidR="0002102C">
        <w:rPr>
          <w:rFonts w:cs="Arial"/>
          <w:szCs w:val="24"/>
        </w:rPr>
        <w:t>-</w:t>
      </w:r>
      <w:r>
        <w:rPr>
          <w:rFonts w:cs="Arial"/>
          <w:szCs w:val="24"/>
        </w:rPr>
        <w:t xml:space="preserve">it creature, its ratification would require further consideration and </w:t>
      </w:r>
      <w:r w:rsidR="00E26817">
        <w:rPr>
          <w:rFonts w:cs="Arial"/>
          <w:szCs w:val="24"/>
        </w:rPr>
        <w:t xml:space="preserve">possibly </w:t>
      </w:r>
      <w:r>
        <w:rPr>
          <w:rFonts w:cs="Arial"/>
          <w:szCs w:val="24"/>
        </w:rPr>
        <w:t xml:space="preserve">further legislative amendment. </w:t>
      </w:r>
      <w:r>
        <w:t>Perhaps the Convention’s all or nothing approach is why</w:t>
      </w:r>
      <w:r w:rsidRPr="009F16EB">
        <w:t xml:space="preserve"> relatively few countries are party to the UNIDROIT Convention</w:t>
      </w:r>
      <w:r w:rsidR="00E26817">
        <w:t xml:space="preserve"> 1995</w:t>
      </w:r>
      <w:r w:rsidRPr="009F16EB">
        <w:t>, as illustrated below.</w:t>
      </w:r>
    </w:p>
    <w:p w14:paraId="3119BFF5" w14:textId="5854BE76" w:rsidR="001A20CD" w:rsidRDefault="00332261" w:rsidP="001A20CD">
      <w:r w:rsidRPr="009F16EB">
        <w:rPr>
          <w:noProof/>
          <w:lang w:eastAsia="en-AU"/>
        </w:rPr>
        <w:drawing>
          <wp:inline distT="0" distB="0" distL="0" distR="0" wp14:anchorId="17588C92" wp14:editId="3B156EA4">
            <wp:extent cx="5466303" cy="3046671"/>
            <wp:effectExtent l="0" t="0" r="1270" b="1905"/>
            <wp:docPr id="13" name="Picture 13" descr="Word map highlighting the 37 state parties to the Unidroit Convention 1995. State Parties listed at &lt;http://www.unesco.org/&gt;" title="Figure 21 – State Parties to the UNIDROIT Convention 1995 (37 state par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IDROI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66303" cy="3046671"/>
                    </a:xfrm>
                    <a:prstGeom prst="rect">
                      <a:avLst/>
                    </a:prstGeom>
                    <a:noFill/>
                    <a:ln>
                      <a:noFill/>
                    </a:ln>
                  </pic:spPr>
                </pic:pic>
              </a:graphicData>
            </a:graphic>
          </wp:inline>
        </w:drawing>
      </w:r>
    </w:p>
    <w:p w14:paraId="64354183" w14:textId="2D63CB6D" w:rsidR="00A07460" w:rsidRDefault="00E26817" w:rsidP="006520F3">
      <w:pPr>
        <w:rPr>
          <w:i/>
          <w:sz w:val="20"/>
          <w:szCs w:val="20"/>
        </w:rPr>
      </w:pPr>
      <w:r>
        <w:rPr>
          <w:i/>
          <w:sz w:val="20"/>
          <w:szCs w:val="20"/>
        </w:rPr>
        <w:t>Figure 21</w:t>
      </w:r>
      <w:r w:rsidR="00801A32">
        <w:rPr>
          <w:i/>
          <w:sz w:val="20"/>
          <w:szCs w:val="20"/>
        </w:rPr>
        <w:t>—</w:t>
      </w:r>
      <w:r w:rsidR="001A20CD" w:rsidRPr="001B5D3A">
        <w:rPr>
          <w:i/>
          <w:sz w:val="20"/>
          <w:szCs w:val="20"/>
        </w:rPr>
        <w:t>State Parties to the UNIDROIT Convention 1995 (37 state parties)</w:t>
      </w:r>
      <w:r w:rsidR="001A20CD" w:rsidRPr="001B5D3A">
        <w:rPr>
          <w:rStyle w:val="FootnoteReference"/>
          <w:i/>
          <w:sz w:val="20"/>
          <w:szCs w:val="20"/>
        </w:rPr>
        <w:footnoteReference w:id="118"/>
      </w:r>
    </w:p>
    <w:p w14:paraId="074392E8" w14:textId="77777777" w:rsidR="00172D73" w:rsidRDefault="00172D73">
      <w:pPr>
        <w:spacing w:line="276" w:lineRule="auto"/>
        <w:rPr>
          <w:rFonts w:asciiTheme="majorHAnsi" w:eastAsiaTheme="majorEastAsia" w:hAnsiTheme="majorHAnsi" w:cstheme="majorBidi"/>
          <w:b/>
          <w:bCs/>
          <w:color w:val="026582"/>
          <w:sz w:val="26"/>
          <w:szCs w:val="26"/>
        </w:rPr>
      </w:pPr>
      <w:r>
        <w:br w:type="page"/>
      </w:r>
    </w:p>
    <w:p w14:paraId="1C712EC6" w14:textId="6569FACA" w:rsidR="001A20CD" w:rsidRPr="009F16EB" w:rsidRDefault="001A20CD" w:rsidP="00052178">
      <w:pPr>
        <w:pStyle w:val="Heading2"/>
      </w:pPr>
      <w:bookmarkStart w:id="297" w:name="_Toc433906601"/>
      <w:r>
        <w:lastRenderedPageBreak/>
        <w:t>Issues with</w:t>
      </w:r>
      <w:r w:rsidR="001900D0">
        <w:t xml:space="preserve"> the current</w:t>
      </w:r>
      <w:r w:rsidRPr="009F16EB">
        <w:t xml:space="preserve"> Act</w:t>
      </w:r>
      <w:bookmarkEnd w:id="297"/>
    </w:p>
    <w:p w14:paraId="2E30A639" w14:textId="77777777" w:rsidR="00AA7153" w:rsidRDefault="001A20CD" w:rsidP="001A20CD">
      <w:r w:rsidRPr="009F16EB">
        <w:t>Since its inception in 1987, the Act has allowed Australia to meet its obligations under the UNESCO Convention 1970. During that time, the return of cultural property (particularly to countries within our region) has demonstrated our commitment and positioned us as a leader in this area.</w:t>
      </w:r>
    </w:p>
    <w:p w14:paraId="7A3CFF23" w14:textId="299AAECD" w:rsidR="001A20CD" w:rsidRPr="009F16EB" w:rsidRDefault="001A20CD" w:rsidP="001A20CD">
      <w:r w:rsidRPr="009F16EB">
        <w:t>However, over the decades some shortcomings have become apparent and, as the Act has not been meaningfully amended, Australia’s legal framework has remained stagnant in the face of rapid change in the international trade in cultural material. Since 1987, the volume and nature of this trade has increased enormously, the UNIDROIT Convention 1995 and the Second Protocol to the Hague Convention 1954 have been introduced and the international legal and ethical framework has shif</w:t>
      </w:r>
      <w:r w:rsidR="001900D0">
        <w:t>ted. The i</w:t>
      </w:r>
      <w:r w:rsidRPr="009F16EB">
        <w:t>nternet has provided new ways of advertising and selling cultural material and this, together with new distribution systems and technologies, has revolutionised the marketplace.</w:t>
      </w:r>
    </w:p>
    <w:p w14:paraId="228EAF70" w14:textId="77777777" w:rsidR="00AA7153" w:rsidRDefault="001A20CD" w:rsidP="001A20CD">
      <w:r w:rsidRPr="009F16EB">
        <w:t>It is evident that the Act lacks clear and transparent processes for the proof of illegal export and its enforcement mechanisms are out-dated. This Review presents an opportunity to ensure that the processes and mechanisms of the Act are</w:t>
      </w:r>
      <w:r w:rsidR="00C963C9">
        <w:t xml:space="preserve"> clear, transparent and reflect</w:t>
      </w:r>
      <w:r w:rsidRPr="009F16EB">
        <w:t xml:space="preserve"> current best practice in law enforcement.</w:t>
      </w:r>
    </w:p>
    <w:p w14:paraId="6AA1754E" w14:textId="1B659195" w:rsidR="001A20CD" w:rsidRPr="009F16EB" w:rsidRDefault="001A20CD" w:rsidP="0067788F">
      <w:pPr>
        <w:pStyle w:val="Heading3"/>
      </w:pPr>
      <w:r w:rsidRPr="009F16EB">
        <w:t>The procedural dynamic</w:t>
      </w:r>
    </w:p>
    <w:p w14:paraId="4F1E130B" w14:textId="77777777" w:rsidR="001A20CD" w:rsidRPr="009F16EB" w:rsidRDefault="001A20CD" w:rsidP="001A20CD">
      <w:r w:rsidRPr="009F16EB">
        <w:t>The situation under the current legislation is the very reverse of the desired position with regard to the responsibility for actions: the burden of commencing legal proceedings falls to the Australian possessor; the burden of proving the legality of the import lies on the Australian Government; the burden on the foreign claimant is opaque.</w:t>
      </w:r>
    </w:p>
    <w:p w14:paraId="60E13F1E" w14:textId="77777777" w:rsidR="00AA7153" w:rsidRDefault="001A20CD" w:rsidP="001A20CD">
      <w:r w:rsidRPr="009F16EB">
        <w:t>For example, under the current Act, when Australian Government agencies identify cultural material that appears to have been illegally exported, the relevant foreign government is notified and the Australian Government waits for a formal seizure request. In some circumstances, the foreign government takes a significant period of time to respond. The Australian Government is left monitoring (and in some cases holding) the material, unsure of whether further action will be required and unable to seize the material without a formal request from the foreign government.</w:t>
      </w:r>
    </w:p>
    <w:p w14:paraId="610611C7" w14:textId="6C55A164" w:rsidR="00AA7153" w:rsidRDefault="001A20CD" w:rsidP="001A20CD">
      <w:r w:rsidRPr="009F16EB">
        <w:lastRenderedPageBreak/>
        <w:t xml:space="preserve">The Australian </w:t>
      </w:r>
      <w:r w:rsidR="0002102C">
        <w:t>G</w:t>
      </w:r>
      <w:r w:rsidRPr="009F16EB">
        <w:t>overnment’s difficulty is exacerbated because the legislation does not recognise the difficulty, indeed impossibility, of distinguishing the actual country of origin when the material is culturally cross-jurisdictional.</w:t>
      </w:r>
    </w:p>
    <w:p w14:paraId="2A6FD0BA" w14:textId="2A786FE0" w:rsidR="00AA7153" w:rsidRDefault="001A20CD" w:rsidP="001A20CD">
      <w:r w:rsidRPr="009F16EB">
        <w:t>A more desirable posi</w:t>
      </w:r>
      <w:r w:rsidR="0002102C">
        <w:t>tion would give the Australian G</w:t>
      </w:r>
      <w:r w:rsidRPr="009F16EB">
        <w:t>overnment the ability to hold and seize foreign cultural material on reasonable suspicion, placing responsibility with the foreign claimant and the Australian possessor to progress the claim or prove the legitimacy of the import.</w:t>
      </w:r>
    </w:p>
    <w:p w14:paraId="3A72DF2E" w14:textId="40E4F3F5" w:rsidR="001A20CD" w:rsidRDefault="001A20CD" w:rsidP="0067788F">
      <w:pPr>
        <w:pStyle w:val="Heading3"/>
      </w:pPr>
      <w:r>
        <w:t>The theft and looting gap</w:t>
      </w:r>
    </w:p>
    <w:p w14:paraId="63E8CAD7" w14:textId="08E72396" w:rsidR="001A20CD" w:rsidRPr="009F16EB" w:rsidRDefault="001A20CD" w:rsidP="001A20CD">
      <w:r w:rsidRPr="009F16EB">
        <w:t>The current Act does not provide a mechanism for the return of stolen and looted foreign cultural property that cannot be reclaimed as an illegal export under a cultural property law. That is not to say that there are no mechanisms under Australian law to achieve this: civil proceedings may be brought in tort</w:t>
      </w:r>
      <w:r w:rsidRPr="009F16EB">
        <w:rPr>
          <w:rStyle w:val="FootnoteReference"/>
        </w:rPr>
        <w:footnoteReference w:id="119"/>
      </w:r>
      <w:r w:rsidRPr="009F16EB">
        <w:t xml:space="preserve"> and equity and criminal procedures may be invoked through legislation such as the </w:t>
      </w:r>
      <w:r w:rsidRPr="009F16EB">
        <w:rPr>
          <w:i/>
        </w:rPr>
        <w:t>Mutual Assistance in Criminal Matters Act 1987</w:t>
      </w:r>
      <w:r w:rsidR="00AA7153">
        <w:t>—</w:t>
      </w:r>
      <w:r w:rsidRPr="009F16EB">
        <w:t>but those would not be proceedings under the Act. It is timely that a new model incorporates thi</w:t>
      </w:r>
      <w:r>
        <w:t>s material into its protections</w:t>
      </w:r>
      <w:r w:rsidR="00AA7153">
        <w:t>—</w:t>
      </w:r>
      <w:r w:rsidRPr="009F16EB">
        <w:t>with more generous, but firm, time limitations for recovery.</w:t>
      </w:r>
    </w:p>
    <w:p w14:paraId="74BA7FDB" w14:textId="6968BED0" w:rsidR="001A20CD" w:rsidRPr="009F16EB" w:rsidRDefault="001A20CD" w:rsidP="001A20CD">
      <w:r w:rsidRPr="009F16EB">
        <w:t xml:space="preserve">In adding this head of cultural property protection it must be recognised that it requires a balance between equally legitimate interests: that of the person (usually the owner) deprived of a cultural object by theft and that of the good faith purchaser of such </w:t>
      </w:r>
      <w:r w:rsidR="0002102C">
        <w:t xml:space="preserve">an </w:t>
      </w:r>
      <w:r w:rsidRPr="009F16EB">
        <w:t>object.</w:t>
      </w:r>
      <w:r w:rsidRPr="009F16EB">
        <w:rPr>
          <w:rStyle w:val="FootnoteReference"/>
        </w:rPr>
        <w:footnoteReference w:id="120"/>
      </w:r>
    </w:p>
    <w:p w14:paraId="31C7E806" w14:textId="77777777" w:rsidR="001A20CD" w:rsidRPr="009F16EB" w:rsidRDefault="001A20CD" w:rsidP="0067788F">
      <w:pPr>
        <w:pStyle w:val="Heading3"/>
      </w:pPr>
      <w:r w:rsidRPr="009F16EB">
        <w:t>Lack of procedural pathway</w:t>
      </w:r>
    </w:p>
    <w:p w14:paraId="100631DC" w14:textId="77777777" w:rsidR="00AA7153" w:rsidRDefault="001A20CD" w:rsidP="001A20CD">
      <w:r w:rsidRPr="009F16EB">
        <w:t>The absence of a procedural pathway for the resolution of these claims is one of the most significant problems with the current system. Section 41(2) of the current Act requires that a claim be made by the foreign government but the Act does not provide transparent procedures for evidence relating to the claim to be shared with the Australian possessor before a decision is made.</w:t>
      </w:r>
    </w:p>
    <w:p w14:paraId="0D3C31F7" w14:textId="1EA7376E" w:rsidR="001900D0" w:rsidRDefault="001900D0">
      <w:pPr>
        <w:spacing w:line="276" w:lineRule="auto"/>
      </w:pPr>
      <w:r>
        <w:br w:type="page"/>
      </w:r>
    </w:p>
    <w:p w14:paraId="3D453F70" w14:textId="562CBC2F" w:rsidR="001A20CD" w:rsidRPr="009F16EB" w:rsidRDefault="001A20CD" w:rsidP="001A20CD">
      <w:r w:rsidRPr="009F16EB">
        <w:lastRenderedPageBreak/>
        <w:t>In particular:</w:t>
      </w:r>
    </w:p>
    <w:p w14:paraId="249F82D5" w14:textId="77777777" w:rsidR="001A20CD" w:rsidRPr="009F16EB" w:rsidRDefault="001A20CD" w:rsidP="0035682E">
      <w:pPr>
        <w:pStyle w:val="ListParagraph"/>
        <w:numPr>
          <w:ilvl w:val="0"/>
          <w:numId w:val="58"/>
        </w:numPr>
        <w:tabs>
          <w:tab w:val="clear" w:pos="709"/>
          <w:tab w:val="num" w:pos="567"/>
        </w:tabs>
        <w:ind w:left="567" w:hanging="283"/>
      </w:pPr>
      <w:r w:rsidRPr="009F16EB">
        <w:t>there needs to be transparency of information as to the basis of the claim and the circumstances of the acquisition; and</w:t>
      </w:r>
    </w:p>
    <w:p w14:paraId="166AE260" w14:textId="77777777" w:rsidR="001A20CD" w:rsidRPr="009F16EB" w:rsidRDefault="001A20CD" w:rsidP="0035682E">
      <w:pPr>
        <w:pStyle w:val="ListParagraph"/>
        <w:numPr>
          <w:ilvl w:val="0"/>
          <w:numId w:val="58"/>
        </w:numPr>
        <w:tabs>
          <w:tab w:val="clear" w:pos="709"/>
          <w:tab w:val="num" w:pos="567"/>
        </w:tabs>
        <w:ind w:left="567" w:hanging="283"/>
      </w:pPr>
      <w:proofErr w:type="gramStart"/>
      <w:r w:rsidRPr="009F16EB">
        <w:t>information</w:t>
      </w:r>
      <w:proofErr w:type="gramEnd"/>
      <w:r w:rsidRPr="009F16EB">
        <w:t xml:space="preserve"> relevant to the claim should be equally available to the parties.</w:t>
      </w:r>
    </w:p>
    <w:p w14:paraId="1D7B2ACF" w14:textId="77777777" w:rsidR="001A20CD" w:rsidRPr="009F16EB" w:rsidRDefault="001A20CD" w:rsidP="001A20CD">
      <w:r w:rsidRPr="009F16EB">
        <w:t>Further, the current system puts an unnecessary burden on the Minister to determine the rights and wrongs of the situation. The procedure in the new model aims to provide an environment in which the claimant and the possessor may be enabled to resolve the claim informally and, if that fails, to provide a reviewable mechanism for determining the claim.</w:t>
      </w:r>
    </w:p>
    <w:p w14:paraId="192607F1" w14:textId="77777777" w:rsidR="001A20CD" w:rsidRPr="009F16EB" w:rsidRDefault="001A20CD" w:rsidP="00052178">
      <w:pPr>
        <w:pStyle w:val="Heading2"/>
      </w:pPr>
      <w:bookmarkStart w:id="298" w:name="_Toc433906602"/>
      <w:r>
        <w:t>Framework of the</w:t>
      </w:r>
      <w:r w:rsidRPr="009F16EB">
        <w:t xml:space="preserve"> new model</w:t>
      </w:r>
      <w:bookmarkEnd w:id="298"/>
    </w:p>
    <w:p w14:paraId="76CB81FC" w14:textId="0ACC1FD3" w:rsidR="00AA7153" w:rsidRDefault="001A20CD" w:rsidP="001A20CD">
      <w:pPr>
        <w:rPr>
          <w:rFonts w:cs="Arial"/>
          <w:szCs w:val="24"/>
        </w:rPr>
      </w:pPr>
      <w:r w:rsidRPr="009F16EB">
        <w:t xml:space="preserve">Having considered the relevant international conventions and models and the limitations of the current Act, it was initially my aim to present a single model for the way that Australia could </w:t>
      </w:r>
      <w:r w:rsidRPr="009F16EB">
        <w:rPr>
          <w:rFonts w:cs="Arial"/>
          <w:szCs w:val="24"/>
        </w:rPr>
        <w:t>consolidate the full spectrum of current international obligations regarding the protection of cultural property in times of peace and war. It was also my intention that this model would provide a</w:t>
      </w:r>
      <w:r w:rsidRPr="009F16EB">
        <w:t xml:space="preserve"> legal framework which would go beyond what may be interpreted as current ‘obligations’</w:t>
      </w:r>
      <w:r w:rsidR="00801A32">
        <w:t>—</w:t>
      </w:r>
      <w:r w:rsidRPr="009F16EB">
        <w:t xml:space="preserve">one that would enable future Australian Government ratification of the First and Second Protocols to the Hague Convention </w:t>
      </w:r>
      <w:r w:rsidRPr="009F16EB">
        <w:rPr>
          <w:rFonts w:cs="Arial"/>
          <w:szCs w:val="24"/>
        </w:rPr>
        <w:t>if the Australian Government decided to do so.</w:t>
      </w:r>
    </w:p>
    <w:p w14:paraId="46A34DBE" w14:textId="77777777" w:rsidR="00AA7153" w:rsidRDefault="001A20CD" w:rsidP="001A20CD">
      <w:r w:rsidRPr="009F16EB">
        <w:t>However, some of these international agreements (principally the Protocols)</w:t>
      </w:r>
      <w:r>
        <w:t xml:space="preserve"> go further than</w:t>
      </w:r>
      <w:r w:rsidRPr="009F16EB">
        <w:t xml:space="preserve"> the protection of the material within Australian borders </w:t>
      </w:r>
      <w:r>
        <w:t xml:space="preserve">and </w:t>
      </w:r>
      <w:r w:rsidRPr="009F16EB">
        <w:t>place obligations to regulate extra-territorial behaviour. As my model developed, I was faced with two options: either incorporate additional protections for stolen and looted foreign material within the Act, or recommend a separate piece of legislation for the broader protection of such material in armed conflict.</w:t>
      </w:r>
      <w:r w:rsidRPr="009F16EB">
        <w:rPr>
          <w:rStyle w:val="FootnoteReference"/>
        </w:rPr>
        <w:footnoteReference w:id="121"/>
      </w:r>
    </w:p>
    <w:p w14:paraId="1267C63D" w14:textId="77777777" w:rsidR="00AA7153" w:rsidRDefault="001A20CD" w:rsidP="001A20CD">
      <w:r w:rsidRPr="009F16EB">
        <w:t xml:space="preserve">Of these, I have opted for the first. While the second is initially appealing (and, indeed, the option adopted by like countries such as New Zealand) it </w:t>
      </w:r>
      <w:r>
        <w:t>may be seen as</w:t>
      </w:r>
      <w:r w:rsidRPr="009F16EB">
        <w:t xml:space="preserve"> pre-empt</w:t>
      </w:r>
      <w:r>
        <w:t>ing</w:t>
      </w:r>
      <w:r w:rsidRPr="009F16EB">
        <w:t xml:space="preserve"> the decision of the Australian Government to ratify additional international conventions and protocols. The first option, while adopting some mechanisms from these international conventions, still sits squarely within the policy intent and </w:t>
      </w:r>
      <w:r w:rsidRPr="009F16EB">
        <w:lastRenderedPageBreak/>
        <w:t xml:space="preserve">framework of the existing Act, </w:t>
      </w:r>
      <w:proofErr w:type="gramStart"/>
      <w:r w:rsidRPr="009F16EB">
        <w:t>the</w:t>
      </w:r>
      <w:proofErr w:type="gramEnd"/>
      <w:r w:rsidRPr="009F16EB">
        <w:t xml:space="preserve"> Hague Convention </w:t>
      </w:r>
      <w:r w:rsidR="001900D0">
        <w:t xml:space="preserve">1954 </w:t>
      </w:r>
      <w:r w:rsidRPr="009F16EB">
        <w:t>and the UNESCO Convention</w:t>
      </w:r>
      <w:r w:rsidR="001900D0">
        <w:t xml:space="preserve"> 1970</w:t>
      </w:r>
      <w:r w:rsidRPr="009F16EB">
        <w:t>. The model I have developed provides a flexible mechanism for dealing with a range of material which has been brought into Australia, making it a useful tool for any future commitments.</w:t>
      </w:r>
    </w:p>
    <w:p w14:paraId="7C84116B" w14:textId="77777777" w:rsidR="00AA7153" w:rsidRDefault="001A20CD" w:rsidP="001A20CD">
      <w:r w:rsidRPr="009F16EB">
        <w:t xml:space="preserve">This will, of course, leave some elements (principally those relating to extra-territorial behaviour and immovable heritage protection in Australia) to be addressed by other legislation. Consideration of these is a matter for the Australian Government however I have made suggestions as to where some of these might logically sit. </w:t>
      </w:r>
    </w:p>
    <w:p w14:paraId="36BA6DE1" w14:textId="77777777" w:rsidR="00AA7153" w:rsidRDefault="001A20CD" w:rsidP="001A20CD">
      <w:r w:rsidRPr="009F16EB">
        <w:t xml:space="preserve">Additionally, whether the specific obligations relating to the protection of cultural property sit in one or multiple pieces of legislation, it is important that </w:t>
      </w:r>
      <w:r w:rsidRPr="009F16EB">
        <w:rPr>
          <w:b/>
        </w:rPr>
        <w:t>all</w:t>
      </w:r>
      <w:r w:rsidRPr="009F16EB">
        <w:t xml:space="preserve"> Commonwealth legislation affecting cultural property be treated as a coherent expression of Australia’s commitment to its protection. To do so, it would be desirable to consider the Act, the </w:t>
      </w:r>
      <w:r w:rsidRPr="009F16EB">
        <w:rPr>
          <w:i/>
        </w:rPr>
        <w:t xml:space="preserve">Environmental Protection and Biodiversity Conservation Act 1999, </w:t>
      </w:r>
      <w:r w:rsidRPr="009F16EB">
        <w:t>the</w:t>
      </w:r>
      <w:r w:rsidRPr="009F16EB">
        <w:rPr>
          <w:i/>
        </w:rPr>
        <w:t xml:space="preserve"> Historic Shipwrecks Act 1976, </w:t>
      </w:r>
      <w:r w:rsidRPr="009F16EB">
        <w:t>the</w:t>
      </w:r>
      <w:r w:rsidRPr="009F16EB">
        <w:rPr>
          <w:i/>
        </w:rPr>
        <w:t xml:space="preserve"> </w:t>
      </w:r>
      <w:r w:rsidRPr="009F16EB">
        <w:rPr>
          <w:i/>
          <w:iCs/>
        </w:rPr>
        <w:t>Aboriginal and Torres Strait Islander Heritage Protection Act 1984</w:t>
      </w:r>
      <w:r w:rsidRPr="009F16EB">
        <w:rPr>
          <w:iCs/>
        </w:rPr>
        <w:t xml:space="preserve">, the </w:t>
      </w:r>
      <w:r w:rsidRPr="009F16EB">
        <w:rPr>
          <w:i/>
          <w:iCs/>
        </w:rPr>
        <w:t>Crimes Act 1914</w:t>
      </w:r>
      <w:r w:rsidRPr="009F16EB">
        <w:rPr>
          <w:iCs/>
        </w:rPr>
        <w:t xml:space="preserve"> and </w:t>
      </w:r>
      <w:r w:rsidRPr="009F16EB">
        <w:rPr>
          <w:i/>
          <w:iCs/>
        </w:rPr>
        <w:t xml:space="preserve">Criminal Code Act 1995 </w:t>
      </w:r>
      <w:r w:rsidRPr="009F16EB">
        <w:rPr>
          <w:iCs/>
        </w:rPr>
        <w:t>as limbs of</w:t>
      </w:r>
      <w:r w:rsidRPr="009F16EB">
        <w:t xml:space="preserve"> the one torso. I recognise that these Acts span distinct government departments but the point remains:</w:t>
      </w:r>
    </w:p>
    <w:p w14:paraId="66E6559B" w14:textId="719D3300" w:rsidR="001A20CD" w:rsidRPr="009F16EB" w:rsidRDefault="001A20CD" w:rsidP="00C66090">
      <w:pPr>
        <w:pStyle w:val="Quotation1"/>
        <w:tabs>
          <w:tab w:val="clear" w:pos="425"/>
        </w:tabs>
        <w:ind w:left="567"/>
      </w:pPr>
      <w:proofErr w:type="gramStart"/>
      <w:r w:rsidRPr="00E522B3">
        <w:t>the</w:t>
      </w:r>
      <w:proofErr w:type="gramEnd"/>
      <w:r w:rsidRPr="00E522B3">
        <w:t xml:space="preserve"> temporary silos of administrative organisation should not stand in the way of Australia having a regime of cultural property laws that are consistent, comprehensive and give real effect to our commitments and principles.</w:t>
      </w:r>
    </w:p>
    <w:p w14:paraId="4EF12987" w14:textId="70EA1964" w:rsidR="00AA7153" w:rsidRDefault="001A20CD" w:rsidP="001A20CD">
      <w:r w:rsidRPr="009F16EB">
        <w:t>Certainly, this Review strongly supports accession to both Protocols. Whether the Australian Government decides to do so is a matter for it</w:t>
      </w:r>
      <w:r w:rsidR="00AA7153">
        <w:t>—</w:t>
      </w:r>
      <w:r w:rsidRPr="009F16EB">
        <w:t>but the time is right.</w:t>
      </w:r>
    </w:p>
    <w:p w14:paraId="15E79729" w14:textId="2916135A" w:rsidR="001A20CD" w:rsidRPr="009F16EB" w:rsidRDefault="001A20CD" w:rsidP="0067788F">
      <w:pPr>
        <w:pStyle w:val="Heading3"/>
      </w:pPr>
      <w:r w:rsidRPr="009F16EB">
        <w:t>Material protected by the new model</w:t>
      </w:r>
    </w:p>
    <w:p w14:paraId="709EB072" w14:textId="77777777" w:rsidR="001A20CD" w:rsidRPr="009F16EB" w:rsidRDefault="001A20CD" w:rsidP="001A20CD">
      <w:r w:rsidRPr="009F16EB">
        <w:t>The new model I am presenting relates to cultural material illegally imported into Australia and covers the return of:</w:t>
      </w:r>
    </w:p>
    <w:p w14:paraId="12E3FA3B" w14:textId="77777777" w:rsidR="001A20CD" w:rsidRPr="009F16EB" w:rsidRDefault="001A20CD" w:rsidP="00E5299D">
      <w:pPr>
        <w:pStyle w:val="ListParagraph"/>
        <w:numPr>
          <w:ilvl w:val="0"/>
          <w:numId w:val="94"/>
        </w:numPr>
        <w:ind w:left="567" w:hanging="567"/>
      </w:pPr>
      <w:r w:rsidRPr="009F16EB">
        <w:t>illegally exported cultural material;</w:t>
      </w:r>
    </w:p>
    <w:p w14:paraId="7E7291A1" w14:textId="77777777" w:rsidR="00AA7153" w:rsidRDefault="001A20CD" w:rsidP="00E5299D">
      <w:pPr>
        <w:pStyle w:val="ListParagraph"/>
        <w:numPr>
          <w:ilvl w:val="0"/>
          <w:numId w:val="94"/>
        </w:numPr>
        <w:ind w:left="567" w:hanging="567"/>
      </w:pPr>
      <w:r w:rsidRPr="009F16EB">
        <w:t>stolen cultural material (including material stolen from inventoried public collections); and</w:t>
      </w:r>
    </w:p>
    <w:p w14:paraId="06E90B1A" w14:textId="77777777" w:rsidR="00AA7153" w:rsidRDefault="001A20CD" w:rsidP="00E5299D">
      <w:pPr>
        <w:pStyle w:val="ListParagraph"/>
        <w:numPr>
          <w:ilvl w:val="0"/>
          <w:numId w:val="94"/>
        </w:numPr>
        <w:ind w:left="567" w:hanging="567"/>
      </w:pPr>
      <w:proofErr w:type="gramStart"/>
      <w:r w:rsidRPr="009F16EB">
        <w:t>illegally</w:t>
      </w:r>
      <w:proofErr w:type="gramEnd"/>
      <w:r w:rsidRPr="009F16EB">
        <w:t xml:space="preserve"> removed cultural material looted from conflict zones (‘looted material’).</w:t>
      </w:r>
    </w:p>
    <w:p w14:paraId="5B3592C1" w14:textId="0C49D124" w:rsidR="001A20CD" w:rsidRDefault="001A20CD" w:rsidP="001A20CD">
      <w:r w:rsidRPr="009F16EB">
        <w:t>Generally, all types of material are dealt with under the same process, although there are some specific provisions for each category.</w:t>
      </w:r>
    </w:p>
    <w:p w14:paraId="2F14B192" w14:textId="77777777" w:rsidR="0067788F" w:rsidRDefault="0067788F" w:rsidP="0067788F">
      <w:pPr>
        <w:pStyle w:val="Subtitle"/>
      </w:pPr>
      <w:r>
        <w:lastRenderedPageBreak/>
        <w:t>Survey Response</w:t>
      </w:r>
    </w:p>
    <w:p w14:paraId="381A1059" w14:textId="47ED01BC" w:rsidR="0067788F" w:rsidRDefault="0067788F" w:rsidP="0067788F">
      <w:r>
        <w:t>Responses to the introduction of minimum due diligence standards.</w:t>
      </w:r>
    </w:p>
    <w:p w14:paraId="6A685F03" w14:textId="3376CA82" w:rsidR="0067788F" w:rsidRDefault="0067788F" w:rsidP="0067788F">
      <w:r w:rsidRPr="000A28A5">
        <w:rPr>
          <w:noProof/>
          <w:lang w:eastAsia="en-AU"/>
        </w:rPr>
        <w:drawing>
          <wp:inline distT="0" distB="0" distL="0" distR="0" wp14:anchorId="6F43AE26" wp14:editId="127CC83E">
            <wp:extent cx="3336212" cy="1980000"/>
            <wp:effectExtent l="0" t="0" r="0" b="1270"/>
            <wp:docPr id="24" name="Picture 24" descr="The extent to which respondents believe the inclusion of minimum due diligence standards assist in providing guidance for importers of cultural material into Australia:&#10;&#10;23% To a very large extent&#10;41% To a large extent&#10;17% To a moderate extent&#10;8% To a small extent&#10;0% Not at all&#10;11% Unsure&#10;" title="Figure 22 - The extent to which respondents believe the inclusion of minimum due diligence standards assist in providing guidance for importers of cultural material into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336212" cy="1980000"/>
                    </a:xfrm>
                    <a:prstGeom prst="rect">
                      <a:avLst/>
                    </a:prstGeom>
                    <a:noFill/>
                    <a:ln>
                      <a:noFill/>
                    </a:ln>
                  </pic:spPr>
                </pic:pic>
              </a:graphicData>
            </a:graphic>
          </wp:inline>
        </w:drawing>
      </w:r>
    </w:p>
    <w:p w14:paraId="520F8EB6" w14:textId="3B89A786" w:rsidR="004D1F48" w:rsidRDefault="001900D0" w:rsidP="00172D73">
      <w:pPr>
        <w:keepNext/>
        <w:spacing w:before="240" w:after="120" w:line="240" w:lineRule="auto"/>
        <w:ind w:left="284"/>
        <w:rPr>
          <w:i/>
          <w:sz w:val="20"/>
          <w:szCs w:val="20"/>
        </w:rPr>
      </w:pPr>
      <w:r>
        <w:rPr>
          <w:rFonts w:eastAsia="Times New Roman" w:cs="Arial"/>
          <w:bCs/>
          <w:i/>
          <w:sz w:val="20"/>
          <w:szCs w:val="20"/>
          <w:lang w:eastAsia="en-AU"/>
        </w:rPr>
        <w:t>Figure 22</w:t>
      </w:r>
      <w:r w:rsidR="00AA7153">
        <w:rPr>
          <w:rFonts w:eastAsia="Times New Roman" w:cs="Arial"/>
          <w:bCs/>
          <w:i/>
          <w:sz w:val="20"/>
          <w:szCs w:val="20"/>
          <w:lang w:eastAsia="en-AU"/>
        </w:rPr>
        <w:t>—</w:t>
      </w:r>
      <w:proofErr w:type="gramStart"/>
      <w:r w:rsidR="004D1F48" w:rsidRPr="001B5D3A">
        <w:rPr>
          <w:i/>
          <w:sz w:val="20"/>
          <w:szCs w:val="20"/>
        </w:rPr>
        <w:t>The</w:t>
      </w:r>
      <w:proofErr w:type="gramEnd"/>
      <w:r w:rsidR="004D1F48" w:rsidRPr="001B5D3A">
        <w:rPr>
          <w:i/>
          <w:sz w:val="20"/>
          <w:szCs w:val="20"/>
        </w:rPr>
        <w:t xml:space="preserve"> extent to which respondents believe the inclusion of minimum due diligence standards assist in providing guidance for importers of cultural material into Australia</w:t>
      </w:r>
      <w:r w:rsidR="004D1F48">
        <w:rPr>
          <w:i/>
          <w:sz w:val="20"/>
          <w:szCs w:val="20"/>
        </w:rPr>
        <w:t>.</w:t>
      </w:r>
      <w:r w:rsidR="004D1F48" w:rsidRPr="001B5D3A">
        <w:rPr>
          <w:rStyle w:val="FootnoteReference"/>
          <w:i/>
          <w:sz w:val="20"/>
          <w:szCs w:val="20"/>
        </w:rPr>
        <w:footnoteReference w:id="122"/>
      </w:r>
    </w:p>
    <w:p w14:paraId="36F65BD1" w14:textId="77777777" w:rsidR="001A20CD" w:rsidRPr="009F16EB" w:rsidRDefault="001A20CD" w:rsidP="00052178">
      <w:pPr>
        <w:pStyle w:val="Heading2"/>
      </w:pPr>
      <w:bookmarkStart w:id="299" w:name="_Toc423334285"/>
      <w:bookmarkStart w:id="300" w:name="_Toc433906603"/>
      <w:r>
        <w:t>Core</w:t>
      </w:r>
      <w:r w:rsidRPr="009F16EB">
        <w:t xml:space="preserve"> principles</w:t>
      </w:r>
      <w:bookmarkEnd w:id="299"/>
      <w:r>
        <w:t xml:space="preserve"> of the model</w:t>
      </w:r>
      <w:bookmarkEnd w:id="300"/>
    </w:p>
    <w:p w14:paraId="242D3CCA" w14:textId="77777777" w:rsidR="001A20CD" w:rsidRPr="009F16EB" w:rsidRDefault="001A20CD" w:rsidP="001A20CD">
      <w:r w:rsidRPr="009F16EB">
        <w:t>There are five touchstones at the centre of the new model for the protection of foreign cultural material under the Act.</w:t>
      </w:r>
    </w:p>
    <w:p w14:paraId="7681DF61" w14:textId="77777777" w:rsidR="001A20CD" w:rsidRPr="009F16EB" w:rsidRDefault="001A20CD" w:rsidP="00525F38">
      <w:pPr>
        <w:pStyle w:val="Heading3"/>
      </w:pPr>
      <w:r w:rsidRPr="009F16EB">
        <w:t>Clarity</w:t>
      </w:r>
    </w:p>
    <w:p w14:paraId="17305B47" w14:textId="77777777" w:rsidR="00AA7153" w:rsidRDefault="001A20CD" w:rsidP="001A20CD">
      <w:r w:rsidRPr="009F16EB">
        <w:t xml:space="preserve">The new model </w:t>
      </w:r>
      <w:r>
        <w:t xml:space="preserve">is intended to </w:t>
      </w:r>
      <w:r w:rsidRPr="009F16EB">
        <w:t>provide clarity to all stakeholders, including institutions, dealers, collectors and foreign claimants. Their responsibilities and the actions available to them are clearly explained. The processes to determine whether or not disputed material is to be seized and returned to its country of origin are designed to be easily understood and navigated.</w:t>
      </w:r>
    </w:p>
    <w:p w14:paraId="5990F6E7" w14:textId="355BA0B0" w:rsidR="001A20CD" w:rsidRPr="009F16EB" w:rsidRDefault="001A20CD" w:rsidP="00525F38">
      <w:pPr>
        <w:pStyle w:val="Heading3"/>
      </w:pPr>
      <w:r w:rsidRPr="009F16EB">
        <w:t xml:space="preserve">Due </w:t>
      </w:r>
      <w:r w:rsidRPr="00525F38">
        <w:t>diligence</w:t>
      </w:r>
    </w:p>
    <w:p w14:paraId="295CDBC1" w14:textId="77777777" w:rsidR="001A20CD" w:rsidRPr="009F16EB" w:rsidRDefault="001A20CD" w:rsidP="001A20CD">
      <w:r w:rsidRPr="009F16EB">
        <w:t xml:space="preserve">There are clear expectations on the Australian purchasers of cultural material </w:t>
      </w:r>
      <w:r>
        <w:t xml:space="preserve">that </w:t>
      </w:r>
      <w:r w:rsidRPr="009F16EB">
        <w:t>require them to undertake a practicable degree of due diligence as to title and provenance. These expectations are set within temporal boundaries.</w:t>
      </w:r>
    </w:p>
    <w:p w14:paraId="6A673ACD" w14:textId="77777777" w:rsidR="001A20CD" w:rsidRPr="009F16EB" w:rsidRDefault="001A20CD" w:rsidP="00525F38">
      <w:pPr>
        <w:pStyle w:val="Heading3"/>
      </w:pPr>
      <w:r w:rsidRPr="00525F38">
        <w:lastRenderedPageBreak/>
        <w:t>Transparency</w:t>
      </w:r>
    </w:p>
    <w:p w14:paraId="1547B373" w14:textId="77777777" w:rsidR="001A20CD" w:rsidRPr="009F16EB" w:rsidRDefault="001A20CD" w:rsidP="001A20CD">
      <w:r w:rsidRPr="009F16EB">
        <w:t xml:space="preserve">Under the new model, the processes for assessing claims and counter-claims relating to disputed material are transparent to both the Australian possessor and the foreign claimant. Each party is obliged to provide the other with the evidence to support its claim. It is a principle of the process that a foreign claimant must be prepared to show the evidence of its claim to the Australian possessor of the disputed property and </w:t>
      </w:r>
      <w:r>
        <w:t xml:space="preserve">that </w:t>
      </w:r>
      <w:r w:rsidRPr="009F16EB">
        <w:t>any possessor must be prepared to provide its evidence to support its claim of rightful ownership. The Australian Government would facilitate this exchange.</w:t>
      </w:r>
    </w:p>
    <w:p w14:paraId="7ABC089B" w14:textId="77777777" w:rsidR="001A20CD" w:rsidRPr="009F16EB" w:rsidRDefault="001A20CD" w:rsidP="00525F38">
      <w:pPr>
        <w:pStyle w:val="Heading3"/>
      </w:pPr>
      <w:r w:rsidRPr="00525F38">
        <w:t>Responsibility</w:t>
      </w:r>
      <w:r w:rsidRPr="009F16EB">
        <w:t xml:space="preserve"> to progress the claim</w:t>
      </w:r>
    </w:p>
    <w:p w14:paraId="390C3AEF" w14:textId="77777777" w:rsidR="00AA7153" w:rsidRDefault="001A20CD" w:rsidP="001A20CD">
      <w:r w:rsidRPr="009F16EB">
        <w:t>The model gives expression to Australia’s recognition of a claimant’s right to seek the return of significant cultural material unlawfully imported into Australia. This is a matter of balancing the rights of a national property possessor with the ethical and treaty obligations towards a foreign claimant.</w:t>
      </w:r>
      <w:r w:rsidRPr="009F16EB">
        <w:rPr>
          <w:rStyle w:val="FootnoteReference"/>
        </w:rPr>
        <w:footnoteReference w:id="123"/>
      </w:r>
    </w:p>
    <w:p w14:paraId="01193A33" w14:textId="352A7661" w:rsidR="001A20CD" w:rsidRPr="009F16EB" w:rsidRDefault="001A20CD" w:rsidP="001A20CD">
      <w:r w:rsidRPr="009F16EB">
        <w:t xml:space="preserve">It gives the Australian </w:t>
      </w:r>
      <w:r w:rsidR="00C963C9">
        <w:t>G</w:t>
      </w:r>
      <w:r w:rsidRPr="009F16EB">
        <w:t xml:space="preserve">overnment a clearly defined initial role in seizing the material, safeguarding of the objects and facilitating communication between parties. It is then up to both the foreign claimant and the Australian possessor to provide evidence to support </w:t>
      </w:r>
      <w:r>
        <w:t>their</w:t>
      </w:r>
      <w:r w:rsidRPr="009F16EB">
        <w:t xml:space="preserve"> claim in a timely manner. If the foreign claimant fails to do so, it casts an unfair cloud on the title of the material and is an improper interference with the property rights of the Australian possessor. However, there must also be an obligation on the Australian possessor to demonstrate that it undertook due diligence and holds the appropriate provenance and export papers.</w:t>
      </w:r>
    </w:p>
    <w:p w14:paraId="3FDA746B" w14:textId="00E05F48" w:rsidR="001A20CD" w:rsidRPr="009F16EB" w:rsidRDefault="001A20CD" w:rsidP="00052178">
      <w:pPr>
        <w:pStyle w:val="Heading2"/>
      </w:pPr>
      <w:bookmarkStart w:id="301" w:name="_Toc433906604"/>
      <w:r w:rsidRPr="009F16EB">
        <w:t xml:space="preserve">The </w:t>
      </w:r>
      <w:r>
        <w:t xml:space="preserve">process of the </w:t>
      </w:r>
      <w:r w:rsidRPr="009F16EB">
        <w:t>new model</w:t>
      </w:r>
      <w:bookmarkEnd w:id="301"/>
    </w:p>
    <w:p w14:paraId="4BDD7E8B" w14:textId="77777777" w:rsidR="00AA7153" w:rsidRDefault="001A20CD" w:rsidP="001900D0">
      <w:r w:rsidRPr="009F16EB">
        <w:t>The following is a summary of the general process by which claims for the return of illegally exported, stolen and looted cultural material will be administered under the new model. Specific provisions relating to each category are dealt with at the end.</w:t>
      </w:r>
    </w:p>
    <w:p w14:paraId="348F0EED" w14:textId="253DB88B" w:rsidR="001A20CD" w:rsidRPr="009F16EB" w:rsidRDefault="001A20CD" w:rsidP="00525F38">
      <w:pPr>
        <w:pStyle w:val="Heading3"/>
      </w:pPr>
      <w:r w:rsidRPr="00525F38">
        <w:t>Definitions</w:t>
      </w:r>
    </w:p>
    <w:p w14:paraId="0E7F7FC6" w14:textId="77777777" w:rsidR="00AA7153" w:rsidRDefault="001A20CD" w:rsidP="001A20CD">
      <w:r w:rsidRPr="009F16EB">
        <w:t xml:space="preserve">In this </w:t>
      </w:r>
      <w:r>
        <w:t>section</w:t>
      </w:r>
      <w:r w:rsidRPr="009F16EB">
        <w:t xml:space="preserve"> </w:t>
      </w:r>
      <w:r>
        <w:t>dealing with foreign cultural material</w:t>
      </w:r>
      <w:r w:rsidRPr="009F16EB">
        <w:t>, ‘</w:t>
      </w:r>
      <w:r w:rsidRPr="009F16EB">
        <w:rPr>
          <w:b/>
        </w:rPr>
        <w:t>cultural heritage</w:t>
      </w:r>
      <w:r w:rsidRPr="009F16EB">
        <w:t xml:space="preserve">’ refers to material of importance for ethnological, archaeological, historical, literary, artistic, </w:t>
      </w:r>
      <w:r w:rsidRPr="009F16EB">
        <w:lastRenderedPageBreak/>
        <w:t>scientific, spiritual, natural or technological reasons, forming part of the cultural heritage of a foreign country.</w:t>
      </w:r>
      <w:r w:rsidRPr="009F16EB">
        <w:rPr>
          <w:rStyle w:val="FootnoteReference"/>
        </w:rPr>
        <w:footnoteReference w:id="124"/>
      </w:r>
    </w:p>
    <w:p w14:paraId="05A41689" w14:textId="77777777" w:rsidR="00AA7153" w:rsidRDefault="001A20CD" w:rsidP="00525F38">
      <w:pPr>
        <w:pStyle w:val="Heading3"/>
      </w:pPr>
      <w:r w:rsidRPr="009F16EB">
        <w:t xml:space="preserve">Time </w:t>
      </w:r>
      <w:r w:rsidRPr="00525F38">
        <w:t>limits</w:t>
      </w:r>
    </w:p>
    <w:p w14:paraId="76391705" w14:textId="4C557631" w:rsidR="001A20CD" w:rsidRPr="009F16EB" w:rsidRDefault="001A20CD" w:rsidP="001A20CD">
      <w:r w:rsidRPr="009F16EB">
        <w:t>When considering the illegal import of foreign cultural material, under the current Act there are two key dates:</w:t>
      </w:r>
    </w:p>
    <w:p w14:paraId="63DAF694" w14:textId="77777777" w:rsidR="00AA7153" w:rsidRDefault="001A20CD" w:rsidP="00C66090">
      <w:pPr>
        <w:numPr>
          <w:ilvl w:val="0"/>
          <w:numId w:val="42"/>
        </w:numPr>
        <w:ind w:left="567" w:hanging="567"/>
      </w:pPr>
      <w:r w:rsidRPr="009F16EB">
        <w:t>the date of illicit export from the country of origin; and</w:t>
      </w:r>
    </w:p>
    <w:p w14:paraId="45DD8C8A" w14:textId="77777777" w:rsidR="00AA7153" w:rsidRDefault="001A20CD" w:rsidP="00C66090">
      <w:pPr>
        <w:numPr>
          <w:ilvl w:val="0"/>
          <w:numId w:val="42"/>
        </w:numPr>
        <w:ind w:left="567" w:hanging="567"/>
      </w:pPr>
      <w:proofErr w:type="gramStart"/>
      <w:r w:rsidRPr="009F16EB">
        <w:t>the</w:t>
      </w:r>
      <w:proofErr w:type="gramEnd"/>
      <w:r w:rsidRPr="009F16EB">
        <w:t xml:space="preserve"> subsequent date of import into Australia.</w:t>
      </w:r>
    </w:p>
    <w:p w14:paraId="149E7E8D" w14:textId="62327C75" w:rsidR="001A20CD" w:rsidRPr="009F16EB" w:rsidRDefault="001A20CD" w:rsidP="00525F38">
      <w:pPr>
        <w:pStyle w:val="Heading4"/>
      </w:pPr>
      <w:r w:rsidRPr="009F16EB">
        <w:t>Date of export from country of origin</w:t>
      </w:r>
    </w:p>
    <w:p w14:paraId="4FA7D9E7" w14:textId="77777777" w:rsidR="00AA7153" w:rsidRDefault="001A20CD" w:rsidP="001A20CD">
      <w:r w:rsidRPr="009F16EB">
        <w:t>The significance of the date of export of an object from its country of origin has long been one of the more contentious aspects of the Act. The current Act provides no explicit date after which the illicit export must have taken place and the current interpretation given to the Act by government is that any cultural material is liable to forfeiture if its export was in breach of the laws of the country of origin, irrespective of the date of that export. By this interpretation, there is no ‘line in the sand’ to limit the application of the Act to material that was exported either (a) after the UNESCO Convention was concluded in 1970 or (b) came into effect in 1972 or (c) when Australia ratified it in 1989.</w:t>
      </w:r>
    </w:p>
    <w:p w14:paraId="67B3D63F" w14:textId="5EDD695F" w:rsidR="00AA7153" w:rsidRDefault="001A20CD" w:rsidP="001A20CD">
      <w:r w:rsidRPr="009F16EB">
        <w:t>I understand that it was the original intent of the drafters to give fullest expression to Australia's ratification of the UNESCO Convention 1970</w:t>
      </w:r>
      <w:r w:rsidR="00801A32">
        <w:t>—</w:t>
      </w:r>
      <w:r w:rsidRPr="009F16EB">
        <w:t>but the Convention was expressly worded only to have effect after both parties have ratified.</w:t>
      </w:r>
      <w:r w:rsidRPr="009F16EB">
        <w:rPr>
          <w:vertAlign w:val="superscript"/>
        </w:rPr>
        <w:footnoteReference w:id="125"/>
      </w:r>
    </w:p>
    <w:p w14:paraId="1D7CCD17" w14:textId="77777777" w:rsidR="00AA7153" w:rsidRDefault="001A20CD" w:rsidP="001A20CD">
      <w:r w:rsidRPr="009F16EB">
        <w:t>The desirability of Australia’s position has been the subject of debate since the introduction of the Act and, put at its most polite, views on it remain divided.</w:t>
      </w:r>
      <w:r w:rsidRPr="009F16EB">
        <w:rPr>
          <w:vertAlign w:val="superscript"/>
        </w:rPr>
        <w:footnoteReference w:id="126"/>
      </w:r>
    </w:p>
    <w:p w14:paraId="4080074A" w14:textId="446C0807" w:rsidR="001A20CD" w:rsidRPr="009F16EB" w:rsidRDefault="001A20CD" w:rsidP="001A20CD">
      <w:r w:rsidRPr="009F16EB">
        <w:t>Whatever the correct legal analysis may be, in practical terms, the no-limits interpretation inarguably creates a considerable burden for the collecting community given the difficulties of determining the applicability and enforceability of foreign laws</w:t>
      </w:r>
      <w:r w:rsidR="00801A32">
        <w:t>—</w:t>
      </w:r>
      <w:r w:rsidRPr="009F16EB">
        <w:lastRenderedPageBreak/>
        <w:t>as well as having to determine which country is the country of origin (and thus which laws apply) given that borders have changed so much in the twentieth century.</w:t>
      </w:r>
    </w:p>
    <w:p w14:paraId="0AA483AB" w14:textId="77777777" w:rsidR="001A20CD" w:rsidRPr="009F16EB" w:rsidRDefault="001A20CD" w:rsidP="00525F38">
      <w:pPr>
        <w:pStyle w:val="Heading4"/>
      </w:pPr>
      <w:r w:rsidRPr="009F16EB">
        <w:t>A line in the sand</w:t>
      </w:r>
    </w:p>
    <w:p w14:paraId="123D2A4C" w14:textId="77777777" w:rsidR="00AA7153" w:rsidRDefault="001A20CD" w:rsidP="001A20CD">
      <w:r w:rsidRPr="009F16EB">
        <w:t>To address these issues, the new model provides for periods of limitation for the bringing of claims.</w:t>
      </w:r>
    </w:p>
    <w:p w14:paraId="35801E8A" w14:textId="57D49AA2" w:rsidR="001A20CD" w:rsidRPr="009F16EB" w:rsidRDefault="001A20CD" w:rsidP="001A20CD">
      <w:r w:rsidRPr="009F16EB">
        <w:t>There are two sensible and practical options:</w:t>
      </w:r>
    </w:p>
    <w:p w14:paraId="56483268" w14:textId="7CD90C6F" w:rsidR="00AA7153" w:rsidRDefault="001A20CD" w:rsidP="00C66090">
      <w:pPr>
        <w:pStyle w:val="ListParagraph"/>
        <w:numPr>
          <w:ilvl w:val="0"/>
          <w:numId w:val="62"/>
        </w:numPr>
        <w:ind w:left="567" w:hanging="567"/>
      </w:pPr>
      <w:r w:rsidRPr="009F16EB">
        <w:t>the approach of the UNIDROIT Convention</w:t>
      </w:r>
      <w:r w:rsidR="001900D0">
        <w:t xml:space="preserve"> 1995</w:t>
      </w:r>
      <w:r w:rsidRPr="009F16EB">
        <w:t xml:space="preserve"> which provides that a claim for the return of foreign cultural material (whether illegally exported, stolen or looted) needs to be brought within 50 years from the date of removal</w:t>
      </w:r>
      <w:r w:rsidR="0002102C">
        <w:t>;</w:t>
      </w:r>
      <w:r w:rsidR="0002102C" w:rsidRPr="009F16EB">
        <w:rPr>
          <w:rStyle w:val="FootnoteReference"/>
        </w:rPr>
        <w:footnoteReference w:id="127"/>
      </w:r>
      <w:r w:rsidRPr="009F16EB">
        <w:t xml:space="preserve"> or</w:t>
      </w:r>
    </w:p>
    <w:p w14:paraId="689DECD8" w14:textId="4F8C593C" w:rsidR="001A20CD" w:rsidRPr="009F16EB" w:rsidRDefault="001A20CD" w:rsidP="00C66090">
      <w:pPr>
        <w:pStyle w:val="ListParagraph"/>
        <w:numPr>
          <w:ilvl w:val="0"/>
          <w:numId w:val="62"/>
        </w:numPr>
        <w:ind w:left="567" w:hanging="567"/>
      </w:pPr>
      <w:proofErr w:type="gramStart"/>
      <w:r w:rsidRPr="009F16EB">
        <w:t>applying</w:t>
      </w:r>
      <w:proofErr w:type="gramEnd"/>
      <w:r w:rsidRPr="009F16EB">
        <w:t xml:space="preserve"> the date that the UNESCO Convention came into force, 24 April 1972.</w:t>
      </w:r>
    </w:p>
    <w:p w14:paraId="053EC970" w14:textId="46073340" w:rsidR="00AA7153" w:rsidRDefault="001A20CD" w:rsidP="001A20CD">
      <w:r>
        <w:t>The</w:t>
      </w:r>
      <w:r w:rsidRPr="009F16EB">
        <w:t xml:space="preserve"> disadvantage to the UNIDROIT model is that, at </w:t>
      </w:r>
      <w:r w:rsidR="0002102C">
        <w:t xml:space="preserve">some time in the future, the 50 </w:t>
      </w:r>
      <w:r>
        <w:t xml:space="preserve">year </w:t>
      </w:r>
      <w:r w:rsidR="001900D0">
        <w:t>cut-off</w:t>
      </w:r>
      <w:r>
        <w:t xml:space="preserve"> date</w:t>
      </w:r>
      <w:r w:rsidRPr="009F16EB">
        <w:t xml:space="preserve"> </w:t>
      </w:r>
      <w:r>
        <w:t>may</w:t>
      </w:r>
      <w:r w:rsidRPr="009F16EB">
        <w:t xml:space="preserve"> not allow Australia to meet </w:t>
      </w:r>
      <w:r>
        <w:t>its UNE</w:t>
      </w:r>
      <w:r w:rsidRPr="009F16EB">
        <w:t>SCO obligations (being either the 1972 date of commencement or the 1989 ratification date).</w:t>
      </w:r>
      <w:r>
        <w:t xml:space="preserve"> Accordingly, the 1972 date is preferred. It is also the date commonly adopted internationally within the collections sector.</w:t>
      </w:r>
    </w:p>
    <w:p w14:paraId="47771C2F" w14:textId="77777777" w:rsidR="00AA7153" w:rsidRDefault="001A20CD" w:rsidP="001A20CD">
      <w:r w:rsidRPr="009F16EB">
        <w:t xml:space="preserve">Under either option it would also be </w:t>
      </w:r>
      <w:r>
        <w:t>desirable to include</w:t>
      </w:r>
      <w:r w:rsidRPr="009F16EB">
        <w:t xml:space="preserve"> a </w:t>
      </w:r>
      <w:r>
        <w:t xml:space="preserve">secondary </w:t>
      </w:r>
      <w:r w:rsidRPr="009F16EB">
        <w:t>time period in which the foreign claimant must take action. UNIDROIT requires that a claim must be made within three years of the foreign claimant knowing the location of the object and the identity of its possessor. This is a sensible provision and should be adopted. It requires a claimant to be active in the protection of its own cultural material so that languishing claims do not unfairly affect the Australian possessor’s property rights by casting an unsubstantiated shadow on title.</w:t>
      </w:r>
    </w:p>
    <w:p w14:paraId="18A985DB" w14:textId="54C29265" w:rsidR="00E522B3" w:rsidRPr="00172D73" w:rsidRDefault="00E522B3" w:rsidP="00E522B3">
      <w:pPr>
        <w:pStyle w:val="Subtitle"/>
      </w:pPr>
      <w:r w:rsidRPr="00172D73">
        <w:t>Case study</w:t>
      </w:r>
      <w:r>
        <w:t xml:space="preserve">: </w:t>
      </w:r>
      <w:proofErr w:type="spellStart"/>
      <w:r>
        <w:t>P</w:t>
      </w:r>
      <w:r w:rsidRPr="00172D73">
        <w:t>sittacosaurus</w:t>
      </w:r>
      <w:proofErr w:type="spellEnd"/>
      <w:r w:rsidRPr="00172D73">
        <w:t xml:space="preserve"> fossil</w:t>
      </w:r>
    </w:p>
    <w:p w14:paraId="5710A00E" w14:textId="77777777" w:rsidR="00AA7153" w:rsidRDefault="00E522B3" w:rsidP="00E522B3">
      <w:pPr>
        <w:jc w:val="both"/>
        <w:rPr>
          <w:szCs w:val="24"/>
        </w:rPr>
      </w:pPr>
      <w:r w:rsidRPr="00E522B3">
        <w:rPr>
          <w:szCs w:val="24"/>
        </w:rPr>
        <w:t xml:space="preserve">The Department is contacted by a stakeholder concerned about a complete skeleton of a </w:t>
      </w:r>
      <w:proofErr w:type="spellStart"/>
      <w:r w:rsidRPr="00E522B3">
        <w:rPr>
          <w:szCs w:val="24"/>
        </w:rPr>
        <w:t>psittacosaurus</w:t>
      </w:r>
      <w:proofErr w:type="spellEnd"/>
      <w:r w:rsidRPr="00E522B3">
        <w:rPr>
          <w:szCs w:val="24"/>
        </w:rPr>
        <w:t xml:space="preserve">, a dinosaur found only in northern China, being offered for sale in an upcoming Australian auction. China has strict cultural property laws prohibiting the </w:t>
      </w:r>
      <w:r w:rsidRPr="00E522B3">
        <w:rPr>
          <w:szCs w:val="24"/>
        </w:rPr>
        <w:lastRenderedPageBreak/>
        <w:t>export of fossils without permits. The auction website makes no mention of an export permit.</w:t>
      </w:r>
    </w:p>
    <w:p w14:paraId="2CB47D5F" w14:textId="77777777" w:rsidR="00AA7153" w:rsidRDefault="00E522B3" w:rsidP="00E522B3">
      <w:pPr>
        <w:jc w:val="both"/>
        <w:rPr>
          <w:szCs w:val="24"/>
        </w:rPr>
      </w:pPr>
      <w:r w:rsidRPr="00E522B3">
        <w:rPr>
          <w:szCs w:val="24"/>
        </w:rPr>
        <w:t>The Department contacts the auction house seeking further information about the fossil. The owner provides verifiable evidence that the fossil had been brought out by a relative in the 1950’s. The fossil is therefore not subject to the Act as it was exported prior to 1972.</w:t>
      </w:r>
    </w:p>
    <w:p w14:paraId="1770766A" w14:textId="33D926DB" w:rsidR="00B51AD0" w:rsidRPr="009F16EB" w:rsidRDefault="00B51AD0" w:rsidP="00525F38">
      <w:pPr>
        <w:pStyle w:val="Heading4"/>
      </w:pPr>
      <w:r w:rsidRPr="009F16EB">
        <w:t>Date of import into Australia</w:t>
      </w:r>
    </w:p>
    <w:p w14:paraId="507B721C" w14:textId="77777777" w:rsidR="00B51AD0" w:rsidRPr="001900D0" w:rsidRDefault="00B51AD0" w:rsidP="00B51AD0">
      <w:r w:rsidRPr="009F16EB">
        <w:t>Currently, if an object was imported into Australia before 1 July 1987 (when the Act came into force), the import is not regulated by the Act and the procedures for seizure, forfeiture and return do not apply. No change to this position is proposed.</w:t>
      </w:r>
    </w:p>
    <w:p w14:paraId="3AB5760A" w14:textId="77777777" w:rsidR="00E522B3" w:rsidRDefault="00E522B3" w:rsidP="00E522B3">
      <w:pPr>
        <w:pStyle w:val="Subtitle"/>
      </w:pPr>
      <w:r>
        <w:t>Survey Response</w:t>
      </w:r>
    </w:p>
    <w:p w14:paraId="0593F025" w14:textId="5E7E3BD1" w:rsidR="00B51AD0" w:rsidRDefault="00E522B3" w:rsidP="00E522B3">
      <w:r>
        <w:t>Responses to the introduction of time limitations regarding foreign claims</w:t>
      </w:r>
    </w:p>
    <w:p w14:paraId="532040FE" w14:textId="290BE7BA" w:rsidR="00E522B3" w:rsidRDefault="00E522B3" w:rsidP="001A20CD">
      <w:r w:rsidRPr="00C17362">
        <w:rPr>
          <w:noProof/>
          <w:lang w:eastAsia="en-AU"/>
        </w:rPr>
        <w:drawing>
          <wp:inline distT="0" distB="0" distL="0" distR="0" wp14:anchorId="48C59C9E" wp14:editId="60162F44">
            <wp:extent cx="3048730" cy="1980000"/>
            <wp:effectExtent l="0" t="0" r="0" b="1270"/>
            <wp:docPr id="678" name="Picture 678" descr="The extent to which respondents believe the introduction of time limitations regarding foreign claims is appropriate:&#10;&#10;18% To a very large extent&#10;31% To a large extent&#10;28% To a moderate extent&#10;10% To a small extent&#10;6% Not at all&#10;8% Unsure&#10; " title="Figure 23 - The extent to which respondents believe the introduction of time limitations regarding foreign claims is appropri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3048730" cy="1980000"/>
                    </a:xfrm>
                    <a:prstGeom prst="rect">
                      <a:avLst/>
                    </a:prstGeom>
                    <a:noFill/>
                    <a:ln>
                      <a:noFill/>
                    </a:ln>
                  </pic:spPr>
                </pic:pic>
              </a:graphicData>
            </a:graphic>
          </wp:inline>
        </w:drawing>
      </w:r>
    </w:p>
    <w:p w14:paraId="0AE326E8" w14:textId="505D4569" w:rsidR="00AF054A" w:rsidRPr="001B5D3A" w:rsidRDefault="001900D0" w:rsidP="00172D73">
      <w:pPr>
        <w:keepNext/>
        <w:spacing w:before="240" w:after="120" w:line="240" w:lineRule="auto"/>
        <w:ind w:left="284"/>
        <w:rPr>
          <w:rFonts w:eastAsia="Times New Roman" w:cs="Arial"/>
          <w:bCs/>
          <w:i/>
          <w:sz w:val="20"/>
          <w:szCs w:val="20"/>
          <w:lang w:eastAsia="en-AU"/>
        </w:rPr>
      </w:pPr>
      <w:r>
        <w:rPr>
          <w:rFonts w:eastAsia="Times New Roman" w:cs="Arial"/>
          <w:bCs/>
          <w:i/>
          <w:sz w:val="20"/>
          <w:szCs w:val="20"/>
          <w:lang w:eastAsia="en-AU"/>
        </w:rPr>
        <w:t>Figure 23</w:t>
      </w:r>
      <w:r w:rsidR="00AA7153">
        <w:rPr>
          <w:rFonts w:eastAsia="Times New Roman" w:cs="Arial"/>
          <w:bCs/>
          <w:i/>
          <w:sz w:val="20"/>
          <w:szCs w:val="20"/>
          <w:lang w:eastAsia="en-AU"/>
        </w:rPr>
        <w:t>—</w:t>
      </w:r>
      <w:proofErr w:type="gramStart"/>
      <w:r w:rsidR="00AF054A" w:rsidRPr="001B5D3A">
        <w:rPr>
          <w:rFonts w:eastAsia="Times New Roman" w:cs="Arial"/>
          <w:bCs/>
          <w:i/>
          <w:sz w:val="20"/>
          <w:szCs w:val="20"/>
          <w:lang w:eastAsia="en-AU"/>
        </w:rPr>
        <w:t>The</w:t>
      </w:r>
      <w:proofErr w:type="gramEnd"/>
      <w:r w:rsidR="00AF054A" w:rsidRPr="001B5D3A">
        <w:rPr>
          <w:rFonts w:eastAsia="Times New Roman" w:cs="Arial"/>
          <w:bCs/>
          <w:i/>
          <w:sz w:val="20"/>
          <w:szCs w:val="20"/>
          <w:lang w:eastAsia="en-AU"/>
        </w:rPr>
        <w:t xml:space="preserve"> extent to which respondents believe the introduction of time limitations regarding foreign claims is appropriate</w:t>
      </w:r>
      <w:r w:rsidR="00AF054A" w:rsidRPr="001B5D3A">
        <w:rPr>
          <w:rStyle w:val="FootnoteReference"/>
          <w:i/>
        </w:rPr>
        <w:footnoteReference w:id="128"/>
      </w:r>
    </w:p>
    <w:p w14:paraId="11AE9490" w14:textId="77777777" w:rsidR="00AF054A" w:rsidRPr="009F16EB" w:rsidRDefault="00AF054A" w:rsidP="001A20CD"/>
    <w:p w14:paraId="38A88216" w14:textId="70ED5DDC" w:rsidR="001A20CD" w:rsidRPr="009F16EB" w:rsidRDefault="001A20CD" w:rsidP="00525F38">
      <w:pPr>
        <w:pStyle w:val="Heading3"/>
      </w:pPr>
      <w:r w:rsidRPr="009F16EB">
        <w:t>Initiation of procedure</w:t>
      </w:r>
    </w:p>
    <w:p w14:paraId="33935917" w14:textId="5BF40EF6" w:rsidR="001A20CD" w:rsidRPr="009F16EB" w:rsidRDefault="001A20CD" w:rsidP="001A20CD">
      <w:r w:rsidRPr="009F16EB">
        <w:t>Cultural material may be held for protection or safekeeping upon suspicion that it is illegally exported, stolen or looted. The Border Force already has this power. The basis for this may include (but is not limited to) suspicion that:</w:t>
      </w:r>
    </w:p>
    <w:p w14:paraId="36CD8BB1" w14:textId="77777777" w:rsidR="001A20CD" w:rsidRPr="009F16EB" w:rsidRDefault="001A20CD" w:rsidP="00C66090">
      <w:pPr>
        <w:pStyle w:val="ListParagraph"/>
        <w:numPr>
          <w:ilvl w:val="0"/>
          <w:numId w:val="56"/>
        </w:numPr>
        <w:ind w:left="567" w:hanging="567"/>
      </w:pPr>
      <w:r w:rsidRPr="009F16EB">
        <w:lastRenderedPageBreak/>
        <w:t>trade in the material is currently restricted or prohibited under a United Nations Security Council Resolution;</w:t>
      </w:r>
    </w:p>
    <w:p w14:paraId="0674D1F5" w14:textId="77777777" w:rsidR="001A20CD" w:rsidRPr="009F16EB" w:rsidRDefault="001A20CD" w:rsidP="00C66090">
      <w:pPr>
        <w:pStyle w:val="ListParagraph"/>
        <w:numPr>
          <w:ilvl w:val="0"/>
          <w:numId w:val="56"/>
        </w:numPr>
        <w:ind w:left="567" w:hanging="567"/>
      </w:pPr>
      <w:r w:rsidRPr="009F16EB">
        <w:t>the material is suspected to have come from a conflict zone (for example it is material known to have been subject to enhanced protection under the Second Protocol of the Hague Convention from a site protected by a Blue Shield emblem); or</w:t>
      </w:r>
    </w:p>
    <w:p w14:paraId="12D6182B" w14:textId="77777777" w:rsidR="00AA7153" w:rsidRDefault="001A20CD" w:rsidP="00C66090">
      <w:pPr>
        <w:pStyle w:val="ListParagraph"/>
        <w:numPr>
          <w:ilvl w:val="0"/>
          <w:numId w:val="56"/>
        </w:numPr>
        <w:ind w:left="567" w:hanging="567"/>
      </w:pPr>
      <w:proofErr w:type="gramStart"/>
      <w:r w:rsidRPr="009F16EB">
        <w:t>the</w:t>
      </w:r>
      <w:proofErr w:type="gramEnd"/>
      <w:r w:rsidRPr="009F16EB">
        <w:t xml:space="preserve"> possessors or importers are known to authorities to be involved with illegal international trafficking.</w:t>
      </w:r>
    </w:p>
    <w:p w14:paraId="0B900B88" w14:textId="77777777" w:rsidR="00AA7153" w:rsidRDefault="001A20CD" w:rsidP="001A20CD">
      <w:r w:rsidRPr="009F16EB">
        <w:t>While the material is held pending seizure, the Department will seek to identify the material and initiate communications with the relevant foreign government or other authorities.</w:t>
      </w:r>
    </w:p>
    <w:p w14:paraId="1AFE939E" w14:textId="3A69E557" w:rsidR="001A20CD" w:rsidRPr="009F16EB" w:rsidRDefault="001A20CD" w:rsidP="00525F38">
      <w:pPr>
        <w:pStyle w:val="Heading3"/>
      </w:pPr>
      <w:r w:rsidRPr="009F16EB">
        <w:t>Warrant for the seizure of cultural material</w:t>
      </w:r>
    </w:p>
    <w:p w14:paraId="3371E625" w14:textId="7C1376FD" w:rsidR="001A20CD" w:rsidRPr="009F16EB" w:rsidRDefault="001A20CD" w:rsidP="001A20CD">
      <w:r>
        <w:t>The new</w:t>
      </w:r>
      <w:r w:rsidRPr="009F16EB">
        <w:t xml:space="preserve"> warrant scheme for the seizure of foreign cultural material will provide a robust process with independent scrutiny of evidence and </w:t>
      </w:r>
      <w:r>
        <w:t>can</w:t>
      </w:r>
      <w:r w:rsidRPr="009F16EB">
        <w:t xml:space="preserve"> accommodate urgent seizure applica</w:t>
      </w:r>
      <w:r w:rsidR="00C963C9">
        <w:t>tions where cultural material i</w:t>
      </w:r>
      <w:r w:rsidRPr="009F16EB">
        <w:t>s at risk.</w:t>
      </w:r>
    </w:p>
    <w:p w14:paraId="015F8B66" w14:textId="7A3348DC" w:rsidR="00AA7153" w:rsidRDefault="001A20CD" w:rsidP="001A20CD">
      <w:r w:rsidRPr="009F16EB">
        <w:t>Requiring a government agency to obtain approval from an independent decision</w:t>
      </w:r>
      <w:r w:rsidR="0002102C">
        <w:noBreakHyphen/>
      </w:r>
      <w:r w:rsidRPr="009F16EB">
        <w:t xml:space="preserve">maker provides external scrutiny and oversight of the proposed actions, prior to a potentially invasive power being exercised. The most common type of function exercised by a judge or member in a personal capacity is issuing a warrant (such as a telecommunications interception warrant, an inspection warrant, or a search and seizure warrant). </w:t>
      </w:r>
    </w:p>
    <w:p w14:paraId="41F9F794" w14:textId="5A17D4A0" w:rsidR="001A20CD" w:rsidRPr="009F16EB" w:rsidRDefault="001A20CD" w:rsidP="001A20CD">
      <w:r w:rsidRPr="009F16EB">
        <w:t>Accordingly, under the new model, the Australia Federal Po</w:t>
      </w:r>
      <w:r w:rsidR="0002102C">
        <w:t>lice (AFP), Border Force or D</w:t>
      </w:r>
      <w:r w:rsidRPr="009F16EB">
        <w:t>epartmental officers may apply for a warrant for the seizure of cultural material based on a reasonable suspicion that the material was illegally exported, looted or stolen. A request from a foreign government would not be necessary to begin this process and the AFP, Border Force or the Department could seek a warrant based on relevant evidence from any source. Warrant applications would be made to an authorised issuing officer, who would be a judge or Administrative Appeals Tribunal (AAT) member acting in their personal capacity. These authorised officers would scrutinise the evidence forming the basis of the application and could apply conditions to the seizure, such as the length of confinement of the object.</w:t>
      </w:r>
    </w:p>
    <w:p w14:paraId="6BAAC0DB" w14:textId="5292A4F9" w:rsidR="00AA7153" w:rsidRDefault="001A20CD" w:rsidP="001A20CD">
      <w:r w:rsidRPr="009F16EB">
        <w:lastRenderedPageBreak/>
        <w:t>Investigation, search and seizure powers established under a variety of legislative schemes require approval through a judge or an AAT member acting in a personal capacity. A judge or member acting in such a role is not performing the functions of the court or tribunal of which they are a member but are ac</w:t>
      </w:r>
      <w:r w:rsidR="0002102C">
        <w:t>ting as an independent decision</w:t>
      </w:r>
      <w:r w:rsidR="0002102C">
        <w:noBreakHyphen/>
      </w:r>
      <w:r w:rsidRPr="009F16EB">
        <w:t xml:space="preserve">maker. </w:t>
      </w:r>
    </w:p>
    <w:p w14:paraId="1FCE2137" w14:textId="40F9BAE4" w:rsidR="00AA7153" w:rsidRDefault="001A20CD" w:rsidP="001A20CD">
      <w:r w:rsidRPr="009F16EB">
        <w:t>If a warrant is granted, seizur</w:t>
      </w:r>
      <w:r w:rsidR="00EB22DF">
        <w:t>e would trigger the need for a D</w:t>
      </w:r>
      <w:r w:rsidRPr="009F16EB">
        <w:t xml:space="preserve">epartmental decision regarding the cultural material. </w:t>
      </w:r>
    </w:p>
    <w:p w14:paraId="081C1596" w14:textId="10B58C25" w:rsidR="001A20CD" w:rsidRPr="009F16EB" w:rsidRDefault="001A20CD" w:rsidP="00525F38">
      <w:pPr>
        <w:pStyle w:val="Heading3"/>
      </w:pPr>
      <w:r w:rsidRPr="009F16EB">
        <w:t>Period of seizure</w:t>
      </w:r>
    </w:p>
    <w:p w14:paraId="53F6ED33" w14:textId="34EEAC2B" w:rsidR="00AA7153" w:rsidRDefault="001A20CD" w:rsidP="001A20CD">
      <w:r w:rsidRPr="009F16EB">
        <w:t>The time required to gather information in cultural property claims is considerable and</w:t>
      </w:r>
      <w:r>
        <w:t>,</w:t>
      </w:r>
      <w:r w:rsidRPr="009F16EB">
        <w:t xml:space="preserve"> even after the information has been gathered and exchanged, there needs to be an opportunity for the claimant and the possessor to come to an informal resolution. Accordingly the initial period of seizure should</w:t>
      </w:r>
      <w:r w:rsidR="00C963C9">
        <w:t xml:space="preserve"> be</w:t>
      </w:r>
      <w:r w:rsidR="0002102C">
        <w:t xml:space="preserve"> six</w:t>
      </w:r>
      <w:r w:rsidRPr="009F16EB">
        <w:t xml:space="preserve"> months (renewable)</w:t>
      </w:r>
      <w:r w:rsidR="00801A32">
        <w:t>—</w:t>
      </w:r>
      <w:r w:rsidRPr="009F16EB">
        <w:t>although a specific time frame could be placed on the warrant by the authorising officer.</w:t>
      </w:r>
    </w:p>
    <w:p w14:paraId="73B097B6" w14:textId="41DCF02E" w:rsidR="001A20CD" w:rsidRPr="009F16EB" w:rsidRDefault="001A20CD" w:rsidP="001A20CD">
      <w:r w:rsidRPr="009F16EB">
        <w:t>By the end of this period, one of the following actions must have been taken:</w:t>
      </w:r>
    </w:p>
    <w:p w14:paraId="58B91E9F" w14:textId="77777777" w:rsidR="001A20CD" w:rsidRPr="009F16EB" w:rsidRDefault="001A20CD" w:rsidP="00C66090">
      <w:pPr>
        <w:pStyle w:val="ListParagraph"/>
        <w:numPr>
          <w:ilvl w:val="0"/>
          <w:numId w:val="49"/>
        </w:numPr>
        <w:ind w:left="567" w:hanging="567"/>
        <w:rPr>
          <w:rFonts w:cs="Arial"/>
        </w:rPr>
      </w:pPr>
      <w:r w:rsidRPr="009F16EB">
        <w:rPr>
          <w:rFonts w:cs="Arial"/>
        </w:rPr>
        <w:t xml:space="preserve">the </w:t>
      </w:r>
      <w:r w:rsidRPr="009F16EB">
        <w:rPr>
          <w:rFonts w:cs="Arial"/>
          <w:b/>
        </w:rPr>
        <w:t>possessor</w:t>
      </w:r>
      <w:r w:rsidRPr="009F16EB">
        <w:rPr>
          <w:rFonts w:cs="Arial"/>
        </w:rPr>
        <w:t xml:space="preserve"> has ceded possession of ownership of the object to the foreign claimant; or</w:t>
      </w:r>
    </w:p>
    <w:p w14:paraId="50D89D31" w14:textId="77777777" w:rsidR="001A20CD" w:rsidRPr="009F16EB" w:rsidRDefault="001A20CD" w:rsidP="00C66090">
      <w:pPr>
        <w:pStyle w:val="ListParagraph"/>
        <w:numPr>
          <w:ilvl w:val="0"/>
          <w:numId w:val="49"/>
        </w:numPr>
        <w:ind w:left="567" w:hanging="567"/>
        <w:rPr>
          <w:rFonts w:cs="Arial"/>
        </w:rPr>
      </w:pPr>
      <w:r w:rsidRPr="009F16EB">
        <w:rPr>
          <w:rFonts w:cs="Arial"/>
        </w:rPr>
        <w:t xml:space="preserve">the </w:t>
      </w:r>
      <w:r w:rsidRPr="009F16EB">
        <w:rPr>
          <w:rFonts w:cs="Arial"/>
          <w:b/>
        </w:rPr>
        <w:t>foreign claimant</w:t>
      </w:r>
      <w:r w:rsidRPr="009F16EB">
        <w:rPr>
          <w:rFonts w:cs="Arial"/>
        </w:rPr>
        <w:t xml:space="preserve"> has made a formal claim to the Department for the return of the material; or</w:t>
      </w:r>
    </w:p>
    <w:p w14:paraId="21133C11" w14:textId="60AE9B51" w:rsidR="001A20CD" w:rsidRPr="009F16EB" w:rsidRDefault="001A20CD" w:rsidP="00C66090">
      <w:pPr>
        <w:pStyle w:val="ListParagraph"/>
        <w:numPr>
          <w:ilvl w:val="0"/>
          <w:numId w:val="49"/>
        </w:numPr>
        <w:ind w:left="567" w:hanging="567"/>
        <w:rPr>
          <w:rFonts w:cs="Arial"/>
        </w:rPr>
      </w:pPr>
      <w:proofErr w:type="gramStart"/>
      <w:r w:rsidRPr="009F16EB">
        <w:rPr>
          <w:rFonts w:cs="Arial"/>
        </w:rPr>
        <w:t>the</w:t>
      </w:r>
      <w:proofErr w:type="gramEnd"/>
      <w:r w:rsidRPr="009F16EB">
        <w:rPr>
          <w:rFonts w:cs="Arial"/>
        </w:rPr>
        <w:t xml:space="preserve"> </w:t>
      </w:r>
      <w:r w:rsidRPr="009F16EB">
        <w:rPr>
          <w:rFonts w:cs="Arial"/>
          <w:b/>
        </w:rPr>
        <w:t xml:space="preserve">Department </w:t>
      </w:r>
      <w:r w:rsidRPr="009F16EB">
        <w:rPr>
          <w:rFonts w:cs="Arial"/>
        </w:rPr>
        <w:t>has determined that it is not feasible for the foreign claimant to make</w:t>
      </w:r>
      <w:r w:rsidR="00C963C9">
        <w:rPr>
          <w:rFonts w:cs="Arial"/>
        </w:rPr>
        <w:t xml:space="preserve"> a</w:t>
      </w:r>
      <w:r w:rsidRPr="009F16EB">
        <w:rPr>
          <w:rFonts w:cs="Arial"/>
        </w:rPr>
        <w:t xml:space="preserve"> formal claim within the six month period and has exercised a discretion to hold the object for an extended period.</w:t>
      </w:r>
    </w:p>
    <w:p w14:paraId="79F414CA" w14:textId="77777777" w:rsidR="001A20CD" w:rsidRPr="009F16EB" w:rsidRDefault="001A20CD" w:rsidP="001A20CD">
      <w:r w:rsidRPr="009F16EB">
        <w:t xml:space="preserve">Should none of these actions </w:t>
      </w:r>
      <w:r>
        <w:t>have been</w:t>
      </w:r>
      <w:r w:rsidRPr="009F16EB">
        <w:t xml:space="preserve"> taken, the object will be returned to the Australian possessor from whom it has been seized.</w:t>
      </w:r>
    </w:p>
    <w:p w14:paraId="23CE8790" w14:textId="77777777" w:rsidR="001A20CD" w:rsidRPr="009F16EB" w:rsidRDefault="001A20CD" w:rsidP="001A20CD">
      <w:pPr>
        <w:rPr>
          <w:spacing w:val="24"/>
        </w:rPr>
      </w:pPr>
      <w:r w:rsidRPr="009F16EB">
        <w:t>If a foreign claimant makes a formal claim, as described above, it is expected to adduce the material supporting its claim, as outlined below. If the claimant chooses not to provide this information within the period, the object will be returned to the Australian possessor.</w:t>
      </w:r>
    </w:p>
    <w:p w14:paraId="0C13808D" w14:textId="77777777" w:rsidR="00AA7153" w:rsidRDefault="001A20CD" w:rsidP="001A20CD">
      <w:r w:rsidRPr="009F16EB">
        <w:t xml:space="preserve">If it does provide the information, the possessor is then given a period in which to demonstrate to the satisfaction of the Department that the object was legally removed </w:t>
      </w:r>
      <w:r w:rsidRPr="009F16EB">
        <w:lastRenderedPageBreak/>
        <w:t>from its country of origin.</w:t>
      </w:r>
      <w:r w:rsidRPr="009F16EB">
        <w:rPr>
          <w:rStyle w:val="FootnoteReference"/>
        </w:rPr>
        <w:footnoteReference w:id="129"/>
      </w:r>
      <w:r w:rsidRPr="009F16EB">
        <w:t xml:space="preserve"> The possessor has the evidentiary burden of providing any export permit documentation.</w:t>
      </w:r>
      <w:r w:rsidRPr="009F16EB">
        <w:rPr>
          <w:rStyle w:val="FootnoteReference"/>
        </w:rPr>
        <w:footnoteReference w:id="130"/>
      </w:r>
    </w:p>
    <w:p w14:paraId="620F2699" w14:textId="42F6AB39" w:rsidR="001A20CD" w:rsidRPr="009F16EB" w:rsidRDefault="001A20CD" w:rsidP="00525F38">
      <w:pPr>
        <w:pStyle w:val="Heading3"/>
      </w:pPr>
      <w:r w:rsidRPr="009F16EB">
        <w:t>Claim by foreign claimant</w:t>
      </w:r>
    </w:p>
    <w:p w14:paraId="7A48A60D" w14:textId="77777777" w:rsidR="001A20CD" w:rsidRPr="009F16EB" w:rsidRDefault="001A20CD" w:rsidP="001A20CD">
      <w:r>
        <w:t xml:space="preserve">There is no prescribed form for the making of a claim </w:t>
      </w:r>
      <w:r w:rsidRPr="009F16EB">
        <w:t xml:space="preserve">by a foreign claimant for the seizure and return of cultural material </w:t>
      </w:r>
      <w:r>
        <w:t>but every</w:t>
      </w:r>
      <w:r w:rsidRPr="009F16EB">
        <w:t xml:space="preserve"> claim should be accompanied by:</w:t>
      </w:r>
    </w:p>
    <w:p w14:paraId="50174532" w14:textId="77777777" w:rsidR="001A20CD" w:rsidRPr="009F16EB" w:rsidRDefault="001A20CD" w:rsidP="00C66090">
      <w:pPr>
        <w:pStyle w:val="ListParagraph"/>
        <w:numPr>
          <w:ilvl w:val="0"/>
          <w:numId w:val="48"/>
        </w:numPr>
        <w:ind w:left="567" w:hanging="567"/>
      </w:pPr>
      <w:r w:rsidRPr="009F16EB">
        <w:t>a detailed and objective description of the material;</w:t>
      </w:r>
    </w:p>
    <w:p w14:paraId="27C66E66" w14:textId="77777777" w:rsidR="001A20CD" w:rsidRPr="009F16EB" w:rsidRDefault="001A20CD" w:rsidP="00C66090">
      <w:pPr>
        <w:pStyle w:val="ListParagraph"/>
        <w:numPr>
          <w:ilvl w:val="0"/>
          <w:numId w:val="48"/>
        </w:numPr>
        <w:ind w:left="567" w:hanging="567"/>
      </w:pPr>
      <w:r w:rsidRPr="009F16EB">
        <w:t>evidence that the material is from the claimant country;</w:t>
      </w:r>
    </w:p>
    <w:p w14:paraId="028613BA" w14:textId="77777777" w:rsidR="001A20CD" w:rsidRPr="009F16EB" w:rsidRDefault="001A20CD" w:rsidP="00C66090">
      <w:pPr>
        <w:pStyle w:val="ListParagraph"/>
        <w:numPr>
          <w:ilvl w:val="0"/>
          <w:numId w:val="48"/>
        </w:numPr>
        <w:ind w:left="567" w:hanging="567"/>
      </w:pPr>
      <w:r w:rsidRPr="009F16EB">
        <w:t>where the return is sought on the grounds of illegal export, identification of the laws that make the export illegal; or</w:t>
      </w:r>
    </w:p>
    <w:p w14:paraId="6CAF83C9" w14:textId="77777777" w:rsidR="001A20CD" w:rsidRPr="009F16EB" w:rsidRDefault="001A20CD" w:rsidP="00C66090">
      <w:pPr>
        <w:pStyle w:val="ListParagraph"/>
        <w:numPr>
          <w:ilvl w:val="0"/>
          <w:numId w:val="48"/>
        </w:numPr>
        <w:ind w:left="567" w:hanging="567"/>
      </w:pPr>
      <w:r w:rsidRPr="009F16EB">
        <w:t>where return is sought on the grounds of theft or looting, evidence supporting the allegation such as proof of ownership or inventory; and</w:t>
      </w:r>
    </w:p>
    <w:p w14:paraId="245F9F39" w14:textId="77777777" w:rsidR="001A20CD" w:rsidRPr="009F16EB" w:rsidRDefault="001A20CD" w:rsidP="00C66090">
      <w:pPr>
        <w:pStyle w:val="ListParagraph"/>
        <w:numPr>
          <w:ilvl w:val="0"/>
          <w:numId w:val="48"/>
        </w:numPr>
        <w:ind w:left="567" w:hanging="567"/>
      </w:pPr>
      <w:proofErr w:type="gramStart"/>
      <w:r w:rsidRPr="009F16EB">
        <w:t>all</w:t>
      </w:r>
      <w:proofErr w:type="gramEnd"/>
      <w:r w:rsidRPr="009F16EB">
        <w:t xml:space="preserve"> information that the claimant has in relation to the object, including its known provenance, the circumstances of its export, the discovery of the object and the identity of its possessor.</w:t>
      </w:r>
    </w:p>
    <w:p w14:paraId="5FB8A62B" w14:textId="77777777" w:rsidR="00AA7153" w:rsidRDefault="001A20CD" w:rsidP="001A20CD">
      <w:r w:rsidRPr="009F16EB">
        <w:t>It is acknowledged that the claimant might not have all of this information but it should have an obligation to provide as much as it can. This is all relevant to the reasonableness of the grounds for seizure and for the consequent actions.</w:t>
      </w:r>
    </w:p>
    <w:p w14:paraId="6508509E" w14:textId="633768B4" w:rsidR="001A20CD" w:rsidRPr="009F16EB" w:rsidRDefault="001A20CD" w:rsidP="00525F38">
      <w:pPr>
        <w:pStyle w:val="Heading3"/>
      </w:pPr>
      <w:r w:rsidRPr="009F16EB">
        <w:t>Information gathering and sharing</w:t>
      </w:r>
    </w:p>
    <w:p w14:paraId="248E613D" w14:textId="53C173E2" w:rsidR="00AA7153" w:rsidRDefault="0002102C" w:rsidP="001A20CD">
      <w:r>
        <w:t>A Departmental decision</w:t>
      </w:r>
      <w:r>
        <w:noBreakHyphen/>
      </w:r>
      <w:r w:rsidR="001A20CD" w:rsidRPr="009F16EB">
        <w:t>maker would be required to seek evidence about the seized foreign cultural material from the Australian possessor and any</w:t>
      </w:r>
      <w:r>
        <w:t xml:space="preserve"> foreign claimant. The decision</w:t>
      </w:r>
      <w:r>
        <w:noBreakHyphen/>
      </w:r>
      <w:r w:rsidR="001A20CD" w:rsidRPr="009F16EB">
        <w:t xml:space="preserve">maker would also be able to seek information from any other relevant source. Time limits would apply to the provision of information to ensure no unnecessary delays are experienced during this process. </w:t>
      </w:r>
    </w:p>
    <w:p w14:paraId="611A9ABD" w14:textId="2E66E770" w:rsidR="00AA7153" w:rsidRDefault="001A20CD" w:rsidP="001A20CD">
      <w:r w:rsidRPr="009F16EB">
        <w:t xml:space="preserve">To assist to clarify the issues in dispute and encourage resolution between the parties as </w:t>
      </w:r>
      <w:r w:rsidR="00047679">
        <w:t>early as possible, the decision-</w:t>
      </w:r>
      <w:r w:rsidRPr="009F16EB">
        <w:t xml:space="preserve">maker would be required to provide the information </w:t>
      </w:r>
      <w:r w:rsidRPr="009F16EB">
        <w:lastRenderedPageBreak/>
        <w:t>and evidence received from each party to the other.</w:t>
      </w:r>
      <w:r w:rsidRPr="009F16EB">
        <w:rPr>
          <w:rStyle w:val="FootnoteReference"/>
        </w:rPr>
        <w:footnoteReference w:id="131"/>
      </w:r>
      <w:r w:rsidRPr="009F16EB">
        <w:t xml:space="preserve"> This exchange of information is likely to provide a stimulus for early resolution between the parties. </w:t>
      </w:r>
    </w:p>
    <w:p w14:paraId="5E76B78E" w14:textId="77777777" w:rsidR="00AA7153" w:rsidRDefault="001A20CD" w:rsidP="001A20CD">
      <w:r w:rsidRPr="009F16EB">
        <w:t>If resolution is re</w:t>
      </w:r>
      <w:r w:rsidR="00091756">
        <w:t>ached between the parties, the D</w:t>
      </w:r>
      <w:r w:rsidRPr="009F16EB">
        <w:t>epartment would assist to implement the agreed outcomes, for example, the transfer of title to the object.</w:t>
      </w:r>
    </w:p>
    <w:p w14:paraId="659C3B03" w14:textId="77777777" w:rsidR="00AA7153" w:rsidRDefault="001A20CD" w:rsidP="001A20CD">
      <w:r w:rsidRPr="009F16EB">
        <w:t>If negotiation and informal exchange of evidence does not result in a settlement of the claim, the claim will be decided by a senior SES officer of the Department.</w:t>
      </w:r>
    </w:p>
    <w:p w14:paraId="378706F4" w14:textId="0B6CBD06" w:rsidR="001A20CD" w:rsidRPr="009F16EB" w:rsidRDefault="001A20CD" w:rsidP="00525F38">
      <w:pPr>
        <w:pStyle w:val="Heading3"/>
      </w:pPr>
      <w:r w:rsidRPr="009F16EB">
        <w:t>Departmental decision</w:t>
      </w:r>
    </w:p>
    <w:p w14:paraId="0E04B9F0" w14:textId="77777777" w:rsidR="00AA7153" w:rsidRDefault="001A20CD" w:rsidP="001A20CD">
      <w:r w:rsidRPr="009F16EB">
        <w:t>If the parties do not resolve the matter at this preliminary stage, the matter would proceed to a decision by a senior SES officer of the Department to decide whether the seized foreign cultural material has been illegally exported, stolen or looted. Rules of procedural fairness would apply to the making of this decision and affected parties would be given an opportunity to respond to adverse material before a final decision is made.</w:t>
      </w:r>
    </w:p>
    <w:p w14:paraId="13B39EB2" w14:textId="3590C5E5" w:rsidR="001A20CD" w:rsidRPr="009F16EB" w:rsidRDefault="001A20CD" w:rsidP="001A20CD">
      <w:r w:rsidRPr="009F16EB">
        <w:t>The following procedure is proposed:</w:t>
      </w:r>
    </w:p>
    <w:p w14:paraId="38A28238" w14:textId="1EB9B1B5" w:rsidR="00AA7153" w:rsidRDefault="00091756" w:rsidP="00C66090">
      <w:pPr>
        <w:pStyle w:val="ListParagraph"/>
        <w:numPr>
          <w:ilvl w:val="0"/>
          <w:numId w:val="50"/>
        </w:numPr>
        <w:ind w:left="567" w:hanging="567"/>
      </w:pPr>
      <w:r>
        <w:t>i</w:t>
      </w:r>
      <w:r w:rsidR="00047679">
        <w:t>f the decision-</w:t>
      </w:r>
      <w:r w:rsidR="001A20CD" w:rsidRPr="009F16EB">
        <w:t>maker is not satisfied by the information provided by the possessor, he/she will order</w:t>
      </w:r>
      <w:r>
        <w:t xml:space="preserve"> the forfeiture of the material;</w:t>
      </w:r>
    </w:p>
    <w:p w14:paraId="05417AE7" w14:textId="77777777" w:rsidR="00AA7153" w:rsidRDefault="00091756" w:rsidP="00C66090">
      <w:pPr>
        <w:pStyle w:val="ListParagraph"/>
        <w:numPr>
          <w:ilvl w:val="0"/>
          <w:numId w:val="50"/>
        </w:numPr>
        <w:ind w:left="567" w:hanging="567"/>
      </w:pPr>
      <w:r>
        <w:t>t</w:t>
      </w:r>
      <w:r w:rsidR="001A20CD" w:rsidRPr="009F16EB">
        <w:t>he possessor then has a time-limited opportunity to commence action ag</w:t>
      </w:r>
      <w:r>
        <w:t>ainst the forfeiture in the AAT; and</w:t>
      </w:r>
    </w:p>
    <w:p w14:paraId="7CF2E0B3" w14:textId="77777777" w:rsidR="00AA7153" w:rsidRDefault="00091756" w:rsidP="00C66090">
      <w:pPr>
        <w:pStyle w:val="ListParagraph"/>
        <w:numPr>
          <w:ilvl w:val="0"/>
          <w:numId w:val="50"/>
        </w:numPr>
        <w:ind w:left="567" w:hanging="567"/>
      </w:pPr>
      <w:proofErr w:type="gramStart"/>
      <w:r>
        <w:t>i</w:t>
      </w:r>
      <w:r w:rsidR="001A20CD" w:rsidRPr="009F16EB">
        <w:t>f</w:t>
      </w:r>
      <w:proofErr w:type="gramEnd"/>
      <w:r w:rsidR="001A20CD" w:rsidRPr="009F16EB">
        <w:t xml:space="preserve"> the possessor chooses to not challenge the forfeiture within the limitation period, the material will be forfeited and transferred to the foreign claimant.</w:t>
      </w:r>
    </w:p>
    <w:p w14:paraId="52678454" w14:textId="3C149708" w:rsidR="001A20CD" w:rsidRPr="009F16EB" w:rsidRDefault="001A20CD" w:rsidP="00525F38">
      <w:pPr>
        <w:pStyle w:val="Heading3"/>
      </w:pPr>
      <w:r w:rsidRPr="009F16EB">
        <w:t>Alternative dispute resolution in the AAT</w:t>
      </w:r>
    </w:p>
    <w:p w14:paraId="6A4AA31D" w14:textId="77777777" w:rsidR="00AA7153" w:rsidRDefault="001A20CD" w:rsidP="001A20CD">
      <w:r w:rsidRPr="009F16EB">
        <w:t xml:space="preserve">A person whose interests are affected by the Departmental decision will be able to seek merits review of the decision in the AAT. This may include Australian possessors and foreign claimants and can include individuals, corporations and governments. </w:t>
      </w:r>
    </w:p>
    <w:p w14:paraId="59A0DB77" w14:textId="0B10C965" w:rsidR="001A20CD" w:rsidRPr="009F16EB" w:rsidRDefault="001A20CD" w:rsidP="001A20CD">
      <w:r w:rsidRPr="009F16EB">
        <w:t>The initial stage of a review process</w:t>
      </w:r>
      <w:r w:rsidR="00047679">
        <w:t xml:space="preserve"> before the AAT may involve an A</w:t>
      </w:r>
      <w:r w:rsidRPr="009F16EB">
        <w:t>ltern</w:t>
      </w:r>
      <w:r w:rsidR="00047679">
        <w:t>ative Dispute R</w:t>
      </w:r>
      <w:r w:rsidRPr="009F16EB">
        <w:t>esolution (ADR) process. Different dispute resolution models are availa</w:t>
      </w:r>
      <w:r w:rsidR="00091756">
        <w:t xml:space="preserve">ble within the AAT and the process </w:t>
      </w:r>
      <w:r w:rsidRPr="009F16EB">
        <w:t>applied will depend on the particular issues in dispute.</w:t>
      </w:r>
      <w:r w:rsidR="00801A32">
        <w:t xml:space="preserve"> </w:t>
      </w:r>
      <w:r w:rsidRPr="009F16EB">
        <w:lastRenderedPageBreak/>
        <w:t>ADR processes used in the AAT include conferencing, conciliation, mediation, case appraisal and neutral evaluation.</w:t>
      </w:r>
    </w:p>
    <w:p w14:paraId="0B104D0F" w14:textId="711A53B4" w:rsidR="001A20CD" w:rsidRPr="009F16EB" w:rsidRDefault="001A20CD" w:rsidP="00525F38">
      <w:pPr>
        <w:pStyle w:val="Heading3"/>
      </w:pPr>
      <w:r w:rsidRPr="009F16EB">
        <w:t>Determination of the matter in the AAT</w:t>
      </w:r>
    </w:p>
    <w:p w14:paraId="2E3245F2" w14:textId="77777777" w:rsidR="00AA7153" w:rsidRDefault="001A20CD" w:rsidP="001A20CD">
      <w:r w:rsidRPr="009F16EB">
        <w:t xml:space="preserve">If engagement with an ADR process does not lead to resolution, a party can seek listing of their application for hearing by a tribunal. AAT proceedings are designed to be quick, informal, economical, fair, and accessible for all parties. The AAT may inform itself on any matter it thinks fit in undertaking the review and is not bound by rules of evidence. </w:t>
      </w:r>
    </w:p>
    <w:p w14:paraId="53D94D23" w14:textId="4C608745" w:rsidR="001A20CD" w:rsidRPr="009F16EB" w:rsidRDefault="001A20CD" w:rsidP="001A20CD">
      <w:r w:rsidRPr="009F16EB">
        <w:t>Full merits review would be available at this stage, affording parties the opportunity to have all aspects of the Departmental decision reviewed. In reviewing a decision on its merits, the AAT will make the legally correct decision or, where there can be more than one correct decision, the preferable decision.</w:t>
      </w:r>
    </w:p>
    <w:p w14:paraId="52712A81" w14:textId="77777777" w:rsidR="001A20CD" w:rsidRPr="009F16EB" w:rsidRDefault="001A20CD" w:rsidP="00525F38">
      <w:pPr>
        <w:pStyle w:val="Heading3"/>
      </w:pPr>
      <w:r w:rsidRPr="009F16EB">
        <w:t>Judicial review</w:t>
      </w:r>
    </w:p>
    <w:p w14:paraId="5A787B31" w14:textId="77905C47" w:rsidR="001A20CD" w:rsidRPr="009F16EB" w:rsidRDefault="001A20CD" w:rsidP="001A20CD">
      <w:r w:rsidRPr="009F16EB">
        <w:t>A person may have the opportunity to appeal to the Federal Court of Australia for judicial review of an AAT decision, where a question of law arises about the decision reached. Alternatively, judicial review o</w:t>
      </w:r>
      <w:r w:rsidR="00091756">
        <w:t>f the original decision of the D</w:t>
      </w:r>
      <w:r w:rsidRPr="009F16EB">
        <w:t xml:space="preserve">epartment may be available under the </w:t>
      </w:r>
      <w:r w:rsidRPr="009F16EB">
        <w:rPr>
          <w:i/>
        </w:rPr>
        <w:t>Administrative Decisions (Judicial Review) Act 1977</w:t>
      </w:r>
      <w:r w:rsidRPr="009F16EB">
        <w:t>.</w:t>
      </w:r>
    </w:p>
    <w:p w14:paraId="5B1AE8F5" w14:textId="77777777" w:rsidR="001A20CD" w:rsidRPr="009F16EB" w:rsidRDefault="001A20CD" w:rsidP="00525F38">
      <w:pPr>
        <w:pStyle w:val="Heading3"/>
      </w:pPr>
      <w:r w:rsidRPr="009F16EB">
        <w:t>Cost of return</w:t>
      </w:r>
    </w:p>
    <w:p w14:paraId="3267D6E5" w14:textId="7B5234C9" w:rsidR="00A1266C" w:rsidRDefault="001A20CD" w:rsidP="001A20CD">
      <w:r w:rsidRPr="009F16EB">
        <w:t>In the current Act the cost of returning a forfeited object is a matter for Ministerial discretion. The Commonwealth also has the right to recover those costs from “the person who was the owner of the object immediately before it was forfeited”.</w:t>
      </w:r>
      <w:r w:rsidRPr="009F16EB">
        <w:rPr>
          <w:rStyle w:val="FootnoteReference"/>
        </w:rPr>
        <w:t xml:space="preserve"> </w:t>
      </w:r>
      <w:r w:rsidRPr="009F16EB">
        <w:rPr>
          <w:rStyle w:val="FootnoteReference"/>
        </w:rPr>
        <w:footnoteReference w:id="132"/>
      </w:r>
      <w:r w:rsidRPr="009F16EB">
        <w:t xml:space="preserve"> This differs from the UNIDROIT Convention </w:t>
      </w:r>
      <w:r w:rsidR="00091756">
        <w:t xml:space="preserve">1995 </w:t>
      </w:r>
      <w:r w:rsidRPr="009F16EB">
        <w:t>approach whereby the costs are met by the claimant government. It is recommended that the current approach be maintained: it is much more practical.</w:t>
      </w:r>
    </w:p>
    <w:p w14:paraId="2FBE79AA" w14:textId="77777777" w:rsidR="00091756" w:rsidRDefault="00091756">
      <w:pPr>
        <w:spacing w:line="276" w:lineRule="auto"/>
        <w:rPr>
          <w:rFonts w:asciiTheme="majorHAnsi" w:eastAsiaTheme="majorEastAsia" w:hAnsiTheme="majorHAnsi" w:cstheme="majorBidi"/>
          <w:b/>
          <w:bCs/>
          <w:color w:val="026582"/>
          <w:sz w:val="26"/>
          <w:szCs w:val="26"/>
        </w:rPr>
      </w:pPr>
      <w:r>
        <w:br w:type="page"/>
      </w:r>
    </w:p>
    <w:p w14:paraId="54ABEB81" w14:textId="267F5973" w:rsidR="001A20CD" w:rsidRPr="009F16EB" w:rsidRDefault="001A20CD" w:rsidP="00052178">
      <w:pPr>
        <w:pStyle w:val="Heading2"/>
      </w:pPr>
      <w:bookmarkStart w:id="302" w:name="_Toc433906605"/>
      <w:r w:rsidRPr="009F16EB">
        <w:lastRenderedPageBreak/>
        <w:t>Specific provisions</w:t>
      </w:r>
      <w:r w:rsidR="00AA7153">
        <w:t>—</w:t>
      </w:r>
      <w:r w:rsidRPr="009F16EB">
        <w:t>illegally exported cultural material</w:t>
      </w:r>
      <w:bookmarkEnd w:id="302"/>
    </w:p>
    <w:p w14:paraId="6276854F" w14:textId="77777777" w:rsidR="001A20CD" w:rsidRPr="009F16EB" w:rsidRDefault="001A20CD" w:rsidP="00525F38">
      <w:pPr>
        <w:pStyle w:val="Heading3"/>
      </w:pPr>
      <w:r w:rsidRPr="009F16EB">
        <w:t>The right to seek return</w:t>
      </w:r>
    </w:p>
    <w:p w14:paraId="77E5128B" w14:textId="77777777" w:rsidR="001A20CD" w:rsidRPr="009F16EB" w:rsidRDefault="001A20CD" w:rsidP="001A20CD">
      <w:r w:rsidRPr="009F16EB">
        <w:t xml:space="preserve">The claim for the return of illegally exported cultural material must be made by the government of the country of origin of the material. </w:t>
      </w:r>
      <w:r>
        <w:t>This is the current position and should be maintained.</w:t>
      </w:r>
    </w:p>
    <w:p w14:paraId="2A055F73" w14:textId="77777777" w:rsidR="001A20CD" w:rsidRPr="001B5D3A" w:rsidRDefault="001A20CD" w:rsidP="00DC2B9B">
      <w:pPr>
        <w:pStyle w:val="Heading3"/>
        <w:rPr>
          <w:rStyle w:val="CharSectno"/>
        </w:rPr>
      </w:pPr>
      <w:bookmarkStart w:id="303" w:name="_Toc395862857"/>
      <w:r w:rsidRPr="00A1266C">
        <w:rPr>
          <w:rStyle w:val="CharSectno"/>
        </w:rPr>
        <w:t>Ambit extended</w:t>
      </w:r>
    </w:p>
    <w:p w14:paraId="2B2B897C" w14:textId="77777777" w:rsidR="001A20CD" w:rsidRPr="001B5D3A" w:rsidRDefault="001A20CD">
      <w:r w:rsidRPr="001B5D3A">
        <w:t>Currently, section 14(1) of the Act is in simple terms:</w:t>
      </w:r>
    </w:p>
    <w:p w14:paraId="40461132" w14:textId="361A79EA" w:rsidR="001A20CD" w:rsidRPr="00DC2B9B" w:rsidRDefault="001A20CD" w:rsidP="00C66090">
      <w:pPr>
        <w:ind w:left="567"/>
        <w:rPr>
          <w:b/>
          <w:i/>
          <w:sz w:val="20"/>
          <w:szCs w:val="20"/>
        </w:rPr>
      </w:pPr>
      <w:r w:rsidRPr="00DC2B9B">
        <w:rPr>
          <w:b/>
          <w:i/>
          <w:sz w:val="20"/>
          <w:szCs w:val="20"/>
        </w:rPr>
        <w:t>14</w:t>
      </w:r>
      <w:r w:rsidR="00525F38" w:rsidRPr="00DC2B9B">
        <w:rPr>
          <w:b/>
          <w:i/>
          <w:sz w:val="20"/>
          <w:szCs w:val="20"/>
        </w:rPr>
        <w:t xml:space="preserve"> </w:t>
      </w:r>
      <w:r w:rsidRPr="00DC2B9B">
        <w:rPr>
          <w:b/>
          <w:i/>
          <w:sz w:val="20"/>
          <w:szCs w:val="20"/>
        </w:rPr>
        <w:t>Unlawful imports</w:t>
      </w:r>
      <w:bookmarkEnd w:id="303"/>
    </w:p>
    <w:p w14:paraId="5B0E7903" w14:textId="24688618" w:rsidR="001A20CD" w:rsidRPr="009F16EB" w:rsidRDefault="006520F3" w:rsidP="00C66090">
      <w:pPr>
        <w:pStyle w:val="subsection"/>
        <w:tabs>
          <w:tab w:val="clear" w:pos="1021"/>
        </w:tabs>
        <w:spacing w:before="0" w:line="360" w:lineRule="auto"/>
        <w:ind w:left="851" w:firstLine="0"/>
        <w:rPr>
          <w:rFonts w:ascii="Arial" w:hAnsi="Arial" w:cs="Arial"/>
          <w:i/>
          <w:sz w:val="20"/>
        </w:rPr>
      </w:pPr>
      <w:r>
        <w:rPr>
          <w:rFonts w:ascii="Arial" w:hAnsi="Arial" w:cs="Arial"/>
          <w:i/>
          <w:sz w:val="20"/>
        </w:rPr>
        <w:t xml:space="preserve">(1) </w:t>
      </w:r>
      <w:r w:rsidR="001A20CD" w:rsidRPr="009F16EB">
        <w:rPr>
          <w:rFonts w:ascii="Arial" w:hAnsi="Arial" w:cs="Arial"/>
          <w:i/>
          <w:sz w:val="20"/>
        </w:rPr>
        <w:t>Where:</w:t>
      </w:r>
    </w:p>
    <w:p w14:paraId="55455DBA" w14:textId="58ED111F" w:rsidR="001A20CD" w:rsidRPr="009F16EB" w:rsidRDefault="006520F3" w:rsidP="00C66090">
      <w:pPr>
        <w:pStyle w:val="paragraph"/>
        <w:tabs>
          <w:tab w:val="clear" w:pos="1531"/>
        </w:tabs>
        <w:spacing w:before="0" w:line="360" w:lineRule="auto"/>
        <w:ind w:left="1134" w:firstLine="0"/>
        <w:rPr>
          <w:rFonts w:ascii="Arial" w:hAnsi="Arial" w:cs="Arial"/>
          <w:i/>
          <w:sz w:val="20"/>
        </w:rPr>
      </w:pPr>
      <w:r>
        <w:rPr>
          <w:rFonts w:ascii="Arial" w:hAnsi="Arial" w:cs="Arial"/>
          <w:i/>
          <w:sz w:val="20"/>
        </w:rPr>
        <w:t xml:space="preserve">(a) </w:t>
      </w:r>
      <w:proofErr w:type="gramStart"/>
      <w:r w:rsidR="001A20CD" w:rsidRPr="009F16EB">
        <w:rPr>
          <w:rFonts w:ascii="Arial" w:hAnsi="Arial" w:cs="Arial"/>
          <w:i/>
          <w:sz w:val="20"/>
        </w:rPr>
        <w:t>a</w:t>
      </w:r>
      <w:proofErr w:type="gramEnd"/>
      <w:r w:rsidR="001A20CD" w:rsidRPr="009F16EB">
        <w:rPr>
          <w:rFonts w:ascii="Arial" w:hAnsi="Arial" w:cs="Arial"/>
          <w:i/>
          <w:sz w:val="20"/>
        </w:rPr>
        <w:t xml:space="preserve"> protected object of a foreign country has been exported from that country;</w:t>
      </w:r>
    </w:p>
    <w:p w14:paraId="61298927" w14:textId="19B6BA44" w:rsidR="001A20CD" w:rsidRPr="009F16EB" w:rsidRDefault="006520F3" w:rsidP="00C66090">
      <w:pPr>
        <w:pStyle w:val="paragraph"/>
        <w:tabs>
          <w:tab w:val="clear" w:pos="1531"/>
        </w:tabs>
        <w:spacing w:before="0" w:line="360" w:lineRule="auto"/>
        <w:ind w:left="1134" w:firstLine="0"/>
        <w:rPr>
          <w:rFonts w:ascii="Arial" w:hAnsi="Arial" w:cs="Arial"/>
          <w:i/>
          <w:sz w:val="20"/>
        </w:rPr>
      </w:pPr>
      <w:r>
        <w:rPr>
          <w:rFonts w:ascii="Arial" w:hAnsi="Arial" w:cs="Arial"/>
          <w:i/>
          <w:sz w:val="20"/>
        </w:rPr>
        <w:t xml:space="preserve">(b) </w:t>
      </w:r>
      <w:proofErr w:type="gramStart"/>
      <w:r w:rsidR="001A20CD" w:rsidRPr="009F16EB">
        <w:rPr>
          <w:rFonts w:ascii="Arial" w:hAnsi="Arial" w:cs="Arial"/>
          <w:i/>
          <w:sz w:val="20"/>
        </w:rPr>
        <w:t>the</w:t>
      </w:r>
      <w:proofErr w:type="gramEnd"/>
      <w:r w:rsidR="001A20CD" w:rsidRPr="009F16EB">
        <w:rPr>
          <w:rFonts w:ascii="Arial" w:hAnsi="Arial" w:cs="Arial"/>
          <w:i/>
          <w:sz w:val="20"/>
        </w:rPr>
        <w:t xml:space="preserve"> export was prohibited by a law of that country relating to cultural property; and</w:t>
      </w:r>
    </w:p>
    <w:p w14:paraId="117F7C2E" w14:textId="12147AAD" w:rsidR="001A20CD" w:rsidRPr="009F16EB" w:rsidRDefault="006520F3" w:rsidP="00C66090">
      <w:pPr>
        <w:pStyle w:val="paragraph"/>
        <w:tabs>
          <w:tab w:val="clear" w:pos="1531"/>
        </w:tabs>
        <w:spacing w:before="0" w:line="360" w:lineRule="auto"/>
        <w:ind w:left="1134" w:firstLine="0"/>
        <w:rPr>
          <w:rFonts w:ascii="Arial" w:hAnsi="Arial" w:cs="Arial"/>
          <w:i/>
          <w:sz w:val="20"/>
        </w:rPr>
      </w:pPr>
      <w:r>
        <w:rPr>
          <w:rFonts w:ascii="Arial" w:hAnsi="Arial" w:cs="Arial"/>
          <w:i/>
          <w:sz w:val="20"/>
        </w:rPr>
        <w:t xml:space="preserve">(c) </w:t>
      </w:r>
      <w:proofErr w:type="gramStart"/>
      <w:r w:rsidR="001A20CD" w:rsidRPr="009F16EB">
        <w:rPr>
          <w:rFonts w:ascii="Arial" w:hAnsi="Arial" w:cs="Arial"/>
          <w:i/>
          <w:sz w:val="20"/>
        </w:rPr>
        <w:t>the</w:t>
      </w:r>
      <w:proofErr w:type="gramEnd"/>
      <w:r w:rsidR="001A20CD" w:rsidRPr="009F16EB">
        <w:rPr>
          <w:rFonts w:ascii="Arial" w:hAnsi="Arial" w:cs="Arial"/>
          <w:i/>
          <w:sz w:val="20"/>
        </w:rPr>
        <w:t xml:space="preserve"> object is imported;</w:t>
      </w:r>
    </w:p>
    <w:p w14:paraId="62CBB079" w14:textId="77777777" w:rsidR="001A20CD" w:rsidRPr="009F16EB" w:rsidRDefault="001A20CD" w:rsidP="00C66090">
      <w:pPr>
        <w:pStyle w:val="subsection2"/>
        <w:spacing w:before="0" w:line="360" w:lineRule="auto"/>
        <w:ind w:left="851"/>
        <w:rPr>
          <w:rFonts w:ascii="Arial" w:hAnsi="Arial" w:cs="Arial"/>
          <w:i/>
          <w:sz w:val="20"/>
        </w:rPr>
      </w:pPr>
      <w:proofErr w:type="gramStart"/>
      <w:r w:rsidRPr="009F16EB">
        <w:rPr>
          <w:rFonts w:ascii="Arial" w:hAnsi="Arial" w:cs="Arial"/>
          <w:i/>
          <w:sz w:val="20"/>
        </w:rPr>
        <w:t>the</w:t>
      </w:r>
      <w:proofErr w:type="gramEnd"/>
      <w:r w:rsidRPr="009F16EB">
        <w:rPr>
          <w:rFonts w:ascii="Arial" w:hAnsi="Arial" w:cs="Arial"/>
          <w:i/>
          <w:sz w:val="20"/>
        </w:rPr>
        <w:t xml:space="preserve"> object is liable to forfeiture.</w:t>
      </w:r>
    </w:p>
    <w:p w14:paraId="3B3E01E7" w14:textId="77777777" w:rsidR="001A20CD" w:rsidRPr="009F16EB" w:rsidRDefault="001A20CD" w:rsidP="001A20CD">
      <w:pPr>
        <w:pStyle w:val="subsection"/>
        <w:ind w:left="0" w:firstLine="0"/>
        <w:rPr>
          <w:rFonts w:ascii="Arial" w:hAnsi="Arial" w:cs="Arial"/>
          <w:i/>
          <w:sz w:val="20"/>
        </w:rPr>
      </w:pPr>
    </w:p>
    <w:p w14:paraId="54DBBCA1" w14:textId="77777777" w:rsidR="001A20CD" w:rsidRPr="009F16EB" w:rsidRDefault="001A20CD" w:rsidP="001A20CD">
      <w:r w:rsidRPr="009F16EB">
        <w:t>The key change required is that sub-section 1(b) needs to be extended to include situations where the initial export was lawful (</w:t>
      </w:r>
      <w:proofErr w:type="spellStart"/>
      <w:r w:rsidRPr="009F16EB">
        <w:t>ie</w:t>
      </w:r>
      <w:proofErr w:type="spellEnd"/>
      <w:r w:rsidRPr="009F16EB">
        <w:t xml:space="preserve"> pursuant to a temporary export permit) but subsequently became illegal as a result of not being returned in accordance with the terms of the permit.</w:t>
      </w:r>
    </w:p>
    <w:p w14:paraId="0CE051CB" w14:textId="77777777" w:rsidR="001A20CD" w:rsidRPr="009F16EB" w:rsidRDefault="001A20CD" w:rsidP="00525F38">
      <w:pPr>
        <w:pStyle w:val="Heading3"/>
      </w:pPr>
      <w:r w:rsidRPr="009F16EB">
        <w:t>Ambit limited</w:t>
      </w:r>
    </w:p>
    <w:p w14:paraId="24734B62" w14:textId="249A6EDC" w:rsidR="00AA7153" w:rsidRDefault="001A20CD" w:rsidP="001A20CD">
      <w:r w:rsidRPr="009F16EB">
        <w:t>Provided that they are consistent with Australia’s obligations under the UNESCO Convention 1970, there are two further ways that the ambit of the return mechanism should be limited</w:t>
      </w:r>
      <w:r w:rsidR="00047679">
        <w:t>.</w:t>
      </w:r>
    </w:p>
    <w:p w14:paraId="0A99121A" w14:textId="59B2339F" w:rsidR="001A20CD" w:rsidRPr="009F16EB" w:rsidRDefault="001A20CD" w:rsidP="001A20CD">
      <w:r w:rsidRPr="009F16EB">
        <w:t>First, there should be no right to seek return (under current section 14) if the</w:t>
      </w:r>
      <w:r w:rsidRPr="009F16EB">
        <w:rPr>
          <w:spacing w:val="-10"/>
        </w:rPr>
        <w:t xml:space="preserve"> </w:t>
      </w:r>
      <w:r w:rsidRPr="009F16EB">
        <w:t>export</w:t>
      </w:r>
      <w:r w:rsidRPr="009F16EB">
        <w:rPr>
          <w:spacing w:val="-9"/>
        </w:rPr>
        <w:t xml:space="preserve"> </w:t>
      </w:r>
      <w:r w:rsidRPr="009F16EB">
        <w:t>of</w:t>
      </w:r>
      <w:r w:rsidRPr="009F16EB">
        <w:rPr>
          <w:spacing w:val="-9"/>
        </w:rPr>
        <w:t xml:space="preserve"> </w:t>
      </w:r>
      <w:r w:rsidRPr="009F16EB">
        <w:t>the material</w:t>
      </w:r>
      <w:r w:rsidRPr="009F16EB">
        <w:rPr>
          <w:spacing w:val="-9"/>
        </w:rPr>
        <w:t xml:space="preserve"> </w:t>
      </w:r>
      <w:r w:rsidRPr="009F16EB">
        <w:t>is</w:t>
      </w:r>
      <w:r w:rsidRPr="009F16EB">
        <w:rPr>
          <w:spacing w:val="-9"/>
        </w:rPr>
        <w:t xml:space="preserve"> </w:t>
      </w:r>
      <w:r w:rsidRPr="009F16EB">
        <w:t>no</w:t>
      </w:r>
      <w:r w:rsidRPr="009F16EB">
        <w:rPr>
          <w:spacing w:val="-9"/>
        </w:rPr>
        <w:t xml:space="preserve"> </w:t>
      </w:r>
      <w:r w:rsidRPr="009F16EB">
        <w:t>longer</w:t>
      </w:r>
      <w:r w:rsidRPr="009F16EB">
        <w:rPr>
          <w:spacing w:val="-10"/>
        </w:rPr>
        <w:t xml:space="preserve"> </w:t>
      </w:r>
      <w:r w:rsidRPr="009F16EB">
        <w:t>unlawful</w:t>
      </w:r>
      <w:r w:rsidRPr="009F16EB">
        <w:rPr>
          <w:spacing w:val="-19"/>
        </w:rPr>
        <w:t xml:space="preserve"> </w:t>
      </w:r>
      <w:r w:rsidRPr="009F16EB">
        <w:t>in</w:t>
      </w:r>
      <w:r w:rsidRPr="009F16EB">
        <w:rPr>
          <w:spacing w:val="-19"/>
        </w:rPr>
        <w:t xml:space="preserve"> </w:t>
      </w:r>
      <w:r w:rsidRPr="009F16EB">
        <w:t>the</w:t>
      </w:r>
      <w:r w:rsidRPr="009F16EB">
        <w:rPr>
          <w:spacing w:val="-19"/>
        </w:rPr>
        <w:t xml:space="preserve"> </w:t>
      </w:r>
      <w:r w:rsidRPr="009F16EB">
        <w:t>foreign</w:t>
      </w:r>
      <w:r w:rsidRPr="009F16EB">
        <w:rPr>
          <w:spacing w:val="-18"/>
        </w:rPr>
        <w:t xml:space="preserve"> </w:t>
      </w:r>
      <w:r w:rsidRPr="009F16EB">
        <w:t>State</w:t>
      </w:r>
      <w:r w:rsidRPr="009F16EB">
        <w:rPr>
          <w:spacing w:val="-19"/>
        </w:rPr>
        <w:t xml:space="preserve"> </w:t>
      </w:r>
      <w:r w:rsidRPr="009F16EB">
        <w:t>at</w:t>
      </w:r>
      <w:r w:rsidRPr="009F16EB">
        <w:rPr>
          <w:spacing w:val="-19"/>
        </w:rPr>
        <w:t xml:space="preserve"> </w:t>
      </w:r>
      <w:r w:rsidRPr="009F16EB">
        <w:t>the</w:t>
      </w:r>
      <w:r w:rsidRPr="009F16EB">
        <w:rPr>
          <w:spacing w:val="-19"/>
        </w:rPr>
        <w:t xml:space="preserve"> </w:t>
      </w:r>
      <w:r w:rsidRPr="009F16EB">
        <w:t>time</w:t>
      </w:r>
      <w:r w:rsidRPr="009F16EB">
        <w:rPr>
          <w:spacing w:val="-18"/>
        </w:rPr>
        <w:t xml:space="preserve"> </w:t>
      </w:r>
      <w:r w:rsidRPr="009F16EB">
        <w:t>that</w:t>
      </w:r>
      <w:r w:rsidRPr="009F16EB">
        <w:rPr>
          <w:w w:val="99"/>
        </w:rPr>
        <w:t xml:space="preserve"> </w:t>
      </w:r>
      <w:r w:rsidRPr="009F16EB">
        <w:t>the</w:t>
      </w:r>
      <w:r w:rsidRPr="009F16EB">
        <w:rPr>
          <w:spacing w:val="-5"/>
        </w:rPr>
        <w:t xml:space="preserve"> </w:t>
      </w:r>
      <w:r w:rsidRPr="009F16EB">
        <w:t>object</w:t>
      </w:r>
      <w:r w:rsidRPr="009F16EB">
        <w:rPr>
          <w:spacing w:val="-4"/>
        </w:rPr>
        <w:t xml:space="preserve"> </w:t>
      </w:r>
      <w:r w:rsidRPr="009F16EB">
        <w:t>was</w:t>
      </w:r>
      <w:r w:rsidRPr="009F16EB">
        <w:rPr>
          <w:spacing w:val="-4"/>
        </w:rPr>
        <w:t xml:space="preserve"> </w:t>
      </w:r>
      <w:r w:rsidRPr="009F16EB">
        <w:t>imported</w:t>
      </w:r>
      <w:r w:rsidRPr="009F16EB">
        <w:rPr>
          <w:spacing w:val="-3"/>
        </w:rPr>
        <w:t xml:space="preserve"> </w:t>
      </w:r>
      <w:r w:rsidRPr="009F16EB">
        <w:t>into</w:t>
      </w:r>
      <w:r w:rsidRPr="009F16EB">
        <w:rPr>
          <w:spacing w:val="-4"/>
        </w:rPr>
        <w:t xml:space="preserve"> </w:t>
      </w:r>
      <w:r w:rsidRPr="009F16EB">
        <w:t>Australia</w:t>
      </w:r>
      <w:r w:rsidRPr="009F16EB">
        <w:rPr>
          <w:spacing w:val="-4"/>
        </w:rPr>
        <w:t xml:space="preserve"> </w:t>
      </w:r>
      <w:r w:rsidRPr="009F16EB">
        <w:t>or</w:t>
      </w:r>
      <w:r w:rsidRPr="009F16EB">
        <w:rPr>
          <w:spacing w:val="-4"/>
        </w:rPr>
        <w:t xml:space="preserve"> </w:t>
      </w:r>
      <w:r w:rsidRPr="009F16EB">
        <w:t>its</w:t>
      </w:r>
      <w:r w:rsidRPr="009F16EB">
        <w:rPr>
          <w:spacing w:val="-4"/>
        </w:rPr>
        <w:t xml:space="preserve"> </w:t>
      </w:r>
      <w:r w:rsidRPr="009F16EB">
        <w:t>return</w:t>
      </w:r>
      <w:r w:rsidRPr="009F16EB">
        <w:rPr>
          <w:spacing w:val="-4"/>
        </w:rPr>
        <w:t xml:space="preserve"> </w:t>
      </w:r>
      <w:r w:rsidRPr="009F16EB">
        <w:t>is</w:t>
      </w:r>
      <w:r w:rsidRPr="009F16EB">
        <w:rPr>
          <w:w w:val="99"/>
        </w:rPr>
        <w:t xml:space="preserve"> </w:t>
      </w:r>
      <w:r w:rsidRPr="009F16EB">
        <w:t>requested. As the export model recognises, assessments of significance can change over time and the focus of the legislation is to protect that which is currently significant not what was or may become significant.</w:t>
      </w:r>
    </w:p>
    <w:p w14:paraId="36A24A8D" w14:textId="77777777" w:rsidR="00AA7153" w:rsidRDefault="001A20CD" w:rsidP="001A20CD">
      <w:r w:rsidRPr="009F16EB">
        <w:lastRenderedPageBreak/>
        <w:t>Secondly, in recognition of the legitimate art market and the rights of artists, there should be no right to request the return of visual arts, craft and design material</w:t>
      </w:r>
      <w:r w:rsidRPr="009F16EB">
        <w:rPr>
          <w:spacing w:val="-15"/>
        </w:rPr>
        <w:t xml:space="preserve"> </w:t>
      </w:r>
      <w:r w:rsidRPr="009F16EB">
        <w:t>exported</w:t>
      </w:r>
      <w:r w:rsidRPr="009F16EB">
        <w:rPr>
          <w:spacing w:val="-16"/>
        </w:rPr>
        <w:t xml:space="preserve"> </w:t>
      </w:r>
      <w:r w:rsidRPr="009F16EB">
        <w:t>from</w:t>
      </w:r>
      <w:r w:rsidRPr="009F16EB">
        <w:rPr>
          <w:spacing w:val="-15"/>
        </w:rPr>
        <w:t xml:space="preserve"> </w:t>
      </w:r>
      <w:r w:rsidRPr="009F16EB">
        <w:t>the</w:t>
      </w:r>
      <w:r w:rsidRPr="009F16EB">
        <w:rPr>
          <w:spacing w:val="-16"/>
        </w:rPr>
        <w:t xml:space="preserve"> </w:t>
      </w:r>
      <w:r w:rsidRPr="009F16EB">
        <w:t>relevant</w:t>
      </w:r>
      <w:r w:rsidRPr="009F16EB">
        <w:rPr>
          <w:spacing w:val="5"/>
        </w:rPr>
        <w:t xml:space="preserve"> </w:t>
      </w:r>
      <w:r w:rsidRPr="009F16EB">
        <w:t>State</w:t>
      </w:r>
      <w:r w:rsidRPr="009F16EB">
        <w:rPr>
          <w:spacing w:val="6"/>
        </w:rPr>
        <w:t xml:space="preserve"> </w:t>
      </w:r>
      <w:r w:rsidRPr="009F16EB">
        <w:t>during</w:t>
      </w:r>
      <w:r w:rsidRPr="009F16EB">
        <w:rPr>
          <w:spacing w:val="5"/>
        </w:rPr>
        <w:t xml:space="preserve"> </w:t>
      </w:r>
      <w:r w:rsidRPr="009F16EB">
        <w:t>the</w:t>
      </w:r>
      <w:r w:rsidRPr="009F16EB">
        <w:rPr>
          <w:spacing w:val="6"/>
        </w:rPr>
        <w:t xml:space="preserve"> </w:t>
      </w:r>
      <w:r w:rsidRPr="009F16EB">
        <w:t>lifetime</w:t>
      </w:r>
      <w:r w:rsidRPr="009F16EB">
        <w:rPr>
          <w:rStyle w:val="FootnoteReference"/>
        </w:rPr>
        <w:footnoteReference w:id="133"/>
      </w:r>
      <w:r w:rsidRPr="009F16EB">
        <w:rPr>
          <w:spacing w:val="6"/>
        </w:rPr>
        <w:t xml:space="preserve"> </w:t>
      </w:r>
      <w:r w:rsidRPr="009F16EB">
        <w:t>of</w:t>
      </w:r>
      <w:r w:rsidRPr="009F16EB">
        <w:rPr>
          <w:spacing w:val="6"/>
        </w:rPr>
        <w:t xml:space="preserve"> </w:t>
      </w:r>
      <w:r w:rsidRPr="009F16EB">
        <w:t>the</w:t>
      </w:r>
      <w:r w:rsidRPr="009F16EB">
        <w:rPr>
          <w:spacing w:val="5"/>
        </w:rPr>
        <w:t xml:space="preserve"> </w:t>
      </w:r>
      <w:r w:rsidRPr="009F16EB">
        <w:rPr>
          <w:spacing w:val="-2"/>
        </w:rPr>
        <w:t>per</w:t>
      </w:r>
      <w:r w:rsidRPr="009F16EB">
        <w:t>son who</w:t>
      </w:r>
      <w:r w:rsidRPr="009F16EB">
        <w:rPr>
          <w:spacing w:val="-17"/>
        </w:rPr>
        <w:t xml:space="preserve"> </w:t>
      </w:r>
      <w:r w:rsidRPr="009F16EB">
        <w:t>created</w:t>
      </w:r>
      <w:r w:rsidRPr="009F16EB">
        <w:rPr>
          <w:spacing w:val="-17"/>
        </w:rPr>
        <w:t xml:space="preserve"> </w:t>
      </w:r>
      <w:r w:rsidRPr="009F16EB">
        <w:t>it</w:t>
      </w:r>
      <w:r w:rsidRPr="009F16EB">
        <w:rPr>
          <w:spacing w:val="-2"/>
        </w:rPr>
        <w:t>.</w:t>
      </w:r>
      <w:r w:rsidRPr="009F16EB">
        <w:rPr>
          <w:rStyle w:val="FootnoteReference"/>
          <w:spacing w:val="-2"/>
        </w:rPr>
        <w:footnoteReference w:id="134"/>
      </w:r>
      <w:r w:rsidRPr="009F16EB">
        <w:t xml:space="preserve"> </w:t>
      </w:r>
    </w:p>
    <w:p w14:paraId="2A5A3CBC" w14:textId="761FA24D" w:rsidR="001A20CD" w:rsidRPr="00CD246A" w:rsidRDefault="001A20CD" w:rsidP="00525F38">
      <w:pPr>
        <w:pStyle w:val="Heading3"/>
        <w:rPr>
          <w:highlight w:val="yellow"/>
        </w:rPr>
      </w:pPr>
      <w:r w:rsidRPr="00CD246A">
        <w:rPr>
          <w:highlight w:val="yellow"/>
        </w:rPr>
        <w:t>Compensation for innocent purchasers</w:t>
      </w:r>
    </w:p>
    <w:p w14:paraId="6BCED678" w14:textId="43508F7F" w:rsidR="00AA7153" w:rsidRDefault="001A20CD" w:rsidP="001A20CD">
      <w:r w:rsidRPr="00CD246A">
        <w:rPr>
          <w:highlight w:val="yellow"/>
        </w:rPr>
        <w:t>In the new model, an innocent purchaser of cultural material that is returned on the basis of illegal export may seek just compensation</w:t>
      </w:r>
      <w:r w:rsidRPr="00CD246A">
        <w:rPr>
          <w:rStyle w:val="FootnoteReference"/>
          <w:highlight w:val="yellow"/>
        </w:rPr>
        <w:footnoteReference w:id="135"/>
      </w:r>
      <w:r w:rsidRPr="00CD246A">
        <w:rPr>
          <w:highlight w:val="yellow"/>
        </w:rPr>
        <w:t xml:space="preserve"> from the claimant government if it did not know nor ought reasonably have known at the time of acquisition that the object had been illegally exported.</w:t>
      </w:r>
      <w:r w:rsidRPr="00CD246A">
        <w:rPr>
          <w:rStyle w:val="FootnoteReference"/>
          <w:rFonts w:cs="Arial"/>
          <w:szCs w:val="24"/>
          <w:highlight w:val="yellow"/>
        </w:rPr>
        <w:footnoteReference w:id="136"/>
      </w:r>
      <w:r w:rsidR="00801A32" w:rsidRPr="00CD246A">
        <w:rPr>
          <w:highlight w:val="yellow"/>
        </w:rPr>
        <w:t xml:space="preserve"> </w:t>
      </w:r>
      <w:r w:rsidRPr="00CD246A">
        <w:rPr>
          <w:highlight w:val="yellow"/>
        </w:rPr>
        <w:t>To establish this, a dispossessed owner must be able to demonstrate that i</w:t>
      </w:r>
      <w:r w:rsidRPr="00CD246A">
        <w:rPr>
          <w:rFonts w:cs="Arial"/>
          <w:szCs w:val="24"/>
          <w:highlight w:val="yellow"/>
        </w:rPr>
        <w:t xml:space="preserve">t </w:t>
      </w:r>
      <w:r w:rsidRPr="00CD246A">
        <w:rPr>
          <w:highlight w:val="yellow"/>
        </w:rPr>
        <w:t>undertook proper due diligence prior to acquisition. As part of this due diligence it is expected that the acquirer would have regard not just to the provenance of the object but also to all of the circumstances of acquisition under the law of the country of origin. For example, the possessor is expected to have enquired as to the export status of the object and, if a certificate was required, obtained the certificate at time of acquisition.</w:t>
      </w:r>
    </w:p>
    <w:p w14:paraId="2FE8FE15" w14:textId="060A0C2F" w:rsidR="001A20CD" w:rsidRPr="009F16EB" w:rsidRDefault="001A20CD" w:rsidP="001A20CD">
      <w:r w:rsidRPr="009F16EB">
        <w:t xml:space="preserve">Consideration should be given to going further and </w:t>
      </w:r>
      <w:r w:rsidRPr="000B51F5">
        <w:rPr>
          <w:highlight w:val="yellow"/>
        </w:rPr>
        <w:t>debarring the possessor from seeking compensation in the absence of an export certificate required by the law of the originating country</w:t>
      </w:r>
      <w:r w:rsidRPr="009F16EB">
        <w:t xml:space="preserve">. This position was argued for and ultimately not included in the UNIDROIT Convention </w:t>
      </w:r>
      <w:r w:rsidR="00047679">
        <w:t xml:space="preserve">1995 </w:t>
      </w:r>
      <w:r w:rsidRPr="009F16EB">
        <w:t>but it certainly would enhance the rigour with which due diligence is undertake</w:t>
      </w:r>
      <w:bookmarkStart w:id="304" w:name="_GoBack"/>
      <w:bookmarkEnd w:id="304"/>
      <w:r w:rsidRPr="009F16EB">
        <w:t>n and save both governments from having to make judgements about the adequacy of that due diligence.</w:t>
      </w:r>
    </w:p>
    <w:p w14:paraId="5B234E7C" w14:textId="77777777" w:rsidR="00091756" w:rsidRDefault="00091756">
      <w:pPr>
        <w:spacing w:line="276" w:lineRule="auto"/>
        <w:rPr>
          <w:rFonts w:asciiTheme="majorHAnsi" w:eastAsiaTheme="majorEastAsia" w:hAnsiTheme="majorHAnsi" w:cstheme="majorBidi"/>
          <w:b/>
          <w:bCs/>
          <w:color w:val="1F7377"/>
        </w:rPr>
      </w:pPr>
      <w:r>
        <w:br w:type="page"/>
      </w:r>
    </w:p>
    <w:p w14:paraId="18683789" w14:textId="23FA79E7" w:rsidR="001A20CD" w:rsidRPr="009F16EB" w:rsidRDefault="001A20CD" w:rsidP="00525F38">
      <w:pPr>
        <w:pStyle w:val="Heading3"/>
      </w:pPr>
      <w:r w:rsidRPr="009F16EB">
        <w:lastRenderedPageBreak/>
        <w:t>Alternatives to compensation</w:t>
      </w:r>
    </w:p>
    <w:p w14:paraId="71273651" w14:textId="4A8209C4" w:rsidR="001A20CD" w:rsidRPr="009F16EB" w:rsidRDefault="001A20CD" w:rsidP="001A20CD">
      <w:r w:rsidRPr="009F16EB">
        <w:t xml:space="preserve">The UNIDROIT Convention </w:t>
      </w:r>
      <w:r w:rsidR="00047679">
        <w:t xml:space="preserve">1995 </w:t>
      </w:r>
      <w:r w:rsidRPr="009F16EB">
        <w:t>also provides some interesting alternatives to compensation:</w:t>
      </w:r>
    </w:p>
    <w:p w14:paraId="085BC06F" w14:textId="77777777" w:rsidR="001A20CD" w:rsidRPr="001B5D3A" w:rsidRDefault="001A20CD" w:rsidP="00C66090">
      <w:pPr>
        <w:spacing w:after="0"/>
        <w:ind w:left="567"/>
        <w:rPr>
          <w:rFonts w:cs="Arial"/>
          <w:i/>
          <w:sz w:val="20"/>
        </w:rPr>
      </w:pPr>
      <w:r w:rsidRPr="001B5D3A">
        <w:rPr>
          <w:rFonts w:cs="Arial"/>
          <w:i/>
          <w:sz w:val="20"/>
        </w:rPr>
        <w:t>Article 6(3): Instead of compensation, and in agreement with the requesting State, the possessor required to return the cultural object to that State, may decide:</w:t>
      </w:r>
    </w:p>
    <w:p w14:paraId="42F2114E" w14:textId="77777777" w:rsidR="001A20CD" w:rsidRPr="001B5D3A" w:rsidRDefault="001A20CD" w:rsidP="00C66090">
      <w:pPr>
        <w:spacing w:after="0"/>
        <w:ind w:left="567"/>
        <w:rPr>
          <w:rFonts w:cs="Arial"/>
          <w:i/>
          <w:sz w:val="20"/>
        </w:rPr>
      </w:pPr>
      <w:r w:rsidRPr="001B5D3A">
        <w:rPr>
          <w:rFonts w:cs="Arial"/>
          <w:i/>
          <w:sz w:val="20"/>
        </w:rPr>
        <w:t xml:space="preserve">(a) </w:t>
      </w:r>
      <w:proofErr w:type="gramStart"/>
      <w:r w:rsidRPr="001B5D3A">
        <w:rPr>
          <w:rFonts w:cs="Arial"/>
          <w:i/>
          <w:sz w:val="20"/>
        </w:rPr>
        <w:t>to</w:t>
      </w:r>
      <w:proofErr w:type="gramEnd"/>
      <w:r w:rsidRPr="001B5D3A">
        <w:rPr>
          <w:rFonts w:cs="Arial"/>
          <w:i/>
          <w:sz w:val="20"/>
        </w:rPr>
        <w:t xml:space="preserve"> retain ownership of the object; or</w:t>
      </w:r>
    </w:p>
    <w:p w14:paraId="5B8EB2E7" w14:textId="77777777" w:rsidR="001A20CD" w:rsidRPr="001B5D3A" w:rsidRDefault="001A20CD" w:rsidP="00C66090">
      <w:pPr>
        <w:spacing w:after="0"/>
        <w:ind w:left="567"/>
        <w:rPr>
          <w:rFonts w:cs="Arial"/>
          <w:i/>
          <w:sz w:val="20"/>
        </w:rPr>
      </w:pPr>
      <w:r w:rsidRPr="001B5D3A">
        <w:rPr>
          <w:rFonts w:cs="Arial"/>
          <w:i/>
          <w:sz w:val="20"/>
        </w:rPr>
        <w:t xml:space="preserve">(b) </w:t>
      </w:r>
      <w:proofErr w:type="gramStart"/>
      <w:r w:rsidRPr="001B5D3A">
        <w:rPr>
          <w:rFonts w:cs="Arial"/>
          <w:i/>
          <w:sz w:val="20"/>
        </w:rPr>
        <w:t>to</w:t>
      </w:r>
      <w:proofErr w:type="gramEnd"/>
      <w:r w:rsidRPr="001B5D3A">
        <w:rPr>
          <w:rFonts w:cs="Arial"/>
          <w:i/>
          <w:sz w:val="20"/>
        </w:rPr>
        <w:t xml:space="preserve"> transfer ownership against payment or gratuitously to a person of its choice residing in the requesting State who provides the necessary guarantees.</w:t>
      </w:r>
    </w:p>
    <w:p w14:paraId="0C723265" w14:textId="77777777" w:rsidR="001A20CD" w:rsidRPr="009F16EB" w:rsidRDefault="001A20CD" w:rsidP="001A20CD">
      <w:pPr>
        <w:spacing w:after="0" w:line="240" w:lineRule="auto"/>
        <w:ind w:left="1276" w:hanging="283"/>
        <w:rPr>
          <w:rFonts w:cs="Arial"/>
          <w:sz w:val="20"/>
        </w:rPr>
      </w:pPr>
    </w:p>
    <w:p w14:paraId="14040471" w14:textId="076433E0" w:rsidR="001A20CD" w:rsidRPr="009F16EB" w:rsidRDefault="001A20CD" w:rsidP="001A20CD">
      <w:r w:rsidRPr="009F16EB">
        <w:t xml:space="preserve">Notwithstanding that Australia is not a signatory to the </w:t>
      </w:r>
      <w:r w:rsidR="00091756">
        <w:t xml:space="preserve">UNIDROIT </w:t>
      </w:r>
      <w:r w:rsidRPr="009F16EB">
        <w:t>Convention</w:t>
      </w:r>
      <w:r w:rsidR="00091756">
        <w:t xml:space="preserve"> 1995</w:t>
      </w:r>
      <w:r w:rsidRPr="009F16EB">
        <w:t>, this is worth including as it provides a useful pathway for negotiating settlements. There have already been examples in Australia where the entire matter has been settled by inter-party discussions and a voluntary return effected by way of donation to a public museum agreed between the claiman</w:t>
      </w:r>
      <w:r>
        <w:t>t government and the possessor.</w:t>
      </w:r>
    </w:p>
    <w:p w14:paraId="792B1BEB" w14:textId="0DCE9005" w:rsidR="001A20CD" w:rsidRPr="009F16EB" w:rsidRDefault="001A20CD" w:rsidP="00052178">
      <w:pPr>
        <w:pStyle w:val="Heading2"/>
      </w:pPr>
      <w:bookmarkStart w:id="305" w:name="_Toc433906606"/>
      <w:r w:rsidRPr="009F16EB">
        <w:t>Specific provisions</w:t>
      </w:r>
      <w:r w:rsidR="00AA7153">
        <w:t>—</w:t>
      </w:r>
      <w:r w:rsidRPr="009F16EB">
        <w:t>stolen cultural material</w:t>
      </w:r>
      <w:bookmarkEnd w:id="305"/>
    </w:p>
    <w:p w14:paraId="05DB0168" w14:textId="77777777" w:rsidR="001A20CD" w:rsidRPr="009F16EB" w:rsidRDefault="001A20CD" w:rsidP="00525F38">
      <w:pPr>
        <w:pStyle w:val="Heading3"/>
      </w:pPr>
      <w:r w:rsidRPr="009F16EB">
        <w:t>Definition of stolen</w:t>
      </w:r>
    </w:p>
    <w:p w14:paraId="3DD1B000" w14:textId="77777777" w:rsidR="001A20CD" w:rsidRPr="009F16EB" w:rsidRDefault="001A20CD" w:rsidP="001A20CD">
      <w:r w:rsidRPr="009F16EB">
        <w:t>Given the international problem of unlawful excavation, the new model proposes that the definition of stolen cultural material include that which has been unlawfully excavated or lawfully excavated but unlawfully retained (according to the laws of the country of excavation).</w:t>
      </w:r>
      <w:r w:rsidRPr="009F16EB">
        <w:rPr>
          <w:rStyle w:val="FootnoteReference"/>
        </w:rPr>
        <w:footnoteReference w:id="137"/>
      </w:r>
    </w:p>
    <w:p w14:paraId="3059B2D6" w14:textId="77777777" w:rsidR="001A20CD" w:rsidRPr="009F16EB" w:rsidRDefault="001A20CD" w:rsidP="00525F38">
      <w:pPr>
        <w:pStyle w:val="Heading3"/>
      </w:pPr>
      <w:r w:rsidRPr="009F16EB">
        <w:t>Obligation to return stolen property</w:t>
      </w:r>
    </w:p>
    <w:p w14:paraId="0DC2CA85" w14:textId="77777777" w:rsidR="00AA7153" w:rsidRDefault="001A20CD" w:rsidP="001A20CD">
      <w:r w:rsidRPr="009F16EB">
        <w:t>The new model expressly obliges the possessor of stolen cultural property to return it. This is regardless of whether the Government choses to pursue criminal prosecution. Accordingly all of the powers of forfeiture are available, whether the matter is dealt with as a criminal offence or administratively.</w:t>
      </w:r>
      <w:r w:rsidRPr="009F16EB">
        <w:rPr>
          <w:rStyle w:val="FootnoteReference"/>
        </w:rPr>
        <w:footnoteReference w:id="138"/>
      </w:r>
    </w:p>
    <w:p w14:paraId="738F0F5D" w14:textId="79069D05" w:rsidR="00091756" w:rsidRDefault="00091756">
      <w:pPr>
        <w:spacing w:line="276" w:lineRule="auto"/>
        <w:rPr>
          <w:rFonts w:asciiTheme="majorHAnsi" w:eastAsiaTheme="majorEastAsia" w:hAnsiTheme="majorHAnsi" w:cstheme="majorBidi"/>
          <w:b/>
          <w:bCs/>
          <w:color w:val="1F7377"/>
        </w:rPr>
      </w:pPr>
      <w:r>
        <w:br w:type="page"/>
      </w:r>
    </w:p>
    <w:p w14:paraId="224FC540" w14:textId="7486D465" w:rsidR="001A20CD" w:rsidRPr="009F16EB" w:rsidRDefault="001A20CD" w:rsidP="00525F38">
      <w:pPr>
        <w:pStyle w:val="Heading3"/>
      </w:pPr>
      <w:r w:rsidRPr="009F16EB">
        <w:lastRenderedPageBreak/>
        <w:t>Material stolen from inventoried public collections or sites</w:t>
      </w:r>
    </w:p>
    <w:p w14:paraId="236B387C" w14:textId="77777777" w:rsidR="00AA7153" w:rsidRDefault="001A20CD" w:rsidP="001A20CD">
      <w:r w:rsidRPr="009F16EB">
        <w:t>One of the great problems for the international community is the regulation of materials stolen or looted from public collections. Such institutions, monuments, and religious or identified significant sites are particularly vulnerable in war zones and other high-risk situations. </w:t>
      </w:r>
    </w:p>
    <w:p w14:paraId="5E38925C" w14:textId="77777777" w:rsidR="00AA7153" w:rsidRDefault="001A20CD" w:rsidP="001A20CD">
      <w:r w:rsidRPr="009F16EB">
        <w:t>The process for dealing with material stolen from inventoried public collections should be a version of that which applies to all stolen material. It is abbreviated only in that the matters of proof will usually be more straightforward given that the material is inventoried.</w:t>
      </w:r>
    </w:p>
    <w:p w14:paraId="053578C6" w14:textId="6362BEA4" w:rsidR="001A20CD" w:rsidRPr="009F16EB" w:rsidRDefault="001A20CD" w:rsidP="001A20CD">
      <w:r w:rsidRPr="009F16EB">
        <w:t>The formation of a reasonable suspicion that material has been looted or is otherwise at risk should be sufficient to form the basis of suspicion to authorise seizure, without the need for a formal request from the foreign state.</w:t>
      </w:r>
    </w:p>
    <w:p w14:paraId="18CAFFBB" w14:textId="79BD81DC" w:rsidR="00AA7153" w:rsidRDefault="00091756" w:rsidP="001A20CD">
      <w:pPr>
        <w:rPr>
          <w:szCs w:val="24"/>
        </w:rPr>
      </w:pPr>
      <w:r>
        <w:t>As to the meaning of ‘</w:t>
      </w:r>
      <w:r w:rsidR="001A20CD" w:rsidRPr="009F16EB">
        <w:t>public collection</w:t>
      </w:r>
      <w:r>
        <w:t>’</w:t>
      </w:r>
      <w:r w:rsidR="001A20CD" w:rsidRPr="009F16EB">
        <w:t>, the UNIDROIT Convention</w:t>
      </w:r>
      <w:r w:rsidR="00047679">
        <w:t xml:space="preserve"> 1995</w:t>
      </w:r>
      <w:r w:rsidR="001A20CD" w:rsidRPr="009F16EB">
        <w:t xml:space="preserve"> provides a useful </w:t>
      </w:r>
      <w:r w:rsidR="001A20CD" w:rsidRPr="009F16EB">
        <w:rPr>
          <w:szCs w:val="24"/>
        </w:rPr>
        <w:t>definition which would benefit the model (amended as follows):</w:t>
      </w:r>
      <w:r w:rsidR="001A20CD" w:rsidRPr="009F16EB">
        <w:rPr>
          <w:rStyle w:val="FootnoteReference"/>
          <w:szCs w:val="24"/>
        </w:rPr>
        <w:footnoteReference w:id="139"/>
      </w:r>
    </w:p>
    <w:p w14:paraId="5D4AB5A6" w14:textId="3B53CC22" w:rsidR="001A20CD" w:rsidRPr="00FA1AA4" w:rsidRDefault="001A20CD" w:rsidP="006520F3">
      <w:pPr>
        <w:spacing w:after="0"/>
        <w:ind w:left="284"/>
        <w:rPr>
          <w:rFonts w:cs="Arial"/>
          <w:i/>
          <w:sz w:val="20"/>
          <w:szCs w:val="20"/>
        </w:rPr>
      </w:pPr>
      <w:r w:rsidRPr="00FA1AA4">
        <w:rPr>
          <w:rFonts w:cs="Arial"/>
          <w:i/>
          <w:sz w:val="20"/>
          <w:szCs w:val="20"/>
        </w:rPr>
        <w:t>“Public collection” consists of a group of inventoried or otherwise identified</w:t>
      </w:r>
      <w:r w:rsidRPr="00FA1AA4">
        <w:rPr>
          <w:rStyle w:val="FootnoteReference"/>
          <w:rFonts w:cs="Arial"/>
          <w:i/>
          <w:sz w:val="20"/>
          <w:szCs w:val="20"/>
        </w:rPr>
        <w:footnoteReference w:id="140"/>
      </w:r>
      <w:r w:rsidRPr="00FA1AA4">
        <w:rPr>
          <w:rFonts w:cs="Arial"/>
          <w:i/>
          <w:sz w:val="20"/>
          <w:szCs w:val="20"/>
        </w:rPr>
        <w:t xml:space="preserve"> cultural objects owned by:</w:t>
      </w:r>
    </w:p>
    <w:p w14:paraId="162788C9" w14:textId="4EBF31E6" w:rsidR="001A20CD" w:rsidRPr="00FA1AA4" w:rsidRDefault="006520F3" w:rsidP="006520F3">
      <w:pPr>
        <w:spacing w:after="0"/>
        <w:ind w:left="567"/>
        <w:rPr>
          <w:rFonts w:cs="Arial"/>
          <w:i/>
          <w:sz w:val="20"/>
          <w:szCs w:val="20"/>
        </w:rPr>
      </w:pPr>
      <w:r>
        <w:rPr>
          <w:rFonts w:cs="Arial"/>
          <w:i/>
          <w:sz w:val="20"/>
          <w:szCs w:val="20"/>
        </w:rPr>
        <w:t xml:space="preserve">(a) </w:t>
      </w:r>
      <w:proofErr w:type="gramStart"/>
      <w:r w:rsidR="001A20CD" w:rsidRPr="00FA1AA4">
        <w:rPr>
          <w:rFonts w:cs="Arial"/>
          <w:i/>
          <w:sz w:val="20"/>
          <w:szCs w:val="20"/>
        </w:rPr>
        <w:t>the</w:t>
      </w:r>
      <w:proofErr w:type="gramEnd"/>
      <w:r w:rsidR="001A20CD" w:rsidRPr="00FA1AA4">
        <w:rPr>
          <w:rFonts w:cs="Arial"/>
          <w:i/>
          <w:sz w:val="20"/>
          <w:szCs w:val="20"/>
        </w:rPr>
        <w:t xml:space="preserve"> government; or</w:t>
      </w:r>
    </w:p>
    <w:p w14:paraId="05B73494" w14:textId="0E7139C7" w:rsidR="001A20CD" w:rsidRPr="00FA1AA4" w:rsidRDefault="006520F3" w:rsidP="006520F3">
      <w:pPr>
        <w:spacing w:after="0"/>
        <w:ind w:left="567"/>
        <w:rPr>
          <w:rFonts w:cs="Arial"/>
          <w:i/>
          <w:sz w:val="20"/>
          <w:szCs w:val="20"/>
        </w:rPr>
      </w:pPr>
      <w:r>
        <w:rPr>
          <w:rFonts w:cs="Arial"/>
          <w:i/>
          <w:sz w:val="20"/>
          <w:szCs w:val="20"/>
        </w:rPr>
        <w:t xml:space="preserve">(b) </w:t>
      </w:r>
      <w:proofErr w:type="gramStart"/>
      <w:r w:rsidR="001A20CD" w:rsidRPr="00FA1AA4">
        <w:rPr>
          <w:rFonts w:cs="Arial"/>
          <w:i/>
          <w:sz w:val="20"/>
          <w:szCs w:val="20"/>
        </w:rPr>
        <w:t>a</w:t>
      </w:r>
      <w:proofErr w:type="gramEnd"/>
      <w:r w:rsidR="001A20CD" w:rsidRPr="00FA1AA4">
        <w:rPr>
          <w:rFonts w:cs="Arial"/>
          <w:i/>
          <w:sz w:val="20"/>
          <w:szCs w:val="20"/>
        </w:rPr>
        <w:t xml:space="preserve"> regional or local authority; or</w:t>
      </w:r>
    </w:p>
    <w:p w14:paraId="6068D606" w14:textId="3DDCAEAC" w:rsidR="001A20CD" w:rsidRPr="00FA1AA4" w:rsidRDefault="006520F3" w:rsidP="006520F3">
      <w:pPr>
        <w:spacing w:after="0"/>
        <w:ind w:left="567"/>
        <w:rPr>
          <w:rFonts w:cs="Arial"/>
          <w:i/>
          <w:sz w:val="20"/>
          <w:szCs w:val="20"/>
        </w:rPr>
      </w:pPr>
      <w:r>
        <w:rPr>
          <w:rFonts w:cs="Arial"/>
          <w:i/>
          <w:sz w:val="20"/>
          <w:szCs w:val="20"/>
        </w:rPr>
        <w:t xml:space="preserve">(c) </w:t>
      </w:r>
      <w:proofErr w:type="gramStart"/>
      <w:r w:rsidR="001A20CD" w:rsidRPr="00FA1AA4">
        <w:rPr>
          <w:rFonts w:cs="Arial"/>
          <w:i/>
          <w:sz w:val="20"/>
          <w:szCs w:val="20"/>
        </w:rPr>
        <w:t>a</w:t>
      </w:r>
      <w:proofErr w:type="gramEnd"/>
      <w:r w:rsidR="001A20CD" w:rsidRPr="00FA1AA4">
        <w:rPr>
          <w:rFonts w:cs="Arial"/>
          <w:i/>
          <w:sz w:val="20"/>
          <w:szCs w:val="20"/>
        </w:rPr>
        <w:t xml:space="preserve"> religious institution; or</w:t>
      </w:r>
    </w:p>
    <w:p w14:paraId="1F360973" w14:textId="77777777" w:rsidR="00AA7153" w:rsidRDefault="006520F3" w:rsidP="006520F3">
      <w:pPr>
        <w:spacing w:after="0"/>
        <w:ind w:left="567"/>
        <w:rPr>
          <w:rFonts w:cs="Arial"/>
          <w:i/>
          <w:sz w:val="20"/>
          <w:szCs w:val="20"/>
        </w:rPr>
      </w:pPr>
      <w:r>
        <w:rPr>
          <w:rFonts w:cs="Arial"/>
          <w:i/>
          <w:sz w:val="20"/>
          <w:szCs w:val="20"/>
        </w:rPr>
        <w:t xml:space="preserve">(d) </w:t>
      </w:r>
      <w:proofErr w:type="gramStart"/>
      <w:r w:rsidR="001A20CD" w:rsidRPr="00FA1AA4">
        <w:rPr>
          <w:rFonts w:cs="Arial"/>
          <w:i/>
          <w:sz w:val="20"/>
          <w:szCs w:val="20"/>
        </w:rPr>
        <w:t>a</w:t>
      </w:r>
      <w:proofErr w:type="gramEnd"/>
      <w:r w:rsidR="001A20CD" w:rsidRPr="00FA1AA4">
        <w:rPr>
          <w:rFonts w:cs="Arial"/>
          <w:i/>
          <w:sz w:val="20"/>
          <w:szCs w:val="20"/>
        </w:rPr>
        <w:t xml:space="preserve"> not-for-profit collecting organisation established for cultural, educational or scientific purposes;</w:t>
      </w:r>
    </w:p>
    <w:p w14:paraId="082E3D7D" w14:textId="77777777" w:rsidR="00AA7153" w:rsidRDefault="001A20CD" w:rsidP="006520F3">
      <w:pPr>
        <w:spacing w:before="120" w:after="0"/>
        <w:ind w:left="284"/>
        <w:rPr>
          <w:rFonts w:cs="Arial"/>
          <w:i/>
          <w:sz w:val="20"/>
          <w:szCs w:val="20"/>
        </w:rPr>
      </w:pPr>
      <w:proofErr w:type="gramStart"/>
      <w:r w:rsidRPr="00FA1AA4">
        <w:rPr>
          <w:rFonts w:cs="Arial"/>
          <w:i/>
          <w:sz w:val="20"/>
          <w:szCs w:val="20"/>
        </w:rPr>
        <w:t>in</w:t>
      </w:r>
      <w:proofErr w:type="gramEnd"/>
      <w:r w:rsidRPr="00FA1AA4">
        <w:rPr>
          <w:rFonts w:cs="Arial"/>
          <w:i/>
          <w:sz w:val="20"/>
          <w:szCs w:val="20"/>
        </w:rPr>
        <w:t xml:space="preserve"> the country of the claimant. </w:t>
      </w:r>
    </w:p>
    <w:p w14:paraId="60B5BAF8" w14:textId="7715536C" w:rsidR="001A20CD" w:rsidRPr="009F16EB" w:rsidRDefault="001A20CD" w:rsidP="00332261">
      <w:pPr>
        <w:spacing w:before="240"/>
      </w:pPr>
      <w:r w:rsidRPr="009F16EB">
        <w:t>After determining whether the place of the theft fits the definition of ‘public collection’, the principal question is to determine whether the material in question is the identified object.</w:t>
      </w:r>
    </w:p>
    <w:p w14:paraId="7C7125F3" w14:textId="77777777" w:rsidR="00091756" w:rsidRDefault="00091756">
      <w:pPr>
        <w:spacing w:line="276" w:lineRule="auto"/>
        <w:rPr>
          <w:rFonts w:asciiTheme="majorHAnsi" w:eastAsiaTheme="majorEastAsia" w:hAnsiTheme="majorHAnsi" w:cstheme="majorBidi"/>
          <w:b/>
          <w:bCs/>
          <w:color w:val="1F7377"/>
        </w:rPr>
      </w:pPr>
      <w:r>
        <w:br w:type="page"/>
      </w:r>
    </w:p>
    <w:p w14:paraId="36D2A286" w14:textId="524D598C" w:rsidR="001A20CD" w:rsidRPr="009F16EB" w:rsidRDefault="001A20CD" w:rsidP="00525F38">
      <w:pPr>
        <w:pStyle w:val="Heading3"/>
      </w:pPr>
      <w:r>
        <w:lastRenderedPageBreak/>
        <w:t>No g</w:t>
      </w:r>
      <w:r w:rsidRPr="009F16EB">
        <w:t>ood faith purchaser</w:t>
      </w:r>
      <w:r>
        <w:t xml:space="preserve"> argument</w:t>
      </w:r>
    </w:p>
    <w:p w14:paraId="49B1ADC5" w14:textId="77777777" w:rsidR="001A20CD" w:rsidRPr="009F16EB" w:rsidRDefault="001A20CD" w:rsidP="001A20CD">
      <w:r w:rsidRPr="009F16EB">
        <w:t xml:space="preserve">With the escalation of art crime it is important that it be made very clear to the market that when it comes to cultural property, the old principles of ‘nemo </w:t>
      </w:r>
      <w:proofErr w:type="spellStart"/>
      <w:r w:rsidRPr="009F16EB">
        <w:t>dat</w:t>
      </w:r>
      <w:proofErr w:type="spellEnd"/>
      <w:r w:rsidRPr="009F16EB">
        <w:t>’</w:t>
      </w:r>
      <w:r w:rsidRPr="009F16EB">
        <w:rPr>
          <w:rStyle w:val="FootnoteReference"/>
        </w:rPr>
        <w:footnoteReference w:id="141"/>
      </w:r>
      <w:r w:rsidRPr="009F16EB">
        <w:t xml:space="preserve"> are to be enforced in undiluted form. There should be no ‘innocent purchaser for value’ argument available.</w:t>
      </w:r>
      <w:r>
        <w:rPr>
          <w:rStyle w:val="FootnoteReference"/>
        </w:rPr>
        <w:footnoteReference w:id="142"/>
      </w:r>
      <w:r w:rsidRPr="009F16EB">
        <w:t xml:space="preserve"> </w:t>
      </w:r>
      <w:r>
        <w:t>Accordingly, t</w:t>
      </w:r>
      <w:r w:rsidRPr="009F16EB">
        <w:t>he provisions for the return of stolen cultural property make no distinction between bad faith and good faith purchasers (except as to whether compensation may be available).</w:t>
      </w:r>
      <w:r>
        <w:t xml:space="preserve"> The material must be returned.</w:t>
      </w:r>
    </w:p>
    <w:p w14:paraId="40643628" w14:textId="77777777" w:rsidR="001A20CD" w:rsidRPr="009F16EB" w:rsidRDefault="001A20CD" w:rsidP="00525F38">
      <w:pPr>
        <w:pStyle w:val="Heading3"/>
      </w:pPr>
      <w:r>
        <w:t>Availability of</w:t>
      </w:r>
      <w:r w:rsidRPr="009F16EB">
        <w:t xml:space="preserve"> compensation</w:t>
      </w:r>
    </w:p>
    <w:p w14:paraId="33FF5D39" w14:textId="77777777" w:rsidR="00AA7153" w:rsidRDefault="001A20CD" w:rsidP="001A20CD">
      <w:r w:rsidRPr="009F16EB">
        <w:rPr>
          <w:rStyle w:val="FootnoteReference"/>
          <w:szCs w:val="24"/>
          <w:vertAlign w:val="baseline"/>
        </w:rPr>
        <w:t xml:space="preserve">While due diligence </w:t>
      </w:r>
      <w:proofErr w:type="gramStart"/>
      <w:r w:rsidRPr="009F16EB">
        <w:rPr>
          <w:szCs w:val="24"/>
        </w:rPr>
        <w:t>should</w:t>
      </w:r>
      <w:proofErr w:type="gramEnd"/>
      <w:r w:rsidRPr="009F16EB">
        <w:rPr>
          <w:szCs w:val="24"/>
        </w:rPr>
        <w:t xml:space="preserve"> </w:t>
      </w:r>
      <w:r w:rsidRPr="009F16EB">
        <w:rPr>
          <w:rStyle w:val="FootnoteReference"/>
          <w:szCs w:val="24"/>
          <w:vertAlign w:val="baseline"/>
        </w:rPr>
        <w:t xml:space="preserve">never </w:t>
      </w:r>
      <w:r w:rsidRPr="009F16EB">
        <w:rPr>
          <w:szCs w:val="24"/>
        </w:rPr>
        <w:t xml:space="preserve">be </w:t>
      </w:r>
      <w:r w:rsidRPr="009F16EB">
        <w:rPr>
          <w:rStyle w:val="FootnoteReference"/>
          <w:szCs w:val="24"/>
          <w:vertAlign w:val="baseline"/>
        </w:rPr>
        <w:t>a defence to a claim for restitution or return</w:t>
      </w:r>
      <w:r w:rsidRPr="009F16EB">
        <w:t xml:space="preserve">, a possessor who returns a stolen cultural </w:t>
      </w:r>
      <w:r w:rsidRPr="009F16EB">
        <w:rPr>
          <w:rFonts w:cs="Arial"/>
          <w:szCs w:val="24"/>
        </w:rPr>
        <w:t>object should be entitled to compensation if it can prove that it ‘neither knew nor ought reasonably to have known that the object was stolen and can prove that it exercised due diligence when acquiring the object’.</w:t>
      </w:r>
      <w:r w:rsidRPr="009F16EB">
        <w:rPr>
          <w:rStyle w:val="FootnoteReference"/>
          <w:rFonts w:cs="Arial"/>
          <w:szCs w:val="24"/>
        </w:rPr>
        <w:footnoteReference w:id="143"/>
      </w:r>
      <w:r w:rsidRPr="009F16EB">
        <w:rPr>
          <w:rFonts w:cs="Arial"/>
          <w:szCs w:val="24"/>
        </w:rPr>
        <w:t xml:space="preserve"> This balances the various competing interests in that the foreign claimant recovers the stolen cultural property, the diligent and ethical purchaser has an opportunity for compensation, and the negligent or wilfully blind purchaser loses both the object and the opportunity for compensation.</w:t>
      </w:r>
    </w:p>
    <w:p w14:paraId="138135D0" w14:textId="70F9A36C" w:rsidR="001A20CD" w:rsidRPr="009F16EB" w:rsidRDefault="001A20CD" w:rsidP="001A20CD">
      <w:r w:rsidRPr="009F16EB">
        <w:t xml:space="preserve">In contrast, where the object is stolen from an inventoried collection there is </w:t>
      </w:r>
      <w:r w:rsidRPr="009F16EB">
        <w:rPr>
          <w:b/>
        </w:rPr>
        <w:t>no</w:t>
      </w:r>
      <w:r w:rsidRPr="009F16EB">
        <w:t xml:space="preserve"> eligibility for compensation. This increases the due diligence obligations of any acquirer of cultural material. The proper due diligence requirement that </w:t>
      </w:r>
      <w:r>
        <w:t>is</w:t>
      </w:r>
      <w:r w:rsidRPr="009F16EB">
        <w:t xml:space="preserve"> the foundation of any compensation claim must be presumed to be absent</w:t>
      </w:r>
      <w:r>
        <w:t>:</w:t>
      </w:r>
      <w:r w:rsidRPr="009F16EB">
        <w:t xml:space="preserve"> any proper due diligence should have discovered that the object belonged to the source collection.</w:t>
      </w:r>
    </w:p>
    <w:p w14:paraId="513991C4" w14:textId="77777777" w:rsidR="00091756" w:rsidRDefault="00091756">
      <w:pPr>
        <w:spacing w:line="276" w:lineRule="auto"/>
        <w:rPr>
          <w:rFonts w:asciiTheme="majorHAnsi" w:eastAsiaTheme="majorEastAsia" w:hAnsiTheme="majorHAnsi" w:cstheme="majorBidi"/>
          <w:b/>
          <w:bCs/>
          <w:color w:val="1F7377"/>
        </w:rPr>
      </w:pPr>
      <w:r>
        <w:br w:type="page"/>
      </w:r>
    </w:p>
    <w:p w14:paraId="59B7CA42" w14:textId="77777777" w:rsidR="00AA7153" w:rsidRDefault="001A20CD" w:rsidP="00525F38">
      <w:pPr>
        <w:pStyle w:val="Heading3"/>
      </w:pPr>
      <w:r w:rsidRPr="009F16EB">
        <w:lastRenderedPageBreak/>
        <w:t>Due diligence</w:t>
      </w:r>
    </w:p>
    <w:p w14:paraId="3EFEF689" w14:textId="66A81844" w:rsidR="001A20CD" w:rsidRPr="009F16EB" w:rsidRDefault="001A20CD" w:rsidP="001A20CD">
      <w:pPr>
        <w:rPr>
          <w:rFonts w:cs="Arial"/>
          <w:szCs w:val="24"/>
        </w:rPr>
      </w:pPr>
      <w:r w:rsidRPr="009F16EB">
        <w:rPr>
          <w:rFonts w:cs="Arial"/>
          <w:szCs w:val="24"/>
        </w:rPr>
        <w:t xml:space="preserve">The new model adopts the UNIDROIT </w:t>
      </w:r>
      <w:r w:rsidR="00091756">
        <w:rPr>
          <w:rFonts w:cs="Arial"/>
          <w:szCs w:val="24"/>
        </w:rPr>
        <w:t xml:space="preserve">Convention 1995 </w:t>
      </w:r>
      <w:r w:rsidRPr="009F16EB">
        <w:rPr>
          <w:rFonts w:cs="Arial"/>
          <w:szCs w:val="24"/>
        </w:rPr>
        <w:t>list of matters that should be considered when determining whether the possessor has in fact exercised that due diligence:</w:t>
      </w:r>
    </w:p>
    <w:p w14:paraId="5644B617" w14:textId="77777777" w:rsidR="001A20CD" w:rsidRPr="002305D0" w:rsidRDefault="001A20CD" w:rsidP="006520F3">
      <w:pPr>
        <w:spacing w:before="100" w:beforeAutospacing="1" w:after="100" w:afterAutospacing="1"/>
        <w:ind w:left="284" w:right="663"/>
        <w:jc w:val="both"/>
        <w:rPr>
          <w:rFonts w:cs="Arial"/>
          <w:i/>
          <w:sz w:val="20"/>
          <w:szCs w:val="20"/>
        </w:rPr>
      </w:pPr>
      <w:r w:rsidRPr="002305D0">
        <w:rPr>
          <w:rFonts w:cs="Arial"/>
          <w:i/>
          <w:sz w:val="20"/>
          <w:szCs w:val="20"/>
        </w:rPr>
        <w:t>(4) In determining whether the possessor exercised due diligence, regard shall be had to all the circumstances of the acquisition, including the character of the parties, the price paid, whether the possessor consulted any reasonably accessible register of stolen cultural objects, and any other relevant information and documentation which it could reasonably have obtained, and whether the possessor consulted accessible agencies or took any other step that a reasonable person would have taken in the circumstances.</w:t>
      </w:r>
    </w:p>
    <w:p w14:paraId="250A85C5" w14:textId="77777777" w:rsidR="001A20CD" w:rsidRPr="009F16EB" w:rsidRDefault="001A20CD" w:rsidP="00525F38">
      <w:pPr>
        <w:pStyle w:val="Heading3"/>
      </w:pPr>
      <w:r w:rsidRPr="009F16EB">
        <w:t>Who may claim for return?</w:t>
      </w:r>
    </w:p>
    <w:p w14:paraId="2CC685C0" w14:textId="77777777" w:rsidR="00AA7153" w:rsidRDefault="001A20CD" w:rsidP="001A20CD">
      <w:r w:rsidRPr="009F16EB">
        <w:t>While it is perhaps easier and more comfortable to restrict the right to claim for the return of stolen and looted cultural property to governments, the ethics of the matter require that the remedy also be available to all foreign owners. The new model reflects this.</w:t>
      </w:r>
    </w:p>
    <w:p w14:paraId="55EF0FE5" w14:textId="7AD732D8" w:rsidR="001A20CD" w:rsidRPr="009F16EB" w:rsidRDefault="001A20CD" w:rsidP="001A20CD">
      <w:r w:rsidRPr="009F16EB">
        <w:t>Moreover when the claim is in respect of tribal or community material, the definition of ‘owner’ needs to be wide enough to encompass claims by bone fide representatives of the relevant tribe, community or people from whom the material was taken.</w:t>
      </w:r>
    </w:p>
    <w:p w14:paraId="4F41A932" w14:textId="3574E6F4" w:rsidR="001A20CD" w:rsidRPr="009F16EB" w:rsidRDefault="001A20CD" w:rsidP="00052178">
      <w:pPr>
        <w:pStyle w:val="Heading2"/>
      </w:pPr>
      <w:bookmarkStart w:id="306" w:name="_Toc433906607"/>
      <w:r w:rsidRPr="009F16EB">
        <w:t>Specific provisions</w:t>
      </w:r>
      <w:r w:rsidR="00AA7153">
        <w:t>—</w:t>
      </w:r>
      <w:r w:rsidRPr="009F16EB">
        <w:t>looted foreign cultural material</w:t>
      </w:r>
      <w:bookmarkEnd w:id="306"/>
    </w:p>
    <w:p w14:paraId="2504B74F" w14:textId="77777777" w:rsidR="001A20CD" w:rsidRPr="009F16EB" w:rsidRDefault="001A20CD" w:rsidP="00525F38">
      <w:pPr>
        <w:pStyle w:val="Heading3"/>
      </w:pPr>
      <w:r w:rsidRPr="009F16EB">
        <w:t>Who may claim for return?</w:t>
      </w:r>
    </w:p>
    <w:p w14:paraId="1836B630" w14:textId="77777777" w:rsidR="00AA7153" w:rsidRDefault="001A20CD" w:rsidP="001A20CD">
      <w:r w:rsidRPr="009F16EB">
        <w:t xml:space="preserve">As with stolen material, a claim for the return of looted material may come from </w:t>
      </w:r>
      <w:r>
        <w:t>any</w:t>
      </w:r>
      <w:r w:rsidRPr="009F16EB">
        <w:t xml:space="preserve"> foreign owner.</w:t>
      </w:r>
      <w:r>
        <w:rPr>
          <w:rStyle w:val="FootnoteReference"/>
        </w:rPr>
        <w:footnoteReference w:id="144"/>
      </w:r>
      <w:r w:rsidRPr="009F16EB">
        <w:t xml:space="preserve"> The new model reflects this.</w:t>
      </w:r>
    </w:p>
    <w:p w14:paraId="31EE3FF8" w14:textId="5705E533" w:rsidR="001A20CD" w:rsidRPr="009F16EB" w:rsidRDefault="001A20CD" w:rsidP="00525F38">
      <w:pPr>
        <w:pStyle w:val="Heading3"/>
      </w:pPr>
      <w:r w:rsidRPr="009F16EB">
        <w:t>Safeguarded cultural material</w:t>
      </w:r>
    </w:p>
    <w:p w14:paraId="186647BB" w14:textId="77777777" w:rsidR="00AA7153" w:rsidRDefault="001A20CD" w:rsidP="001A20CD">
      <w:r w:rsidRPr="009F16EB">
        <w:t>Where the Australian Government has accepted foreign cultural property for safekeeping, the model expresses an explicit obligation to hand it back at the cessation of hostilities.</w:t>
      </w:r>
    </w:p>
    <w:p w14:paraId="021E137A" w14:textId="50A1241A" w:rsidR="001A20CD" w:rsidRPr="009F16EB" w:rsidRDefault="001A20CD" w:rsidP="001A20CD">
      <w:r w:rsidRPr="009F16EB">
        <w:lastRenderedPageBreak/>
        <w:t>As to process, it would make sense that the Department oversee the safeguarding of the material as it is familiar with, and has responsibility for</w:t>
      </w:r>
      <w:r>
        <w:t>,</w:t>
      </w:r>
      <w:r w:rsidRPr="009F16EB">
        <w:t xml:space="preserve"> </w:t>
      </w:r>
      <w:r>
        <w:t xml:space="preserve">those </w:t>
      </w:r>
      <w:r w:rsidRPr="009F16EB">
        <w:t xml:space="preserve">Commonwealth agencies with the necessary expertise and facilities required for the </w:t>
      </w:r>
      <w:r w:rsidR="00047679">
        <w:t>preservation</w:t>
      </w:r>
      <w:r w:rsidRPr="009F16EB">
        <w:t xml:space="preserve"> and protection of valuable cultural material.</w:t>
      </w:r>
    </w:p>
    <w:p w14:paraId="2B74DB05" w14:textId="77777777" w:rsidR="00AA7153" w:rsidRDefault="001A20CD" w:rsidP="001A20CD">
      <w:r w:rsidRPr="009F16EB">
        <w:t>Any decision as to hand-back (such as whether the conflict has ceased</w:t>
      </w:r>
      <w:r w:rsidRPr="009F16EB">
        <w:rPr>
          <w:rStyle w:val="FootnoteReference"/>
        </w:rPr>
        <w:footnoteReference w:id="145"/>
      </w:r>
      <w:r w:rsidRPr="009F16EB">
        <w:t xml:space="preserve"> or to whom the material should be delivered), will be a decision to which a number of departments will contribute. There are factual and policy challenges in determining when, how and to where cultural property should be returned. While these are matters to be decided by the Government, the Act should empower the Department to make such decisions. </w:t>
      </w:r>
    </w:p>
    <w:p w14:paraId="1636419C" w14:textId="26DA9AE4" w:rsidR="001A20CD" w:rsidRPr="00091756" w:rsidRDefault="00AF054A" w:rsidP="00052178">
      <w:pPr>
        <w:pStyle w:val="Heading2"/>
      </w:pPr>
      <w:bookmarkStart w:id="307" w:name="_Toc433906608"/>
      <w:r w:rsidRPr="00091756">
        <w:t>Alignment of the model with international co</w:t>
      </w:r>
      <w:r w:rsidR="00FA77FD" w:rsidRPr="00091756">
        <w:t>n</w:t>
      </w:r>
      <w:r w:rsidRPr="00091756">
        <w:t>ventions</w:t>
      </w:r>
      <w:bookmarkEnd w:id="307"/>
    </w:p>
    <w:p w14:paraId="3A7FBE56" w14:textId="77777777" w:rsidR="001A20CD" w:rsidRPr="009F16EB" w:rsidRDefault="001A20CD" w:rsidP="00525F38">
      <w:pPr>
        <w:pStyle w:val="Heading3"/>
      </w:pPr>
      <w:r w:rsidRPr="009F16EB">
        <w:t>UNESCO obligations</w:t>
      </w:r>
      <w:r>
        <w:t xml:space="preserve"> and the new model</w:t>
      </w:r>
    </w:p>
    <w:p w14:paraId="3BDCD67B" w14:textId="77777777" w:rsidR="00AA7153" w:rsidRDefault="001A20CD" w:rsidP="001A20CD">
      <w:pPr>
        <w:rPr>
          <w:rFonts w:eastAsia="Times New Roman"/>
          <w:szCs w:val="24"/>
          <w:lang w:eastAsia="en-AU"/>
        </w:rPr>
      </w:pPr>
      <w:r w:rsidRPr="009F16EB">
        <w:rPr>
          <w:rFonts w:eastAsia="Times New Roman"/>
          <w:szCs w:val="24"/>
          <w:lang w:eastAsia="en-AU"/>
        </w:rPr>
        <w:t>The new model would continue to provide the primary legislative mechanism for Australia’s implementation of the UNESCO Convention 1970. In many cases the new model will substantially strengthen the provisions. For example, the export certificates will be better integrated with Customs procedures and the penal sanctions imposed will be brought into line with other, like offences.</w:t>
      </w:r>
    </w:p>
    <w:p w14:paraId="4F1A0E25" w14:textId="77777777" w:rsidR="00AA7153" w:rsidRDefault="001A20CD" w:rsidP="001A20CD">
      <w:pPr>
        <w:rPr>
          <w:rFonts w:eastAsia="Times New Roman"/>
          <w:iCs/>
          <w:lang w:val="en-GB" w:eastAsia="en-AU"/>
        </w:rPr>
      </w:pPr>
      <w:r w:rsidRPr="009F16EB">
        <w:rPr>
          <w:rFonts w:eastAsia="Times New Roman"/>
          <w:szCs w:val="24"/>
          <w:lang w:eastAsia="en-AU"/>
        </w:rPr>
        <w:t>T</w:t>
      </w:r>
      <w:r w:rsidRPr="009F16EB">
        <w:rPr>
          <w:rFonts w:eastAsia="Times New Roman"/>
          <w:iCs/>
          <w:lang w:val="en-GB" w:eastAsia="en-AU"/>
        </w:rPr>
        <w:t xml:space="preserve">he </w:t>
      </w:r>
      <w:proofErr w:type="spellStart"/>
      <w:r w:rsidRPr="009F16EB">
        <w:rPr>
          <w:rFonts w:eastAsia="Times New Roman"/>
          <w:iCs/>
          <w:lang w:val="en-GB" w:eastAsia="en-AU"/>
        </w:rPr>
        <w:t>new</w:t>
      </w:r>
      <w:proofErr w:type="spellEnd"/>
      <w:r w:rsidRPr="009F16EB">
        <w:rPr>
          <w:rFonts w:eastAsia="Times New Roman"/>
          <w:iCs/>
          <w:lang w:val="en-GB" w:eastAsia="en-AU"/>
        </w:rPr>
        <w:t xml:space="preserve"> model will provide a robust framework to continue to meet the</w:t>
      </w:r>
      <w:r w:rsidR="00AF054A">
        <w:rPr>
          <w:rFonts w:eastAsia="Times New Roman"/>
          <w:iCs/>
          <w:lang w:val="en-GB" w:eastAsia="en-AU"/>
        </w:rPr>
        <w:t xml:space="preserve"> obligations regarding illegal im</w:t>
      </w:r>
      <w:r w:rsidRPr="009F16EB">
        <w:rPr>
          <w:rFonts w:eastAsia="Times New Roman"/>
          <w:iCs/>
          <w:lang w:val="en-GB" w:eastAsia="en-AU"/>
        </w:rPr>
        <w:t xml:space="preserve">ports. It maintains </w:t>
      </w:r>
      <w:r>
        <w:rPr>
          <w:rFonts w:eastAsia="Times New Roman"/>
          <w:iCs/>
          <w:lang w:val="en-GB" w:eastAsia="en-AU"/>
        </w:rPr>
        <w:t>Australia’s</w:t>
      </w:r>
      <w:r w:rsidRPr="009F16EB">
        <w:rPr>
          <w:rFonts w:eastAsia="Times New Roman"/>
          <w:iCs/>
          <w:lang w:val="en-GB" w:eastAsia="en-AU"/>
        </w:rPr>
        <w:t xml:space="preserve"> current approach by which the mechanism is extended to countries that are not signatories to the UNESCO Convention</w:t>
      </w:r>
      <w:r w:rsidR="00091756">
        <w:rPr>
          <w:rFonts w:eastAsia="Times New Roman"/>
          <w:iCs/>
          <w:lang w:val="en-GB" w:eastAsia="en-AU"/>
        </w:rPr>
        <w:t xml:space="preserve"> 1970</w:t>
      </w:r>
      <w:r w:rsidRPr="009F16EB">
        <w:rPr>
          <w:rFonts w:eastAsia="Times New Roman"/>
          <w:iCs/>
          <w:lang w:val="en-GB" w:eastAsia="en-AU"/>
        </w:rPr>
        <w:t>.</w:t>
      </w:r>
    </w:p>
    <w:p w14:paraId="4BDA8507" w14:textId="221D0A1F" w:rsidR="001A20CD" w:rsidRPr="009F16EB" w:rsidRDefault="001A20CD" w:rsidP="001A20CD">
      <w:pPr>
        <w:rPr>
          <w:lang w:eastAsia="en-AU"/>
        </w:rPr>
      </w:pPr>
      <w:r w:rsidRPr="009F16EB">
        <w:rPr>
          <w:lang w:eastAsia="en-AU"/>
        </w:rPr>
        <w:t>In addition, the new model will strengthen Australia’s commitment to international co-operation by specifically extending illegal importation mechanisms and offences to stolen and looted material. It will also allow objects to be seized without formal request from a foreign country. In particular this will assist greatly in circumstance where cultural patrimony is in jeopardy from pillage.</w:t>
      </w:r>
    </w:p>
    <w:p w14:paraId="749815F2" w14:textId="77777777" w:rsidR="00AA7153" w:rsidRDefault="001A20CD" w:rsidP="001A20CD">
      <w:pPr>
        <w:rPr>
          <w:rFonts w:eastAsia="Times New Roman"/>
          <w:szCs w:val="24"/>
          <w:lang w:eastAsia="en-AU"/>
        </w:rPr>
      </w:pPr>
      <w:r w:rsidRPr="009F16EB">
        <w:rPr>
          <w:rFonts w:eastAsia="Times New Roman"/>
          <w:szCs w:val="24"/>
          <w:lang w:eastAsia="en-AU"/>
        </w:rPr>
        <w:t xml:space="preserve">Finally the new model </w:t>
      </w:r>
      <w:r>
        <w:rPr>
          <w:rFonts w:eastAsia="Times New Roman"/>
          <w:szCs w:val="24"/>
          <w:lang w:eastAsia="en-AU"/>
        </w:rPr>
        <w:t>will</w:t>
      </w:r>
      <w:r w:rsidRPr="009F16EB">
        <w:rPr>
          <w:rFonts w:eastAsia="Times New Roman"/>
          <w:szCs w:val="24"/>
          <w:lang w:eastAsia="en-AU"/>
        </w:rPr>
        <w:t xml:space="preserve"> provide clarity by incorporating a compensation mechanism for innocent purchasers. The current Act is silent as to this aspect of the UNESCO Convention 1970.</w:t>
      </w:r>
    </w:p>
    <w:p w14:paraId="1FCCDCB8" w14:textId="359D74D6" w:rsidR="001A20CD" w:rsidRPr="009F16EB" w:rsidRDefault="001A20CD" w:rsidP="00525F38">
      <w:pPr>
        <w:pStyle w:val="Heading3"/>
      </w:pPr>
      <w:r w:rsidRPr="009F16EB">
        <w:lastRenderedPageBreak/>
        <w:t>United National Security Council Resolutions</w:t>
      </w:r>
      <w:r>
        <w:t xml:space="preserve"> and the new model</w:t>
      </w:r>
    </w:p>
    <w:p w14:paraId="113C5025" w14:textId="31852272" w:rsidR="001A20CD" w:rsidRPr="009F16EB" w:rsidRDefault="001A20CD" w:rsidP="001A20CD">
      <w:r w:rsidRPr="009F16EB">
        <w:t>While the Department of Foreign Affairs and Trade would retain responsibility for regulations to implement Security Council Resolutions in Australia, it is envisaged that the new model would provide an effective mechanism to seize material,</w:t>
      </w:r>
      <w:r w:rsidRPr="009F16EB">
        <w:rPr>
          <w:rStyle w:val="FootnoteReference"/>
        </w:rPr>
        <w:footnoteReference w:id="146"/>
      </w:r>
      <w:r w:rsidRPr="009F16EB">
        <w:t xml:space="preserve"> hold and secure it in appropriate conditions, assess it and determine claims</w:t>
      </w:r>
      <w:r w:rsidR="00AA7153">
        <w:t>—</w:t>
      </w:r>
      <w:r w:rsidRPr="009F16EB">
        <w:t>coordinated by the same processes as other protected foreign cultural material. This ensures a consolidated and cohesive system, which streamlines the procedures and avoids overlap between Government agencies.</w:t>
      </w:r>
    </w:p>
    <w:p w14:paraId="51DB51FD" w14:textId="77777777" w:rsidR="001A20CD" w:rsidRPr="009F16EB" w:rsidRDefault="001A20CD" w:rsidP="00525F38">
      <w:pPr>
        <w:pStyle w:val="Heading3"/>
      </w:pPr>
      <w:r w:rsidRPr="009F16EB">
        <w:t>Hague Convention and Protocols</w:t>
      </w:r>
      <w:r>
        <w:t xml:space="preserve"> and the new model</w:t>
      </w:r>
    </w:p>
    <w:p w14:paraId="4B45F2A5" w14:textId="77777777" w:rsidR="00AA7153" w:rsidRDefault="001A20CD" w:rsidP="00091756">
      <w:r w:rsidRPr="009F16EB">
        <w:t>The new model would strengthen the protection available to cultural property which has been stolen, pillaged or misappropriated</w:t>
      </w:r>
      <w:r>
        <w:rPr>
          <w:rStyle w:val="FootnoteReference"/>
        </w:rPr>
        <w:footnoteReference w:id="147"/>
      </w:r>
      <w:r w:rsidRPr="009F16EB">
        <w:t xml:space="preserve"> by making the import of such objects an offence and enabling the Government to take action to safeguard and return the property at an appropriate time.</w:t>
      </w:r>
    </w:p>
    <w:p w14:paraId="25E4F7E8" w14:textId="098EEDD0" w:rsidR="001A20CD" w:rsidRPr="009F16EB" w:rsidRDefault="001A20CD" w:rsidP="001A20CD">
      <w:r w:rsidRPr="009F16EB">
        <w:t>Much of the First Protocol could easily be fulfilled under the new model. The new model contains provisions that:</w:t>
      </w:r>
    </w:p>
    <w:p w14:paraId="5C073681" w14:textId="77777777" w:rsidR="001A20CD" w:rsidRPr="009F16EB" w:rsidRDefault="001A20CD" w:rsidP="00C66090">
      <w:pPr>
        <w:pStyle w:val="ListParagraph"/>
        <w:numPr>
          <w:ilvl w:val="0"/>
          <w:numId w:val="65"/>
        </w:numPr>
        <w:ind w:left="567" w:hanging="567"/>
      </w:pPr>
      <w:r w:rsidRPr="009F16EB">
        <w:t>enable the seizure or safeguarding of cultural material from armed conflict areas;</w:t>
      </w:r>
    </w:p>
    <w:p w14:paraId="1BC2C7AF" w14:textId="5C0776A9" w:rsidR="001A20CD" w:rsidRPr="009F16EB" w:rsidRDefault="001A20CD" w:rsidP="00C66090">
      <w:pPr>
        <w:pStyle w:val="ListParagraph"/>
        <w:numPr>
          <w:ilvl w:val="0"/>
          <w:numId w:val="65"/>
        </w:numPr>
        <w:ind w:left="567" w:hanging="567"/>
      </w:pPr>
      <w:r w:rsidRPr="009F16EB">
        <w:t>provide a fl</w:t>
      </w:r>
      <w:r w:rsidR="00047679">
        <w:t>exible and transparent decision-</w:t>
      </w:r>
      <w:r w:rsidRPr="009F16EB">
        <w:t>making process to determine the country to which material should be returned when hostilities result in a change of State boundaries;</w:t>
      </w:r>
      <w:r w:rsidR="00047679">
        <w:t xml:space="preserve"> and</w:t>
      </w:r>
    </w:p>
    <w:p w14:paraId="1A734FBB" w14:textId="77777777" w:rsidR="001A20CD" w:rsidRPr="009F16EB" w:rsidRDefault="001A20CD" w:rsidP="00C66090">
      <w:pPr>
        <w:pStyle w:val="ListParagraph"/>
        <w:numPr>
          <w:ilvl w:val="0"/>
          <w:numId w:val="65"/>
        </w:numPr>
        <w:ind w:left="567" w:hanging="567"/>
      </w:pPr>
      <w:proofErr w:type="gramStart"/>
      <w:r w:rsidRPr="009F16EB">
        <w:t>deal</w:t>
      </w:r>
      <w:proofErr w:type="gramEnd"/>
      <w:r w:rsidRPr="009F16EB">
        <w:t xml:space="preserve"> with compensation claims by innocent purchasers of illegally exported, stolen or looted cultural material.</w:t>
      </w:r>
    </w:p>
    <w:p w14:paraId="558BE699" w14:textId="25601C18" w:rsidR="00AA7153" w:rsidRDefault="001A20CD" w:rsidP="001A20CD">
      <w:r w:rsidRPr="009F16EB">
        <w:t>The new model can go part of the way to introducing the sanctions relevant to the Second Protocol</w:t>
      </w:r>
      <w:r w:rsidR="00801A32">
        <w:t>—</w:t>
      </w:r>
      <w:r w:rsidRPr="009F16EB">
        <w:t xml:space="preserve">those relating to activity in Australia and in relation to movable cultural property. However, the criminal sanctions required under the Second Protocol could be best implemented in Australia in the </w:t>
      </w:r>
      <w:r w:rsidRPr="009F16EB">
        <w:rPr>
          <w:i/>
        </w:rPr>
        <w:t>Criminal Code Act 1995</w:t>
      </w:r>
      <w:r w:rsidRPr="009F16EB">
        <w:t>, where offences relating to the Hague Convention</w:t>
      </w:r>
      <w:r w:rsidR="00047679">
        <w:t xml:space="preserve"> 1954</w:t>
      </w:r>
      <w:r w:rsidRPr="009F16EB">
        <w:t xml:space="preserve"> already sit. </w:t>
      </w:r>
    </w:p>
    <w:p w14:paraId="5C4ADD87" w14:textId="557A729D" w:rsidR="001A20CD" w:rsidRPr="009F16EB" w:rsidRDefault="001A20CD" w:rsidP="00525F38">
      <w:pPr>
        <w:pStyle w:val="Heading3"/>
      </w:pPr>
      <w:r w:rsidRPr="009F16EB">
        <w:lastRenderedPageBreak/>
        <w:t>UNIDROIT Convention 1995</w:t>
      </w:r>
      <w:r>
        <w:t xml:space="preserve"> and the new model</w:t>
      </w:r>
    </w:p>
    <w:p w14:paraId="3F217BEE" w14:textId="37430CB4" w:rsidR="001A20CD" w:rsidRPr="009F16EB" w:rsidRDefault="001A20CD" w:rsidP="001A20CD">
      <w:r w:rsidRPr="009F16EB">
        <w:t xml:space="preserve">While adapted to meet the Australian context, the new model still reflects </w:t>
      </w:r>
      <w:r>
        <w:t xml:space="preserve">many of </w:t>
      </w:r>
      <w:r w:rsidRPr="009F16EB">
        <w:t>the principles of the UNIDROIT Convention</w:t>
      </w:r>
      <w:r w:rsidR="00091756">
        <w:t xml:space="preserve"> 1995</w:t>
      </w:r>
      <w:r w:rsidRPr="009F16EB">
        <w:t xml:space="preserve"> by providing:</w:t>
      </w:r>
    </w:p>
    <w:p w14:paraId="029C24EB" w14:textId="77777777" w:rsidR="001A20CD" w:rsidRPr="009F16EB" w:rsidRDefault="001A20CD" w:rsidP="00C66090">
      <w:pPr>
        <w:pStyle w:val="ListParagraph"/>
        <w:numPr>
          <w:ilvl w:val="0"/>
          <w:numId w:val="57"/>
        </w:numPr>
        <w:ind w:left="567" w:hanging="567"/>
      </w:pPr>
      <w:r w:rsidRPr="009F16EB">
        <w:t>a transparency as to foreign claims that is presently lacking;</w:t>
      </w:r>
    </w:p>
    <w:p w14:paraId="3B40FB7A" w14:textId="77777777" w:rsidR="001A20CD" w:rsidRPr="009F16EB" w:rsidRDefault="001A20CD" w:rsidP="00C66090">
      <w:pPr>
        <w:pStyle w:val="ListParagraph"/>
        <w:numPr>
          <w:ilvl w:val="0"/>
          <w:numId w:val="57"/>
        </w:numPr>
        <w:ind w:left="567" w:hanging="567"/>
      </w:pPr>
      <w:r w:rsidRPr="009F16EB">
        <w:t>a mechanism by which the exchange of all information is core to the procedure;</w:t>
      </w:r>
    </w:p>
    <w:p w14:paraId="5443424B" w14:textId="77777777" w:rsidR="00AA7153" w:rsidRDefault="001A20CD" w:rsidP="00C66090">
      <w:pPr>
        <w:pStyle w:val="ListParagraph"/>
        <w:numPr>
          <w:ilvl w:val="0"/>
          <w:numId w:val="57"/>
        </w:numPr>
        <w:ind w:left="567" w:hanging="567"/>
      </w:pPr>
      <w:r w:rsidRPr="009F16EB">
        <w:t>an opportunity for the Australian possessor of the object to defend its interest in the property;</w:t>
      </w:r>
    </w:p>
    <w:p w14:paraId="5689542D" w14:textId="731A5532" w:rsidR="001A20CD" w:rsidRPr="009F16EB" w:rsidRDefault="001A20CD" w:rsidP="00C66090">
      <w:pPr>
        <w:pStyle w:val="ListParagraph"/>
        <w:numPr>
          <w:ilvl w:val="0"/>
          <w:numId w:val="57"/>
        </w:numPr>
        <w:ind w:left="567" w:hanging="567"/>
      </w:pPr>
      <w:r w:rsidRPr="009F16EB">
        <w:t>alternate dispute resolution opportunities; and</w:t>
      </w:r>
    </w:p>
    <w:p w14:paraId="6D6F1D02" w14:textId="77777777" w:rsidR="001A20CD" w:rsidRPr="009F16EB" w:rsidRDefault="001A20CD" w:rsidP="00C66090">
      <w:pPr>
        <w:pStyle w:val="ListParagraph"/>
        <w:numPr>
          <w:ilvl w:val="0"/>
          <w:numId w:val="57"/>
        </w:numPr>
        <w:ind w:left="567" w:hanging="567"/>
      </w:pPr>
      <w:proofErr w:type="gramStart"/>
      <w:r w:rsidRPr="009F16EB">
        <w:t>a</w:t>
      </w:r>
      <w:proofErr w:type="gramEnd"/>
      <w:r w:rsidRPr="009F16EB">
        <w:t xml:space="preserve"> right of appeal to the Administrative Appeals Tribunal.</w:t>
      </w:r>
    </w:p>
    <w:p w14:paraId="5AB8CDAF" w14:textId="77777777" w:rsidR="001A20CD" w:rsidRPr="009F16EB" w:rsidRDefault="001A20CD" w:rsidP="00525F38">
      <w:pPr>
        <w:pStyle w:val="Heading3"/>
      </w:pPr>
      <w:r w:rsidRPr="009F16EB">
        <w:t>Interaction with domestic legislation</w:t>
      </w:r>
    </w:p>
    <w:p w14:paraId="7EB7AB6E" w14:textId="7322915E" w:rsidR="001A20CD" w:rsidRPr="009F16EB" w:rsidRDefault="001A20CD" w:rsidP="001A20CD">
      <w:r w:rsidRPr="009F16EB">
        <w:t xml:space="preserve">Another benefit of the new model is that cultural material identified as illegally imported under other pieces of Australian legislation can also be assessed and returned under the proposed mechanisms. For example shipwreck relics which are imported into Australia without appropriate permits or permissions from the relevant sovereign states or coastal states (being the jurisdiction the shipwreck is located) could be seized and returned through the new model. As with the United Nations Sanctions regime, this is merely a matter of ensuring that the provisions of the </w:t>
      </w:r>
      <w:r w:rsidRPr="009F16EB">
        <w:rPr>
          <w:i/>
        </w:rPr>
        <w:t>Historic Shipwrecks Act 1976</w:t>
      </w:r>
      <w:r w:rsidRPr="009F16EB">
        <w:rPr>
          <w:rStyle w:val="FootnoteReference"/>
        </w:rPr>
        <w:footnoteReference w:id="148"/>
      </w:r>
      <w:r w:rsidRPr="009F16EB">
        <w:t xml:space="preserve"> work in tandem with the Act.</w:t>
      </w:r>
    </w:p>
    <w:p w14:paraId="168F35FA" w14:textId="18ACF2E7" w:rsidR="00AA7153" w:rsidRDefault="001A20CD" w:rsidP="00052178">
      <w:pPr>
        <w:pStyle w:val="Heading2"/>
      </w:pPr>
      <w:bookmarkStart w:id="308" w:name="_Toc433906609"/>
      <w:r w:rsidRPr="009F16EB">
        <w:t>Protections for lo</w:t>
      </w:r>
      <w:r w:rsidR="00091756">
        <w:t>oted material</w:t>
      </w:r>
      <w:r w:rsidR="00801A32">
        <w:t>—</w:t>
      </w:r>
      <w:r w:rsidR="00091756">
        <w:t>outside the</w:t>
      </w:r>
      <w:r w:rsidRPr="009F16EB">
        <w:t xml:space="preserve"> model</w:t>
      </w:r>
      <w:bookmarkEnd w:id="308"/>
    </w:p>
    <w:p w14:paraId="01914CD7" w14:textId="33531D13" w:rsidR="001A20CD" w:rsidRPr="009F16EB" w:rsidRDefault="001A20CD" w:rsidP="001A20CD">
      <w:r w:rsidRPr="009F16EB">
        <w:t>In addition to the matters already discussed, in order to give fullest effect to customary international law with respect to cultural property in time of armed conflict, there remain a number of provisions relating to the protection of cultural property which sit outside the PMCH model. These should be implemented in such a way that Australia’s commitment is comprehensive, practical and effective.</w:t>
      </w:r>
    </w:p>
    <w:p w14:paraId="3AB00CFA" w14:textId="77777777" w:rsidR="00091756" w:rsidRDefault="00091756">
      <w:pPr>
        <w:spacing w:line="276" w:lineRule="auto"/>
        <w:rPr>
          <w:rFonts w:asciiTheme="majorHAnsi" w:eastAsiaTheme="majorEastAsia" w:hAnsiTheme="majorHAnsi" w:cstheme="majorBidi"/>
          <w:b/>
          <w:bCs/>
          <w:color w:val="1F7377"/>
        </w:rPr>
      </w:pPr>
      <w:r>
        <w:br w:type="page"/>
      </w:r>
    </w:p>
    <w:p w14:paraId="3E3D7D9E" w14:textId="224B3800" w:rsidR="001A20CD" w:rsidRPr="009F16EB" w:rsidRDefault="001A20CD" w:rsidP="00525F38">
      <w:pPr>
        <w:pStyle w:val="Heading3"/>
      </w:pPr>
      <w:r w:rsidRPr="009F16EB">
        <w:lastRenderedPageBreak/>
        <w:t>Extra-</w:t>
      </w:r>
      <w:r w:rsidRPr="00525F38">
        <w:t>territorial</w:t>
      </w:r>
      <w:r w:rsidRPr="009F16EB">
        <w:t xml:space="preserve"> protection under the Hague Convention</w:t>
      </w:r>
    </w:p>
    <w:p w14:paraId="68F9E178" w14:textId="125AD166" w:rsidR="00AA7153" w:rsidRDefault="001A20CD" w:rsidP="001A20CD">
      <w:r w:rsidRPr="009F16EB">
        <w:t>The Hague Convention</w:t>
      </w:r>
      <w:r w:rsidR="00047679">
        <w:t xml:space="preserve"> and its Protocols</w:t>
      </w:r>
      <w:r w:rsidRPr="009F16EB">
        <w:t xml:space="preserve"> require other measures to ensure that cultural property is safeguarded, protected and respected.</w:t>
      </w:r>
      <w:r w:rsidRPr="009F16EB">
        <w:rPr>
          <w:rStyle w:val="FootnoteReference"/>
        </w:rPr>
        <w:footnoteReference w:id="149"/>
      </w:r>
      <w:r w:rsidRPr="009F16EB">
        <w:t xml:space="preserve"> While these measures sit largely outside of the ambit of the Act, </w:t>
      </w:r>
      <w:r w:rsidR="00C84031">
        <w:t>articulating</w:t>
      </w:r>
      <w:r w:rsidRPr="009F16EB">
        <w:t xml:space="preserve"> these obligations through legislation or formal government policy would provide clarity and reflect the Australian Government’s central role within the federal system in the event of armed conflict. </w:t>
      </w:r>
    </w:p>
    <w:p w14:paraId="67D309DE" w14:textId="0F1663A8" w:rsidR="001A20CD" w:rsidRPr="009F16EB" w:rsidRDefault="001A20CD" w:rsidP="001A20CD">
      <w:r w:rsidRPr="009F16EB">
        <w:t>In the event of international or non-international armed conflict, these measures include:</w:t>
      </w:r>
    </w:p>
    <w:p w14:paraId="262E6AC2" w14:textId="411FE8B5" w:rsidR="001A20CD" w:rsidRPr="009F16EB" w:rsidRDefault="001A20CD" w:rsidP="00C66090">
      <w:pPr>
        <w:pStyle w:val="ListParagraph"/>
        <w:numPr>
          <w:ilvl w:val="0"/>
          <w:numId w:val="60"/>
        </w:numPr>
        <w:tabs>
          <w:tab w:val="clear" w:pos="709"/>
          <w:tab w:val="num" w:pos="567"/>
        </w:tabs>
        <w:ind w:left="567" w:hanging="567"/>
      </w:pPr>
      <w:r w:rsidRPr="009F16EB">
        <w:t>having in place the appropriate and enforceable sanctions for the range of offences regarding the destruction or unethical use of cultural property including attack, destruction, vandalism, dealing in illicit material and ancillary acts</w:t>
      </w:r>
      <w:r w:rsidR="00801A32">
        <w:t>—</w:t>
      </w:r>
      <w:r w:rsidRPr="009F16EB">
        <w:t>both domestically and extra-territorially;</w:t>
      </w:r>
    </w:p>
    <w:p w14:paraId="5DC25789" w14:textId="77777777" w:rsidR="001A20CD" w:rsidRPr="009F16EB" w:rsidRDefault="001A20CD" w:rsidP="00C66090">
      <w:pPr>
        <w:pStyle w:val="ListParagraph"/>
        <w:numPr>
          <w:ilvl w:val="0"/>
          <w:numId w:val="60"/>
        </w:numPr>
        <w:tabs>
          <w:tab w:val="clear" w:pos="709"/>
          <w:tab w:val="num" w:pos="567"/>
        </w:tabs>
        <w:ind w:left="567" w:hanging="567"/>
      </w:pPr>
      <w:r w:rsidRPr="009F16EB">
        <w:t xml:space="preserve">taking feasible precautions to remove cultural property from the vicinity of military objectives and provide adequate </w:t>
      </w:r>
      <w:r w:rsidRPr="009F16EB">
        <w:rPr>
          <w:i/>
        </w:rPr>
        <w:t xml:space="preserve">in situ </w:t>
      </w:r>
      <w:r w:rsidRPr="009F16EB">
        <w:t>protection;</w:t>
      </w:r>
    </w:p>
    <w:p w14:paraId="03A5126B" w14:textId="77777777" w:rsidR="001A20CD" w:rsidRPr="009F16EB" w:rsidRDefault="001A20CD" w:rsidP="00C66090">
      <w:pPr>
        <w:pStyle w:val="ListParagraph"/>
        <w:numPr>
          <w:ilvl w:val="0"/>
          <w:numId w:val="60"/>
        </w:numPr>
        <w:tabs>
          <w:tab w:val="clear" w:pos="709"/>
          <w:tab w:val="num" w:pos="567"/>
        </w:tabs>
        <w:ind w:left="567" w:hanging="567"/>
      </w:pPr>
      <w:r w:rsidRPr="009F16EB">
        <w:t>avoiding locating military objectives near cultural property;</w:t>
      </w:r>
    </w:p>
    <w:p w14:paraId="6EC038B5" w14:textId="77777777" w:rsidR="001A20CD" w:rsidRPr="009F16EB" w:rsidRDefault="001A20CD" w:rsidP="00C66090">
      <w:pPr>
        <w:pStyle w:val="ListParagraph"/>
        <w:numPr>
          <w:ilvl w:val="0"/>
          <w:numId w:val="60"/>
        </w:numPr>
        <w:tabs>
          <w:tab w:val="clear" w:pos="709"/>
          <w:tab w:val="num" w:pos="567"/>
        </w:tabs>
        <w:ind w:left="567" w:hanging="567"/>
      </w:pPr>
      <w:r w:rsidRPr="009F16EB">
        <w:t>ensuring that cultural property is not used in a manner that is likely to expose it to destruction or damage;</w:t>
      </w:r>
    </w:p>
    <w:p w14:paraId="5F4C6D8A" w14:textId="77777777" w:rsidR="001A20CD" w:rsidRPr="009F16EB" w:rsidRDefault="001A20CD" w:rsidP="00C66090">
      <w:pPr>
        <w:pStyle w:val="ListParagraph"/>
        <w:numPr>
          <w:ilvl w:val="0"/>
          <w:numId w:val="60"/>
        </w:numPr>
        <w:tabs>
          <w:tab w:val="clear" w:pos="709"/>
          <w:tab w:val="num" w:pos="567"/>
        </w:tabs>
        <w:ind w:left="567" w:hanging="567"/>
      </w:pPr>
      <w:r w:rsidRPr="009F16EB">
        <w:t>preventing the exportation of cultural property from territory occupied by the State; and</w:t>
      </w:r>
    </w:p>
    <w:p w14:paraId="121335A8" w14:textId="77777777" w:rsidR="001A20CD" w:rsidRPr="00E8690B" w:rsidRDefault="001A20CD" w:rsidP="00C66090">
      <w:pPr>
        <w:pStyle w:val="ListParagraph"/>
        <w:numPr>
          <w:ilvl w:val="0"/>
          <w:numId w:val="60"/>
        </w:numPr>
        <w:tabs>
          <w:tab w:val="clear" w:pos="709"/>
          <w:tab w:val="num" w:pos="567"/>
        </w:tabs>
        <w:ind w:left="567" w:hanging="567"/>
        <w:rPr>
          <w:szCs w:val="24"/>
        </w:rPr>
      </w:pPr>
      <w:proofErr w:type="gramStart"/>
      <w:r w:rsidRPr="009F16EB">
        <w:t>appointing</w:t>
      </w:r>
      <w:proofErr w:type="gramEnd"/>
      <w:r w:rsidRPr="009F16EB">
        <w:t xml:space="preserve"> a representative or delegate, if and when required by the Hague Convention, for the protection of cultural property.</w:t>
      </w:r>
      <w:r w:rsidRPr="009F16EB">
        <w:rPr>
          <w:vertAlign w:val="superscript"/>
        </w:rPr>
        <w:footnoteReference w:id="150"/>
      </w:r>
    </w:p>
    <w:p w14:paraId="05FE1E70" w14:textId="77777777" w:rsidR="001A20CD" w:rsidRPr="009F16EB" w:rsidRDefault="001A20CD" w:rsidP="00525F38">
      <w:pPr>
        <w:pStyle w:val="Heading3"/>
      </w:pPr>
      <w:r w:rsidRPr="009F16EB">
        <w:t>Additional criminal sanctions</w:t>
      </w:r>
    </w:p>
    <w:p w14:paraId="54ACBF67" w14:textId="77777777" w:rsidR="00AA7153" w:rsidRDefault="001A20CD" w:rsidP="001A20CD">
      <w:r w:rsidRPr="009F16EB">
        <w:t>Some of the above are administrative matters. Others go further and impose obligations that must be underwritten by legislative offences and associated sanctions.</w:t>
      </w:r>
    </w:p>
    <w:p w14:paraId="720CE779" w14:textId="554BB6B2" w:rsidR="00091756" w:rsidRDefault="00091756">
      <w:pPr>
        <w:spacing w:line="276" w:lineRule="auto"/>
        <w:rPr>
          <w:rFonts w:cs="Arial"/>
          <w:szCs w:val="24"/>
        </w:rPr>
      </w:pPr>
      <w:r>
        <w:rPr>
          <w:rFonts w:cs="Arial"/>
          <w:szCs w:val="24"/>
        </w:rPr>
        <w:br w:type="page"/>
      </w:r>
    </w:p>
    <w:p w14:paraId="2CD271E9" w14:textId="77777777" w:rsidR="00AA7153" w:rsidRDefault="001A20CD" w:rsidP="001A20CD">
      <w:pPr>
        <w:rPr>
          <w:rFonts w:cs="Arial"/>
          <w:szCs w:val="24"/>
        </w:rPr>
      </w:pPr>
      <w:r w:rsidRPr="009F16EB">
        <w:rPr>
          <w:rFonts w:cs="Arial"/>
          <w:szCs w:val="24"/>
        </w:rPr>
        <w:lastRenderedPageBreak/>
        <w:t>Depending on the Government’s decision as to future ratification of the Protocols, such offences may include:</w:t>
      </w:r>
    </w:p>
    <w:p w14:paraId="2D3E9AD4" w14:textId="0237AC1C" w:rsidR="001A20CD" w:rsidRPr="009F16EB" w:rsidRDefault="001A20CD" w:rsidP="00C66090">
      <w:pPr>
        <w:pStyle w:val="ListParagraph"/>
        <w:numPr>
          <w:ilvl w:val="0"/>
          <w:numId w:val="61"/>
        </w:numPr>
        <w:tabs>
          <w:tab w:val="clear" w:pos="709"/>
          <w:tab w:val="num" w:pos="567"/>
        </w:tabs>
        <w:ind w:left="567" w:hanging="567"/>
      </w:pPr>
      <w:r w:rsidRPr="009F16EB">
        <w:t>making cultural property and ‘enhanced protection’ property the object of attack;</w:t>
      </w:r>
    </w:p>
    <w:p w14:paraId="55C68534" w14:textId="77777777" w:rsidR="001A20CD" w:rsidRPr="009F16EB" w:rsidRDefault="001A20CD" w:rsidP="00C66090">
      <w:pPr>
        <w:pStyle w:val="ListParagraph"/>
        <w:numPr>
          <w:ilvl w:val="0"/>
          <w:numId w:val="61"/>
        </w:numPr>
        <w:tabs>
          <w:tab w:val="clear" w:pos="709"/>
          <w:tab w:val="num" w:pos="567"/>
        </w:tabs>
        <w:ind w:left="567" w:hanging="567"/>
      </w:pPr>
      <w:r w:rsidRPr="009F16EB">
        <w:t>using ‘enhanced protection’ property, or its immediate surroundings, in support of military action;</w:t>
      </w:r>
    </w:p>
    <w:p w14:paraId="3BF0F757" w14:textId="77777777" w:rsidR="001A20CD" w:rsidRPr="009F16EB" w:rsidRDefault="001A20CD" w:rsidP="00C66090">
      <w:pPr>
        <w:pStyle w:val="ListParagraph"/>
        <w:numPr>
          <w:ilvl w:val="0"/>
          <w:numId w:val="61"/>
        </w:numPr>
        <w:tabs>
          <w:tab w:val="clear" w:pos="709"/>
          <w:tab w:val="num" w:pos="567"/>
        </w:tabs>
        <w:ind w:left="567" w:hanging="567"/>
      </w:pPr>
      <w:r w:rsidRPr="009F16EB">
        <w:t>the extensive destruction, appropriation, stealing or vandalising of cultural property;</w:t>
      </w:r>
      <w:r w:rsidRPr="009F16EB">
        <w:rPr>
          <w:rStyle w:val="FootnoteReference"/>
          <w:rFonts w:cs="Arial"/>
          <w:szCs w:val="24"/>
        </w:rPr>
        <w:footnoteReference w:id="151"/>
      </w:r>
    </w:p>
    <w:p w14:paraId="264DA5DD" w14:textId="77777777" w:rsidR="001A20CD" w:rsidRPr="009F16EB" w:rsidRDefault="001A20CD" w:rsidP="00C66090">
      <w:pPr>
        <w:pStyle w:val="ListParagraph"/>
        <w:numPr>
          <w:ilvl w:val="0"/>
          <w:numId w:val="61"/>
        </w:numPr>
        <w:tabs>
          <w:tab w:val="clear" w:pos="709"/>
          <w:tab w:val="num" w:pos="567"/>
        </w:tabs>
        <w:ind w:left="567" w:hanging="567"/>
      </w:pPr>
      <w:r w:rsidRPr="009F16EB">
        <w:t>unauthorised removal of cultural property from occupied territory during an armed conflict or the unlawful removal of ‘enhanced protection’ property from occupied territory;</w:t>
      </w:r>
      <w:r w:rsidRPr="009F16EB">
        <w:rPr>
          <w:rStyle w:val="FootnoteReference"/>
          <w:rFonts w:cs="Arial"/>
          <w:szCs w:val="24"/>
        </w:rPr>
        <w:footnoteReference w:id="152"/>
      </w:r>
    </w:p>
    <w:p w14:paraId="0BE0E049" w14:textId="77777777" w:rsidR="001A20CD" w:rsidRPr="009F16EB" w:rsidRDefault="001A20CD" w:rsidP="00C66090">
      <w:pPr>
        <w:pStyle w:val="ListParagraph"/>
        <w:numPr>
          <w:ilvl w:val="0"/>
          <w:numId w:val="61"/>
        </w:numPr>
        <w:tabs>
          <w:tab w:val="clear" w:pos="709"/>
          <w:tab w:val="num" w:pos="567"/>
        </w:tabs>
        <w:ind w:left="567" w:hanging="567"/>
      </w:pPr>
      <w:r w:rsidRPr="009F16EB">
        <w:t>dealing in illegally removed cultural property;</w:t>
      </w:r>
      <w:r w:rsidRPr="009F16EB">
        <w:rPr>
          <w:rStyle w:val="FootnoteReference"/>
          <w:rFonts w:cs="Arial"/>
          <w:szCs w:val="24"/>
        </w:rPr>
        <w:footnoteReference w:id="153"/>
      </w:r>
    </w:p>
    <w:p w14:paraId="4D09118F" w14:textId="77777777" w:rsidR="001A20CD" w:rsidRPr="009F16EB" w:rsidRDefault="001A20CD" w:rsidP="00C66090">
      <w:pPr>
        <w:pStyle w:val="ListParagraph"/>
        <w:numPr>
          <w:ilvl w:val="0"/>
          <w:numId w:val="61"/>
        </w:numPr>
        <w:tabs>
          <w:tab w:val="clear" w:pos="709"/>
          <w:tab w:val="num" w:pos="567"/>
        </w:tabs>
        <w:ind w:left="567" w:hanging="567"/>
      </w:pPr>
      <w:r w:rsidRPr="009F16EB">
        <w:t>offences relating to commanders and superiors whose troops commit offences;</w:t>
      </w:r>
      <w:r w:rsidRPr="009F16EB">
        <w:rPr>
          <w:rStyle w:val="FootnoteReference"/>
          <w:rFonts w:cs="Arial"/>
          <w:szCs w:val="24"/>
        </w:rPr>
        <w:footnoteReference w:id="154"/>
      </w:r>
      <w:r w:rsidRPr="009F16EB">
        <w:t xml:space="preserve"> and</w:t>
      </w:r>
    </w:p>
    <w:p w14:paraId="6FF367E6" w14:textId="77777777" w:rsidR="001A20CD" w:rsidRPr="009F16EB" w:rsidRDefault="001A20CD" w:rsidP="00C66090">
      <w:pPr>
        <w:pStyle w:val="ListParagraph"/>
        <w:numPr>
          <w:ilvl w:val="0"/>
          <w:numId w:val="61"/>
        </w:numPr>
        <w:tabs>
          <w:tab w:val="clear" w:pos="709"/>
          <w:tab w:val="num" w:pos="567"/>
        </w:tabs>
        <w:ind w:left="567" w:hanging="567"/>
      </w:pPr>
      <w:proofErr w:type="gramStart"/>
      <w:r w:rsidRPr="009F16EB">
        <w:t>acts</w:t>
      </w:r>
      <w:proofErr w:type="gramEnd"/>
      <w:r w:rsidRPr="009F16EB">
        <w:t xml:space="preserve"> ancillary to removal offences (such as aiding, abetting, inciting, procuring </w:t>
      </w:r>
      <w:proofErr w:type="spellStart"/>
      <w:r w:rsidRPr="009F16EB">
        <w:t>etc</w:t>
      </w:r>
      <w:proofErr w:type="spellEnd"/>
      <w:r w:rsidRPr="009F16EB">
        <w:t>).</w:t>
      </w:r>
      <w:r w:rsidRPr="009F16EB">
        <w:rPr>
          <w:rStyle w:val="FootnoteReference"/>
          <w:rFonts w:cs="Arial"/>
          <w:szCs w:val="24"/>
        </w:rPr>
        <w:footnoteReference w:id="155"/>
      </w:r>
    </w:p>
    <w:p w14:paraId="6BA49F7C" w14:textId="77777777" w:rsidR="00AA7153" w:rsidRDefault="001A20CD" w:rsidP="001A20CD">
      <w:r w:rsidRPr="009F16EB">
        <w:t>To the extent that these are provided by current law, there is a need to closely examine and modernise Australia’s existing legal framework to ensure that there is the appropriate coverage of extra-territorial acts by both military and non-military personnel. Moreover, as discussed earlier in this Report, unless the burden of proof issues and fault elements are addressed, successful prosecutions will prove near impossible.</w:t>
      </w:r>
    </w:p>
    <w:p w14:paraId="51E75CBA" w14:textId="77777777" w:rsidR="00AA7153" w:rsidRDefault="001A20CD" w:rsidP="001A20CD">
      <w:pPr>
        <w:rPr>
          <w:rFonts w:cs="Arial"/>
          <w:szCs w:val="24"/>
        </w:rPr>
      </w:pPr>
      <w:r w:rsidRPr="009F16EB">
        <w:t>In any event, t</w:t>
      </w:r>
      <w:r w:rsidRPr="009F16EB">
        <w:rPr>
          <w:rFonts w:cs="Arial"/>
          <w:szCs w:val="24"/>
        </w:rPr>
        <w:t xml:space="preserve">he </w:t>
      </w:r>
      <w:r w:rsidRPr="009F16EB">
        <w:rPr>
          <w:rFonts w:cs="Arial"/>
          <w:i/>
          <w:szCs w:val="24"/>
        </w:rPr>
        <w:t>Criminal Code Act 1995</w:t>
      </w:r>
      <w:r w:rsidRPr="009F16EB">
        <w:rPr>
          <w:rFonts w:cs="Arial"/>
          <w:szCs w:val="24"/>
        </w:rPr>
        <w:t xml:space="preserve"> is the appropriate place for any new offences required. Indeed, simply modernising the language of its existing provisions might cover some of these offences without the need to create new provisions.</w:t>
      </w:r>
    </w:p>
    <w:p w14:paraId="466C9941" w14:textId="0A28AB57" w:rsidR="00AA7153" w:rsidRDefault="001A20CD" w:rsidP="001A20CD">
      <w:r w:rsidRPr="009F16EB">
        <w:t>Identifying the existing legal fra</w:t>
      </w:r>
      <w:r w:rsidR="008E696C">
        <w:t>mework that covers these issues</w:t>
      </w:r>
      <w:r w:rsidRPr="009F16EB">
        <w:t xml:space="preserve"> is no easy task. It is a smorgasbord of disparate sources including </w:t>
      </w:r>
      <w:r w:rsidRPr="009F16EB">
        <w:rPr>
          <w:szCs w:val="24"/>
        </w:rPr>
        <w:t xml:space="preserve">the </w:t>
      </w:r>
      <w:r w:rsidRPr="009F16EB">
        <w:rPr>
          <w:i/>
        </w:rPr>
        <w:t>Criminal Code Act 1995,</w:t>
      </w:r>
      <w:r w:rsidRPr="009F16EB">
        <w:t xml:space="preserve"> </w:t>
      </w:r>
      <w:r w:rsidRPr="009F16EB">
        <w:rPr>
          <w:i/>
          <w:szCs w:val="24"/>
        </w:rPr>
        <w:t>Customs Act 1901</w:t>
      </w:r>
      <w:r w:rsidRPr="009F16EB">
        <w:rPr>
          <w:szCs w:val="24"/>
        </w:rPr>
        <w:t xml:space="preserve">, </w:t>
      </w:r>
      <w:r w:rsidRPr="009F16EB">
        <w:rPr>
          <w:i/>
          <w:szCs w:val="24"/>
        </w:rPr>
        <w:t xml:space="preserve">Defence Force Discipline Act 1982 </w:t>
      </w:r>
      <w:r w:rsidRPr="00047679">
        <w:rPr>
          <w:szCs w:val="24"/>
        </w:rPr>
        <w:t>and</w:t>
      </w:r>
      <w:r w:rsidRPr="009F16EB">
        <w:rPr>
          <w:i/>
          <w:szCs w:val="24"/>
        </w:rPr>
        <w:t xml:space="preserve"> </w:t>
      </w:r>
      <w:r w:rsidRPr="009F16EB">
        <w:rPr>
          <w:szCs w:val="24"/>
        </w:rPr>
        <w:t>ADF Rules of Engagement</w:t>
      </w:r>
      <w:r w:rsidRPr="009F16EB">
        <w:rPr>
          <w:i/>
          <w:szCs w:val="24"/>
        </w:rPr>
        <w:t>, Charter of the United Nations Act 1945</w:t>
      </w:r>
      <w:r w:rsidRPr="009F16EB">
        <w:rPr>
          <w:szCs w:val="24"/>
        </w:rPr>
        <w:t xml:space="preserve"> and the </w:t>
      </w:r>
      <w:r w:rsidRPr="009F16EB">
        <w:rPr>
          <w:i/>
          <w:szCs w:val="24"/>
        </w:rPr>
        <w:t xml:space="preserve">Charter of the United Nations (Sanctions-Iraq) </w:t>
      </w:r>
      <w:r w:rsidRPr="009F16EB">
        <w:rPr>
          <w:i/>
          <w:szCs w:val="24"/>
        </w:rPr>
        <w:lastRenderedPageBreak/>
        <w:t xml:space="preserve">Regulations 2008 </w:t>
      </w:r>
      <w:r w:rsidRPr="00047679">
        <w:rPr>
          <w:szCs w:val="24"/>
        </w:rPr>
        <w:t>and the</w:t>
      </w:r>
      <w:r w:rsidRPr="009F16EB">
        <w:rPr>
          <w:i/>
          <w:szCs w:val="24"/>
        </w:rPr>
        <w:t xml:space="preserve"> Protection of Movable Cultural Heritage Act </w:t>
      </w:r>
      <w:r w:rsidR="004D4297" w:rsidRPr="009F16EB">
        <w:rPr>
          <w:i/>
          <w:szCs w:val="24"/>
        </w:rPr>
        <w:t>1986</w:t>
      </w:r>
      <w:r w:rsidR="00801A32">
        <w:rPr>
          <w:i/>
          <w:szCs w:val="24"/>
        </w:rPr>
        <w:t>—</w:t>
      </w:r>
      <w:r w:rsidRPr="009F16EB">
        <w:rPr>
          <w:szCs w:val="24"/>
        </w:rPr>
        <w:t xml:space="preserve">topped with a dressing of customary humanitarian law. </w:t>
      </w:r>
      <w:r w:rsidRPr="009F16EB">
        <w:t>The desirability of containing them within a cohesive legislative framework is obvious. However, the benefits and consequences of such an approach are beyond the scope of this Review and are for others to articulate.</w:t>
      </w:r>
    </w:p>
    <w:p w14:paraId="74433A24" w14:textId="33DD28A2" w:rsidR="001A20CD" w:rsidRPr="009F16EB" w:rsidRDefault="001A20CD" w:rsidP="00525F38">
      <w:pPr>
        <w:pStyle w:val="Heading3"/>
      </w:pPr>
      <w:r w:rsidRPr="009F16EB">
        <w:t>Extending extradition and mutual legal assistance powers to cultural property offences</w:t>
      </w:r>
    </w:p>
    <w:p w14:paraId="6E15775E" w14:textId="77777777" w:rsidR="00AA7153" w:rsidRDefault="001A20CD" w:rsidP="001A20CD">
      <w:r w:rsidRPr="009F16EB">
        <w:t xml:space="preserve">In addition to the search and seizure powers proposed earlier in the Report, the full expression of obligations under the Second Protocol requires that criminal offences be treated as ‘extraditable offences’ under Australian law so that Australian agencies are able to cooperate with other countries in the investigation, extradition or prosecution of those offences. </w:t>
      </w:r>
    </w:p>
    <w:p w14:paraId="5C7E7567" w14:textId="4F403A9D" w:rsidR="001A20CD" w:rsidRPr="009F16EB" w:rsidRDefault="001A20CD" w:rsidP="001A20CD">
      <w:r w:rsidRPr="009F16EB">
        <w:t>Whether or not the Second Protocol is ratified, extradition powers w</w:t>
      </w:r>
      <w:r>
        <w:t>ould</w:t>
      </w:r>
      <w:r w:rsidRPr="009F16EB">
        <w:t xml:space="preserve"> improve the effectiveness of the offence provisions by minimising opportunities for an alleged offender to avoid criminal responsibility. Mutual assistance powers </w:t>
      </w:r>
      <w:r>
        <w:t>would</w:t>
      </w:r>
      <w:r w:rsidRPr="009F16EB">
        <w:t xml:space="preserve"> support the exercise of extra-territorial jurisdiction by Australia and other States by providing an avenue for international cooperation in relation to investigations and prosecutions.</w:t>
      </w:r>
      <w:r w:rsidRPr="009F16EB">
        <w:rPr>
          <w:rStyle w:val="FootnoteReference"/>
        </w:rPr>
        <w:footnoteReference w:id="156"/>
      </w:r>
    </w:p>
    <w:p w14:paraId="7A6AE933" w14:textId="77777777" w:rsidR="001A20CD" w:rsidRPr="009F16EB" w:rsidRDefault="001A20CD" w:rsidP="00525F38">
      <w:pPr>
        <w:pStyle w:val="Heading3"/>
      </w:pPr>
      <w:r w:rsidRPr="009F16EB">
        <w:t>Safeguarding cultural property in peacetime</w:t>
      </w:r>
    </w:p>
    <w:p w14:paraId="7281423C" w14:textId="5D25E676" w:rsidR="001A20CD" w:rsidRPr="009F16EB" w:rsidRDefault="001A20CD" w:rsidP="001A20CD">
      <w:r w:rsidRPr="009F16EB">
        <w:t>Custodians of cultural property must prepare in peace for times of war. This is not an obligation imposed by international law</w:t>
      </w:r>
      <w:r w:rsidR="00801A32">
        <w:t>—</w:t>
      </w:r>
      <w:r w:rsidRPr="009F16EB">
        <w:t xml:space="preserve">it is simply common sense. Article 3 of the Hague Convention </w:t>
      </w:r>
      <w:r w:rsidR="008E696C">
        <w:t xml:space="preserve">1954 </w:t>
      </w:r>
      <w:r w:rsidRPr="009F16EB">
        <w:t>reflects this:</w:t>
      </w:r>
    </w:p>
    <w:p w14:paraId="63D6E99C" w14:textId="77777777" w:rsidR="001A20CD" w:rsidRPr="00273139" w:rsidRDefault="001A20CD" w:rsidP="001B5D3A">
      <w:pPr>
        <w:ind w:left="284"/>
        <w:rPr>
          <w:i/>
          <w:sz w:val="20"/>
          <w:szCs w:val="20"/>
        </w:rPr>
      </w:pPr>
      <w:r w:rsidRPr="00273139">
        <w:rPr>
          <w:i/>
          <w:sz w:val="20"/>
          <w:szCs w:val="20"/>
        </w:rPr>
        <w:t>The High Contracting Parties undertake to prepare in time of peace for the safeguarding of cultural property situated within their own territory against the foreseeable effects of an armed conflict, by taking such measures as they consider appropriate.</w:t>
      </w:r>
      <w:r w:rsidRPr="00273139">
        <w:rPr>
          <w:rStyle w:val="FootnoteReference"/>
          <w:sz w:val="20"/>
          <w:szCs w:val="20"/>
        </w:rPr>
        <w:footnoteReference w:id="157"/>
      </w:r>
    </w:p>
    <w:p w14:paraId="46CD0294" w14:textId="478399E4" w:rsidR="001A20CD" w:rsidRPr="009F16EB" w:rsidRDefault="001A20CD" w:rsidP="001A20CD">
      <w:r w:rsidRPr="009F16EB">
        <w:t>The Hague Convention</w:t>
      </w:r>
      <w:r w:rsidR="00047679">
        <w:t xml:space="preserve"> 1954</w:t>
      </w:r>
      <w:r w:rsidRPr="009F16EB">
        <w:t xml:space="preserve"> gives little guidance as to how safeguarding of cultural property must be done or what preparation is appropriate but the 1995 UNESCO report on the implementation of the Hague Convention</w:t>
      </w:r>
      <w:r w:rsidR="00EB22DF">
        <w:t xml:space="preserve"> 1954</w:t>
      </w:r>
      <w:r w:rsidRPr="009F16EB">
        <w:t xml:space="preserve"> provides </w:t>
      </w:r>
      <w:r w:rsidRPr="009F16EB">
        <w:lastRenderedPageBreak/>
        <w:t>recommendations as to such steps and examples of safeguarding initiatives taken by some of the States.</w:t>
      </w:r>
      <w:r w:rsidRPr="009F16EB">
        <w:rPr>
          <w:rStyle w:val="FootnoteReference"/>
          <w:rFonts w:eastAsiaTheme="majorEastAsia"/>
        </w:rPr>
        <w:footnoteReference w:id="158"/>
      </w:r>
    </w:p>
    <w:p w14:paraId="41E8B9BD" w14:textId="352FCD3A" w:rsidR="001A20CD" w:rsidRPr="009F16EB" w:rsidRDefault="001A20CD" w:rsidP="001A20CD">
      <w:r w:rsidRPr="009F16EB">
        <w:t xml:space="preserve">Jan </w:t>
      </w:r>
      <w:proofErr w:type="spellStart"/>
      <w:r w:rsidRPr="009F16EB">
        <w:t>Hladik</w:t>
      </w:r>
      <w:proofErr w:type="spellEnd"/>
      <w:r w:rsidRPr="009F16EB">
        <w:t xml:space="preserve"> has usefully divided national implementation measures into five categories: administrative, military, penal, technical and promotional.</w:t>
      </w:r>
      <w:r w:rsidRPr="009F16EB">
        <w:rPr>
          <w:rStyle w:val="FootnoteReference"/>
        </w:rPr>
        <w:footnoteReference w:id="159"/>
      </w:r>
      <w:r w:rsidRPr="009F16EB">
        <w:rPr>
          <w:rStyle w:val="FootnoteReference"/>
        </w:rPr>
        <w:t xml:space="preserve"> </w:t>
      </w:r>
      <w:r w:rsidRPr="009F16EB">
        <w:t xml:space="preserve">He lists a number of measures by which a country’s compliance with Hague Convention obligations may be tested. Most of these are a matter for government </w:t>
      </w:r>
      <w:r w:rsidRPr="009F16EB">
        <w:rPr>
          <w:rStyle w:val="FootnoteReference"/>
        </w:rPr>
        <w:footnoteReference w:id="160"/>
      </w:r>
      <w:r w:rsidRPr="009F16EB">
        <w:rPr>
          <w:rStyle w:val="FootnoteReference"/>
        </w:rPr>
        <w:t xml:space="preserve"> </w:t>
      </w:r>
      <w:r w:rsidRPr="009F16EB">
        <w:t>rather than individual institutions</w:t>
      </w:r>
      <w:r w:rsidR="00801A32">
        <w:t>—</w:t>
      </w:r>
      <w:r w:rsidRPr="009F16EB">
        <w:t>except the ‘technical’ measures.</w:t>
      </w:r>
    </w:p>
    <w:p w14:paraId="182A5690" w14:textId="77777777" w:rsidR="001A20CD" w:rsidRPr="009F16EB" w:rsidRDefault="001A20CD" w:rsidP="001A20CD">
      <w:r w:rsidRPr="009F16EB">
        <w:t>Technical measures consist mainly in the preparation, in time of peace, for the safeguarding of cultural property against the foreseeable effects of an armed conflict.</w:t>
      </w:r>
      <w:r w:rsidRPr="009F16EB">
        <w:rPr>
          <w:rStyle w:val="FootnoteReference"/>
        </w:rPr>
        <w:footnoteReference w:id="161"/>
      </w:r>
      <w:r w:rsidRPr="009F16EB">
        <w:t xml:space="preserve"> This provision, which is of a very general character, is complemented by Article 5 of the Second Protocol which provides an example of technical measures such as the preparation of inventories, the planning of emergency measures for protection against fire or structural collapse, the preparation for the removal of movable cultural property or the provision for adequate in situ protection of such property.</w:t>
      </w:r>
      <w:r w:rsidRPr="009F16EB">
        <w:rPr>
          <w:rStyle w:val="FootnoteReference"/>
        </w:rPr>
        <w:footnoteReference w:id="162"/>
      </w:r>
    </w:p>
    <w:p w14:paraId="2B47900E" w14:textId="77777777" w:rsidR="001A20CD" w:rsidRPr="009F16EB" w:rsidRDefault="001A20CD" w:rsidP="001A20CD">
      <w:r w:rsidRPr="009F16EB">
        <w:t>Peacetime measures include:</w:t>
      </w:r>
    </w:p>
    <w:p w14:paraId="736E3656" w14:textId="77777777" w:rsidR="001A20CD" w:rsidRPr="009F16EB" w:rsidRDefault="001A20CD" w:rsidP="00C66090">
      <w:pPr>
        <w:pStyle w:val="ListParagraph"/>
        <w:numPr>
          <w:ilvl w:val="0"/>
          <w:numId w:val="59"/>
        </w:numPr>
        <w:tabs>
          <w:tab w:val="clear" w:pos="709"/>
          <w:tab w:val="num" w:pos="567"/>
        </w:tabs>
        <w:ind w:left="567" w:hanging="567"/>
      </w:pPr>
      <w:r w:rsidRPr="009F16EB">
        <w:t>identifying and preparing inventories of cultural property;</w:t>
      </w:r>
    </w:p>
    <w:p w14:paraId="6627657F" w14:textId="77777777" w:rsidR="001A20CD" w:rsidRPr="009F16EB" w:rsidRDefault="001A20CD" w:rsidP="00C66090">
      <w:pPr>
        <w:pStyle w:val="ListParagraph"/>
        <w:numPr>
          <w:ilvl w:val="0"/>
          <w:numId w:val="59"/>
        </w:numPr>
        <w:tabs>
          <w:tab w:val="clear" w:pos="709"/>
          <w:tab w:val="num" w:pos="567"/>
        </w:tabs>
        <w:ind w:left="567" w:hanging="567"/>
      </w:pPr>
      <w:r w:rsidRPr="009F16EB">
        <w:t>disseminating information regarding the Hague Convention and Protocols;</w:t>
      </w:r>
    </w:p>
    <w:p w14:paraId="106D9454" w14:textId="77777777" w:rsidR="001A20CD" w:rsidRPr="009F16EB" w:rsidRDefault="001A20CD" w:rsidP="00C66090">
      <w:pPr>
        <w:pStyle w:val="ListParagraph"/>
        <w:numPr>
          <w:ilvl w:val="0"/>
          <w:numId w:val="59"/>
        </w:numPr>
        <w:tabs>
          <w:tab w:val="clear" w:pos="709"/>
          <w:tab w:val="num" w:pos="567"/>
        </w:tabs>
        <w:ind w:left="567" w:hanging="567"/>
      </w:pPr>
      <w:r w:rsidRPr="009F16EB">
        <w:t>planning emergency measures for the protection of cultural property against fire or structural collapse;</w:t>
      </w:r>
    </w:p>
    <w:p w14:paraId="56E0102A" w14:textId="77777777" w:rsidR="001A20CD" w:rsidRPr="009F16EB" w:rsidRDefault="001A20CD" w:rsidP="00C66090">
      <w:pPr>
        <w:pStyle w:val="ListParagraph"/>
        <w:numPr>
          <w:ilvl w:val="0"/>
          <w:numId w:val="59"/>
        </w:numPr>
        <w:tabs>
          <w:tab w:val="clear" w:pos="709"/>
          <w:tab w:val="num" w:pos="567"/>
        </w:tabs>
        <w:ind w:left="567" w:hanging="567"/>
      </w:pPr>
      <w:r w:rsidRPr="009F16EB">
        <w:t xml:space="preserve">preparing for the removal of movable cultural property or the provision of adequate </w:t>
      </w:r>
      <w:r w:rsidRPr="009F16EB">
        <w:rPr>
          <w:i/>
        </w:rPr>
        <w:t xml:space="preserve">in situ </w:t>
      </w:r>
      <w:r w:rsidRPr="009F16EB">
        <w:t>protection of such property;</w:t>
      </w:r>
    </w:p>
    <w:p w14:paraId="6CD8F731" w14:textId="77777777" w:rsidR="001A20CD" w:rsidRPr="009F16EB" w:rsidRDefault="001A20CD" w:rsidP="0035682E">
      <w:pPr>
        <w:pStyle w:val="ListParagraph"/>
        <w:numPr>
          <w:ilvl w:val="0"/>
          <w:numId w:val="59"/>
        </w:numPr>
        <w:tabs>
          <w:tab w:val="clear" w:pos="709"/>
          <w:tab w:val="num" w:pos="567"/>
        </w:tabs>
        <w:ind w:left="567" w:hanging="283"/>
      </w:pPr>
      <w:r w:rsidRPr="009F16EB">
        <w:lastRenderedPageBreak/>
        <w:t>designating competent authorities responsible for the safe-guarding of cultural property; and</w:t>
      </w:r>
    </w:p>
    <w:p w14:paraId="5A900E22" w14:textId="77777777" w:rsidR="001A20CD" w:rsidRPr="009F16EB" w:rsidRDefault="001A20CD" w:rsidP="0035682E">
      <w:pPr>
        <w:pStyle w:val="ListParagraph"/>
        <w:numPr>
          <w:ilvl w:val="0"/>
          <w:numId w:val="59"/>
        </w:numPr>
        <w:tabs>
          <w:tab w:val="clear" w:pos="709"/>
          <w:tab w:val="num" w:pos="567"/>
        </w:tabs>
        <w:ind w:left="567" w:hanging="283"/>
      </w:pPr>
      <w:proofErr w:type="gramStart"/>
      <w:r w:rsidRPr="009F16EB">
        <w:t>granting</w:t>
      </w:r>
      <w:proofErr w:type="gramEnd"/>
      <w:r w:rsidRPr="009F16EB">
        <w:t xml:space="preserve"> enhanced protection to cultural property.</w:t>
      </w:r>
    </w:p>
    <w:p w14:paraId="081BF031" w14:textId="77777777" w:rsidR="00AA7153" w:rsidRDefault="001A20CD" w:rsidP="001A20CD">
      <w:r w:rsidRPr="009F16EB">
        <w:t>Australian insti</w:t>
      </w:r>
      <w:r w:rsidR="00B04D5D">
        <w:t xml:space="preserve">tutions already comply with </w:t>
      </w:r>
      <w:r w:rsidRPr="009F16EB">
        <w:t>most of the peacetime obligations of the Second Protocol. Certainly each state and federal collecting institution is expected to include in its risk management plan issues such as the preparation of collection inventories and disaster preparedness. Other, smaller collections often fail to have the resources and expertise to consider such issues fully. It is difficult to know whether complacency or modesty is a greater enemy of implementation of the Hague Convention principles. The former is the attitude that ‘it will never happen here’ and the latter is, ‘what we have isn’t important enough to be endangered’. Yet, often, protective measures in small organisations can be simple, reasonably inexpensive and very effective.</w:t>
      </w:r>
    </w:p>
    <w:p w14:paraId="01D952C5" w14:textId="48914549" w:rsidR="001A20CD" w:rsidRPr="009F16EB" w:rsidRDefault="001A20CD" w:rsidP="00052178">
      <w:pPr>
        <w:pStyle w:val="Heading2"/>
      </w:pPr>
      <w:bookmarkStart w:id="309" w:name="_Toc433906610"/>
      <w:r>
        <w:t>The</w:t>
      </w:r>
      <w:r w:rsidRPr="009F16EB">
        <w:t xml:space="preserve"> Blue Shield emblem</w:t>
      </w:r>
      <w:bookmarkEnd w:id="309"/>
    </w:p>
    <w:p w14:paraId="7AC1B1B6" w14:textId="77777777" w:rsidR="00AA7153" w:rsidRDefault="001A20CD" w:rsidP="001A20CD">
      <w:r w:rsidRPr="009F16EB">
        <w:t xml:space="preserve">One of the common difficulties in wartime is recognising cultural property. From the air, a library or museum may look much the same as a government office building or a munitions warehouse. To make identification easier, </w:t>
      </w:r>
      <w:proofErr w:type="gramStart"/>
      <w:r w:rsidRPr="009F16EB">
        <w:t>the</w:t>
      </w:r>
      <w:proofErr w:type="gramEnd"/>
      <w:r w:rsidRPr="009F16EB">
        <w:t xml:space="preserve"> Hague Convention provides an emblem and the Second Protocol further defines its appropriate use.</w:t>
      </w:r>
    </w:p>
    <w:p w14:paraId="7BDD71A2" w14:textId="32DA4624" w:rsidR="004D4297" w:rsidRDefault="004D4297">
      <w:pPr>
        <w:spacing w:line="276" w:lineRule="auto"/>
      </w:pPr>
      <w:r>
        <w:br w:type="page"/>
      </w:r>
    </w:p>
    <w:p w14:paraId="607E4963" w14:textId="77777777" w:rsidR="00AA7153" w:rsidRDefault="001A20CD" w:rsidP="001A20CD">
      <w:r w:rsidRPr="009F16EB">
        <w:lastRenderedPageBreak/>
        <w:t>The use of such emblems is not new</w:t>
      </w:r>
      <w:r w:rsidRPr="009F16EB">
        <w:rPr>
          <w:rStyle w:val="FootnoteReference"/>
          <w:rFonts w:eastAsiaTheme="majorEastAsia" w:cs="Arial"/>
        </w:rPr>
        <w:footnoteReference w:id="163"/>
      </w:r>
      <w:r w:rsidRPr="009F16EB">
        <w:t xml:space="preserve"> but what was new was that the Hague Convention specified its design. It is in the form of a ‘Blue Shield’.</w:t>
      </w:r>
      <w:r w:rsidR="00672323">
        <w:rPr>
          <w:rStyle w:val="FootnoteReference"/>
        </w:rPr>
        <w:footnoteReference w:id="164"/>
      </w:r>
    </w:p>
    <w:p w14:paraId="7F173E58" w14:textId="73CB7CC3" w:rsidR="00525F38" w:rsidRDefault="00D46B3E" w:rsidP="00525F38">
      <w:pPr>
        <w:rPr>
          <w:sz w:val="20"/>
          <w:szCs w:val="20"/>
        </w:rPr>
      </w:pPr>
      <w:r w:rsidRPr="009F16EB">
        <w:rPr>
          <w:noProof/>
          <w:lang w:eastAsia="en-AU"/>
        </w:rPr>
        <w:drawing>
          <wp:inline distT="0" distB="0" distL="0" distR="0" wp14:anchorId="5B3E3666" wp14:editId="696222AB">
            <wp:extent cx="843792" cy="1350420"/>
            <wp:effectExtent l="0" t="0" r="0" b="2540"/>
            <wp:docPr id="4" name="Picture 4" descr="Blue shield emblem - pointed below, persaltire blue and white (a shield consisting of a royal-blue square, one of the angles of which forms the point of the shield, and of a royal-blue triangle above the square, the space on either side being taken up by a white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shield.jpg"/>
                    <pic:cNvPicPr/>
                  </pic:nvPicPr>
                  <pic:blipFill>
                    <a:blip r:embed="rId41">
                      <a:extLst>
                        <a:ext uri="{28A0092B-C50C-407E-A947-70E740481C1C}">
                          <a14:useLocalDpi xmlns:a14="http://schemas.microsoft.com/office/drawing/2010/main" val="0"/>
                        </a:ext>
                      </a:extLst>
                    </a:blip>
                    <a:stretch>
                      <a:fillRect/>
                    </a:stretch>
                  </pic:blipFill>
                  <pic:spPr>
                    <a:xfrm>
                      <a:off x="0" y="0"/>
                      <a:ext cx="843792" cy="1350420"/>
                    </a:xfrm>
                    <a:prstGeom prst="rect">
                      <a:avLst/>
                    </a:prstGeom>
                  </pic:spPr>
                </pic:pic>
              </a:graphicData>
            </a:graphic>
          </wp:inline>
        </w:drawing>
      </w:r>
    </w:p>
    <w:p w14:paraId="02080598" w14:textId="14427FD7" w:rsidR="001A20CD" w:rsidRPr="00525F38" w:rsidRDefault="001A20CD" w:rsidP="00525F38">
      <w:pPr>
        <w:pStyle w:val="Figuredescriptor"/>
      </w:pPr>
      <w:r w:rsidRPr="009F16EB">
        <w:t xml:space="preserve">Figure </w:t>
      </w:r>
      <w:r w:rsidR="008E696C">
        <w:t>24</w:t>
      </w:r>
      <w:r w:rsidR="00801A32">
        <w:t>—</w:t>
      </w:r>
      <w:r w:rsidRPr="009F16EB">
        <w:t>Blue Shield emblem</w:t>
      </w:r>
      <w:r w:rsidR="00525F38">
        <w:t xml:space="preserve"> </w:t>
      </w:r>
    </w:p>
    <w:p w14:paraId="081DBF0B" w14:textId="77777777" w:rsidR="00AA7153" w:rsidRDefault="001A20CD" w:rsidP="001A20CD">
      <w:r w:rsidRPr="009F16EB">
        <w:t>The Hague Convention established the use of the Blue Shield as a symbol for identifying protected cultural sites and material. In tandem, an international organisation of heritage and museum professionals was established to assist in the identification and protection of these sites and materials, both in relation to armed conflicts and disaster mitigation more broadly.</w:t>
      </w:r>
    </w:p>
    <w:p w14:paraId="67CF3548" w14:textId="77777777" w:rsidR="00AA7153" w:rsidRDefault="001A20CD" w:rsidP="001A20CD">
      <w:r w:rsidRPr="009F16EB">
        <w:t>Cultural property may (in the case of property under general protection</w:t>
      </w:r>
      <w:r w:rsidR="008E696C">
        <w:t>)</w:t>
      </w:r>
      <w:r w:rsidRPr="009F16EB">
        <w:rPr>
          <w:vertAlign w:val="superscript"/>
        </w:rPr>
        <w:footnoteReference w:id="165"/>
      </w:r>
      <w:r w:rsidRPr="009F16EB">
        <w:t xml:space="preserve"> or must (in the case of cultural property under special protection</w:t>
      </w:r>
      <w:r w:rsidR="008E696C">
        <w:t>)</w:t>
      </w:r>
      <w:r w:rsidRPr="009F16EB">
        <w:rPr>
          <w:vertAlign w:val="superscript"/>
        </w:rPr>
        <w:footnoteReference w:id="166"/>
      </w:r>
      <w:r w:rsidRPr="009F16EB">
        <w:t xml:space="preserve"> be marked by the distinctive Blue Shield emblem of cultural property. It is the responsibility of the Government to identify cultural property that may or must be marked by the distinctive emblem.</w:t>
      </w:r>
    </w:p>
    <w:p w14:paraId="428DED8A" w14:textId="7836C277" w:rsidR="001A20CD" w:rsidRPr="009F16EB" w:rsidRDefault="001A20CD" w:rsidP="001A20CD">
      <w:r w:rsidRPr="009F16EB">
        <w:t>The international response to the use of the protective emblem has been diverse. Some countries such as Belgium, Bosnia and Herzegovina,</w:t>
      </w:r>
      <w:r w:rsidRPr="009F16EB">
        <w:rPr>
          <w:rStyle w:val="FootnoteReference"/>
          <w:rFonts w:eastAsiaTheme="majorEastAsia" w:cs="Arial"/>
        </w:rPr>
        <w:footnoteReference w:id="167"/>
      </w:r>
      <w:r w:rsidRPr="009F16EB">
        <w:t xml:space="preserve"> Egypt, Austria and Germany have undertaken a program of marking important cultural property with the Shield. Other countries do not believe that it is prudent to mark such property because it may simply identify important targets for aggressors</w:t>
      </w:r>
      <w:r w:rsidRPr="009F16EB">
        <w:rPr>
          <w:rStyle w:val="FootnoteReference"/>
          <w:rFonts w:eastAsiaTheme="majorEastAsia" w:cs="Arial"/>
        </w:rPr>
        <w:footnoteReference w:id="168"/>
      </w:r>
      <w:r w:rsidRPr="009F16EB">
        <w:t xml:space="preserve"> or unnecessarily alarm the </w:t>
      </w:r>
      <w:r w:rsidRPr="009F16EB">
        <w:lastRenderedPageBreak/>
        <w:t>civilian population.</w:t>
      </w:r>
      <w:r w:rsidRPr="009F16EB">
        <w:rPr>
          <w:rStyle w:val="FootnoteReference"/>
          <w:rFonts w:eastAsiaTheme="majorEastAsia" w:cs="Arial"/>
        </w:rPr>
        <w:footnoteReference w:id="169"/>
      </w:r>
      <w:r w:rsidRPr="009F16EB">
        <w:t xml:space="preserve"> Still others have undertaken preparation in peacetime and when conflict threatens, the plans will be implemented.</w:t>
      </w:r>
      <w:r w:rsidRPr="009F16EB">
        <w:rPr>
          <w:rStyle w:val="FootnoteReference"/>
          <w:rFonts w:eastAsiaTheme="majorEastAsia" w:cs="Arial"/>
        </w:rPr>
        <w:footnoteReference w:id="170"/>
      </w:r>
    </w:p>
    <w:p w14:paraId="7E11822E" w14:textId="77777777" w:rsidR="00AA7153" w:rsidRDefault="001A20CD" w:rsidP="001A20CD">
      <w:r w:rsidRPr="009F16EB">
        <w:t>Certainly it must be said that the use of the emblem only works to mitigate against attacks made in error. As the war in the former Yugoslavia showed, it can never protect against deliberate and tactical attack.</w:t>
      </w:r>
      <w:r w:rsidRPr="009F16EB">
        <w:rPr>
          <w:rStyle w:val="FootnoteReference"/>
          <w:rFonts w:eastAsiaTheme="majorEastAsia" w:cs="Arial"/>
        </w:rPr>
        <w:footnoteReference w:id="171"/>
      </w:r>
    </w:p>
    <w:p w14:paraId="4DA4359D" w14:textId="77777777" w:rsidR="00AA7153" w:rsidRDefault="001A20CD" w:rsidP="001A20CD">
      <w:r w:rsidRPr="009F16EB">
        <w:t>Blue Shield Australia was established in 2005 as one of the many national committees under the International Committee of the Blue Shield. Blue Shield Australia is run by four non-governmental organisations: the International Council on Archives; the International Council of Museums Australia; the International Council on Monuments and Sites Australia; and the International Federation of Library Associations and Institutions. While dedicated professionals volunteer time to assist Australian organisations prevent, prepare for and respond to emergency situations</w:t>
      </w:r>
      <w:r>
        <w:t>,</w:t>
      </w:r>
      <w:r>
        <w:rPr>
          <w:rStyle w:val="FootnoteReference"/>
        </w:rPr>
        <w:footnoteReference w:id="172"/>
      </w:r>
      <w:r w:rsidRPr="009F16EB">
        <w:t xml:space="preserve"> their ability to effect change or provide education services is hampered by lack of recognition and funding.</w:t>
      </w:r>
    </w:p>
    <w:p w14:paraId="6E0F3062" w14:textId="00BC2A02" w:rsidR="001A20CD" w:rsidRDefault="001A20CD" w:rsidP="001A20CD">
      <w:r w:rsidRPr="009F16EB">
        <w:t>The world is very familiar with the meaning of a red cross but the blue and white shield is far less well known and it is clear that there has been insufficient community education as to its recognition, meaning and importance.</w:t>
      </w:r>
    </w:p>
    <w:p w14:paraId="57C00F65" w14:textId="77777777" w:rsidR="001A20CD" w:rsidRPr="009F16EB" w:rsidRDefault="001A20CD" w:rsidP="00525F38">
      <w:pPr>
        <w:pStyle w:val="Heading3"/>
      </w:pPr>
      <w:r w:rsidRPr="009F16EB">
        <w:t>Providing legal protection for the Blue Shield emblem</w:t>
      </w:r>
    </w:p>
    <w:p w14:paraId="1B43798A" w14:textId="77777777" w:rsidR="00AA7153" w:rsidRDefault="001A20CD" w:rsidP="008E696C">
      <w:r w:rsidRPr="009F16EB">
        <w:t>The distinctive Blue Shield emblem for cultural property should be given legal protection. It is unprotected under current Australian law. This should be remedied. The model makes provision for the protection of the Blue Shield emblem to prohibit its unauthorised use. It also allows for the creation of a framework to authorise the use of the emblem on movable cultural heritage material.</w:t>
      </w:r>
    </w:p>
    <w:p w14:paraId="09B6CE22" w14:textId="2FA9AC4B" w:rsidR="004D4297" w:rsidRDefault="004D4297">
      <w:pPr>
        <w:spacing w:line="276" w:lineRule="auto"/>
      </w:pPr>
      <w:r>
        <w:br w:type="page"/>
      </w:r>
    </w:p>
    <w:p w14:paraId="38EA63DD" w14:textId="795D41EB" w:rsidR="001B5D3A" w:rsidRDefault="001A20CD" w:rsidP="001B5D3A">
      <w:r w:rsidRPr="009F16EB">
        <w:lastRenderedPageBreak/>
        <w:t>How protection is achieved is a matter of policy but it should include provisions:</w:t>
      </w:r>
    </w:p>
    <w:p w14:paraId="02B89450" w14:textId="77777777" w:rsidR="001B5D3A" w:rsidRDefault="001A20CD" w:rsidP="00E5299D">
      <w:pPr>
        <w:pStyle w:val="ListParagraph"/>
        <w:numPr>
          <w:ilvl w:val="0"/>
          <w:numId w:val="95"/>
        </w:numPr>
        <w:ind w:left="567" w:hanging="567"/>
      </w:pPr>
      <w:r w:rsidRPr="009F16EB">
        <w:t>providing that use of the distinctive emblem must be authorised by the Department;</w:t>
      </w:r>
    </w:p>
    <w:p w14:paraId="1A373822" w14:textId="77777777" w:rsidR="001B5D3A" w:rsidRDefault="001A20CD" w:rsidP="00E5299D">
      <w:pPr>
        <w:pStyle w:val="ListParagraph"/>
        <w:numPr>
          <w:ilvl w:val="0"/>
          <w:numId w:val="95"/>
        </w:numPr>
        <w:ind w:left="567" w:hanging="567"/>
      </w:pPr>
      <w:r w:rsidRPr="009F16EB">
        <w:t>requiring the Department to only approve use that is consistent with the Hague Convention; and</w:t>
      </w:r>
    </w:p>
    <w:p w14:paraId="2E205214" w14:textId="53711D9B" w:rsidR="001A20CD" w:rsidRPr="009F16EB" w:rsidRDefault="001A20CD" w:rsidP="00E5299D">
      <w:pPr>
        <w:pStyle w:val="ListParagraph"/>
        <w:numPr>
          <w:ilvl w:val="0"/>
          <w:numId w:val="95"/>
        </w:numPr>
        <w:ind w:left="567" w:hanging="567"/>
      </w:pPr>
      <w:proofErr w:type="gramStart"/>
      <w:r w:rsidRPr="009F16EB">
        <w:t>making</w:t>
      </w:r>
      <w:proofErr w:type="gramEnd"/>
      <w:r w:rsidRPr="009F16EB">
        <w:t xml:space="preserve"> it an offence to use the distinctive emblem without authorisation (even if the use of the emblem was consistent with the Hague Convention).</w:t>
      </w:r>
    </w:p>
    <w:p w14:paraId="69193A6E" w14:textId="77777777" w:rsidR="00AA7153" w:rsidRDefault="001A20CD" w:rsidP="001A20CD">
      <w:pPr>
        <w:rPr>
          <w:rFonts w:cs="Arial"/>
          <w:szCs w:val="24"/>
        </w:rPr>
      </w:pPr>
      <w:r w:rsidRPr="009F16EB">
        <w:rPr>
          <w:rFonts w:cs="Arial"/>
          <w:szCs w:val="24"/>
        </w:rPr>
        <w:t xml:space="preserve">The extension of the shield to </w:t>
      </w:r>
      <w:r w:rsidRPr="009F16EB">
        <w:rPr>
          <w:rFonts w:cs="Arial"/>
          <w:b/>
          <w:szCs w:val="24"/>
        </w:rPr>
        <w:t>immovable</w:t>
      </w:r>
      <w:r w:rsidRPr="009F16EB">
        <w:rPr>
          <w:rFonts w:cs="Arial"/>
          <w:szCs w:val="24"/>
        </w:rPr>
        <w:t xml:space="preserve"> heritage during times of conflict will need to be considered in conjunction with the Department of the Environment.</w:t>
      </w:r>
    </w:p>
    <w:p w14:paraId="0866BD5A" w14:textId="069A50C5" w:rsidR="001A20CD" w:rsidRPr="009F16EB" w:rsidRDefault="001A20CD" w:rsidP="001A20CD">
      <w:r w:rsidRPr="009F16EB">
        <w:t xml:space="preserve">It will also be necessary to ensure that trademark applications are refused registration if they incorporate the distinctive emblem. In </w:t>
      </w:r>
      <w:r w:rsidR="008E696C">
        <w:t xml:space="preserve">relation to the </w:t>
      </w:r>
      <w:proofErr w:type="gramStart"/>
      <w:r w:rsidR="008E696C">
        <w:t xml:space="preserve">red </w:t>
      </w:r>
      <w:r w:rsidRPr="009F16EB">
        <w:t>cross</w:t>
      </w:r>
      <w:proofErr w:type="gramEnd"/>
      <w:r w:rsidRPr="009F16EB">
        <w:t>, red crystal and red crescent, this is currently addressed in the Trade Marks Office Manual of Practice and Procedure.</w:t>
      </w:r>
      <w:r w:rsidRPr="009F16EB">
        <w:rPr>
          <w:vertAlign w:val="superscript"/>
        </w:rPr>
        <w:footnoteReference w:id="173"/>
      </w:r>
      <w:r w:rsidRPr="009F16EB">
        <w:t xml:space="preserve"> In the event that the cultural property distinctive emblem has been incorporated into an existing registered trademark, it will be necessary to include a ‘savings clause’ for trademarks registered prior to the entry into force of the proposed model.</w:t>
      </w:r>
    </w:p>
    <w:p w14:paraId="3C2E5CD5" w14:textId="77777777" w:rsidR="00AA7153" w:rsidRDefault="001A20CD" w:rsidP="001A20CD">
      <w:r w:rsidRPr="009F16EB">
        <w:t xml:space="preserve">The legal protection established by Part IV of the </w:t>
      </w:r>
      <w:r w:rsidRPr="009F16EB">
        <w:rPr>
          <w:i/>
        </w:rPr>
        <w:t>Geneva Conventions Act 1957</w:t>
      </w:r>
      <w:r w:rsidRPr="009F16EB">
        <w:t xml:space="preserve"> (in relation to the </w:t>
      </w:r>
      <w:proofErr w:type="gramStart"/>
      <w:r w:rsidRPr="009F16EB">
        <w:t>red cross</w:t>
      </w:r>
      <w:proofErr w:type="gramEnd"/>
      <w:r w:rsidRPr="009F16EB">
        <w:t xml:space="preserve">, the red crescent and the red crystal) provides a useful example, as does Part 4 of New Zealand’s </w:t>
      </w:r>
      <w:r w:rsidRPr="009F16EB">
        <w:rPr>
          <w:i/>
        </w:rPr>
        <w:t>Cultural Property (Protection in Armed Conflict) Act 2012</w:t>
      </w:r>
      <w:r w:rsidRPr="009F16EB">
        <w:t xml:space="preserve">. Part IV of the ICRC Model Law is also instructive. </w:t>
      </w:r>
    </w:p>
    <w:p w14:paraId="3CB850BA" w14:textId="77777777" w:rsidR="00AA7153" w:rsidRDefault="001A20CD" w:rsidP="001A20CD">
      <w:r w:rsidRPr="009F16EB">
        <w:t>In extending legal protection to the distinctive Blue Shield emblem, the Government will also need to give consideration to how the protection will be enforced and who will be responsible for enforcement. The Government may like to canvass approaches to this question with Australian Red Cross given its experience in the protection of their emblem and with Blue Shield Australia.</w:t>
      </w:r>
    </w:p>
    <w:p w14:paraId="795F3290" w14:textId="59AC2946" w:rsidR="009E2751" w:rsidRDefault="009E2751">
      <w:pPr>
        <w:spacing w:line="276" w:lineRule="auto"/>
      </w:pPr>
      <w:r>
        <w:br w:type="page"/>
      </w:r>
    </w:p>
    <w:p w14:paraId="0874C5AD" w14:textId="17E3FA83" w:rsidR="0035682E" w:rsidRDefault="0035682E" w:rsidP="0035682E">
      <w:pPr>
        <w:pStyle w:val="Subtitle"/>
      </w:pPr>
      <w:r>
        <w:lastRenderedPageBreak/>
        <w:t>New import process flow chart</w:t>
      </w:r>
    </w:p>
    <w:p w14:paraId="063EF14F" w14:textId="756957FA" w:rsidR="001A20CD" w:rsidRPr="008E696C" w:rsidRDefault="008E696C" w:rsidP="001A20CD">
      <w:pPr>
        <w:rPr>
          <w:i/>
          <w:sz w:val="20"/>
          <w:szCs w:val="20"/>
        </w:rPr>
      </w:pPr>
      <w:r>
        <w:rPr>
          <w:noProof/>
          <w:lang w:eastAsia="en-AU"/>
        </w:rPr>
        <w:drawing>
          <wp:inline distT="0" distB="0" distL="0" distR="0" wp14:anchorId="3956DD07" wp14:editId="2CD6FC98">
            <wp:extent cx="6204788" cy="7937752"/>
            <wp:effectExtent l="0" t="0" r="5715" b="6350"/>
            <wp:docPr id="2" name="Picture 2" descr="Departmental actions&#10;&#10;Warrant sought for the seizure of foreign cultural material (AFP, Border Force or MA may apply). The AFP/Department may seek warrant for seizure of cultural material, based on information from a foreign government/ foreign claimant, or an investigative process. An application is made to a judicial officer/AAT member (acting in a personal capacity) and seizure of foreign cultural material would trigger the need for a departmental decision under the PMCH Act.&#10;&#10;If warrant granted the object is seized on suspicion for safeguarding by the Department. This safeguarding period may be extended at any stage of these processes. During this time there is information gather and sharing. The departmental decision maker would seek information about the seized cultural material from relevant parties, with time limits. The Department facilitates sharing of information, as appropriate, between parties, there would be opportunity for parties to meet informally if they wished to do so, with the Department assisting to implement any outcomes agreed between the parties (eg, transfer of title).&#10;&#10;Departmental decision&#10;&#10;Does the seized cultural property meet the criteria or test under the Act for illegally exported, stolen or looted foreign cultural material? The administrative decision will be made by a senior Departmental Officer (Deputy Secretary or delegate) within the Ministry for the Arts. The decision is based on consideration of relevant material and evidence, already sought from and shared between the parties. The procedural fairness would apply, with affected parties given an opportunity to respond to adverse findings before a final decision is made.&#10;&#10;If the material does not meet the criteria it will be returned to the Australian owner. If it does meet the criteria Ownership of cultural material transfers to the Australian Government (for return to foreign claimant). &#10;&#10;Administrative Appeals Tribunal (AAT) Review&#10;&#10;A person whose interests are affected by a decision may file for merits review of the decision made under the PMCH Act in the AAT. The AAT may inform itself on any matter it thinks fit in undertaking the review. A matter would generally first go to alternative dispute resolution (ADR), through the AAT's ADR processes. Different ADR models are available within the AAT, depending on what is most appropriate for the parties and the issues involved. The matter may be resolved through the ADR. &#10;&#10;If ADR is not successful, a party can seek listing of their application for hearing by the AAT. The AAT processes can accommodate sensitive matters (eg commercial in confidence) through discretion to make non-disclosure orders, non-publication orders and holding hearings in private. It is here the Departmental decision under review is affirmed, varied or set aside by the AAT. &#10;&#10;Judicial review by Federal Court of Australia&#10;&#10;A party to a proceeding before the AAT may appeal to the Federal Court of Australia on a question of law from any decision of the AAT in that proceeding. Under the ADJR Act, a person aggrieved by a decision to which the Act applies may apply directly to the Federal Court or Federal Circuit Court for judicial review of the decision.&#10;" title="Figure 25 - New process for foreign cl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2">
                      <a:extLst>
                        <a:ext uri="{28A0092B-C50C-407E-A947-70E740481C1C}">
                          <a14:useLocalDpi xmlns:a14="http://schemas.microsoft.com/office/drawing/2010/main" val="0"/>
                        </a:ext>
                      </a:extLst>
                    </a:blip>
                    <a:stretch>
                      <a:fillRect/>
                    </a:stretch>
                  </pic:blipFill>
                  <pic:spPr bwMode="auto">
                    <a:xfrm>
                      <a:off x="0" y="0"/>
                      <a:ext cx="6203159" cy="7935668"/>
                    </a:xfrm>
                    <a:prstGeom prst="rect">
                      <a:avLst/>
                    </a:prstGeom>
                    <a:ln>
                      <a:noFill/>
                    </a:ln>
                    <a:extLst>
                      <a:ext uri="{53640926-AAD7-44D8-BBD7-CCE9431645EC}">
                        <a14:shadowObscured xmlns:a14="http://schemas.microsoft.com/office/drawing/2010/main"/>
                      </a:ext>
                    </a:extLst>
                  </pic:spPr>
                </pic:pic>
              </a:graphicData>
            </a:graphic>
          </wp:inline>
        </w:drawing>
      </w:r>
      <w:r w:rsidRPr="008E696C">
        <w:rPr>
          <w:i/>
          <w:sz w:val="20"/>
          <w:szCs w:val="20"/>
        </w:rPr>
        <w:t xml:space="preserve">Figure </w:t>
      </w:r>
      <w:r>
        <w:rPr>
          <w:i/>
          <w:sz w:val="20"/>
          <w:szCs w:val="20"/>
        </w:rPr>
        <w:t>25</w:t>
      </w:r>
      <w:r w:rsidR="00801A32">
        <w:rPr>
          <w:i/>
          <w:sz w:val="20"/>
          <w:szCs w:val="20"/>
        </w:rPr>
        <w:t>—</w:t>
      </w:r>
      <w:proofErr w:type="gramStart"/>
      <w:r>
        <w:rPr>
          <w:i/>
          <w:sz w:val="20"/>
          <w:szCs w:val="20"/>
        </w:rPr>
        <w:t>N</w:t>
      </w:r>
      <w:r w:rsidRPr="008E696C">
        <w:rPr>
          <w:i/>
          <w:sz w:val="20"/>
          <w:szCs w:val="20"/>
        </w:rPr>
        <w:t>ew</w:t>
      </w:r>
      <w:proofErr w:type="gramEnd"/>
      <w:r w:rsidRPr="008E696C">
        <w:rPr>
          <w:i/>
          <w:sz w:val="20"/>
          <w:szCs w:val="20"/>
        </w:rPr>
        <w:t xml:space="preserve"> process for foreign claims</w:t>
      </w:r>
    </w:p>
    <w:p w14:paraId="68A927CA" w14:textId="2BBC35F3" w:rsidR="00F529AD" w:rsidRPr="00AF60A9" w:rsidRDefault="00F529AD" w:rsidP="00F529AD">
      <w:pPr>
        <w:pStyle w:val="Heading1"/>
      </w:pPr>
      <w:bookmarkStart w:id="310" w:name="_Toc433906611"/>
      <w:r>
        <w:lastRenderedPageBreak/>
        <w:t xml:space="preserve">Part D: </w:t>
      </w:r>
      <w:r w:rsidRPr="00AF60A9">
        <w:t>Offence Provisions</w:t>
      </w:r>
      <w:bookmarkEnd w:id="4"/>
      <w:bookmarkEnd w:id="5"/>
      <w:bookmarkEnd w:id="310"/>
    </w:p>
    <w:p w14:paraId="3C6856A9" w14:textId="77777777" w:rsidR="00F529AD" w:rsidRPr="00A037B3" w:rsidRDefault="00F529AD" w:rsidP="00F529AD">
      <w:pPr>
        <w:rPr>
          <w:rFonts w:cs="Arial"/>
          <w:szCs w:val="24"/>
        </w:rPr>
      </w:pPr>
      <w:bookmarkStart w:id="311" w:name="_Toc419455933"/>
      <w:r w:rsidRPr="00A037B3">
        <w:rPr>
          <w:rFonts w:cs="Arial"/>
          <w:szCs w:val="24"/>
        </w:rPr>
        <w:t xml:space="preserve">While the current legislation does include offence provisions, these are often difficult to enforce. In some cases </w:t>
      </w:r>
      <w:r>
        <w:rPr>
          <w:rFonts w:cs="Arial"/>
          <w:szCs w:val="24"/>
        </w:rPr>
        <w:t xml:space="preserve">their expression lacks clarity or </w:t>
      </w:r>
      <w:r w:rsidRPr="00A037B3">
        <w:rPr>
          <w:rFonts w:cs="Arial"/>
          <w:szCs w:val="24"/>
        </w:rPr>
        <w:t>they may not be in line with current law enforcement standards.</w:t>
      </w:r>
      <w:bookmarkEnd w:id="311"/>
      <w:r w:rsidRPr="00A037B3">
        <w:rPr>
          <w:rFonts w:cs="Arial"/>
          <w:szCs w:val="24"/>
        </w:rPr>
        <w:t> </w:t>
      </w:r>
      <w:r>
        <w:rPr>
          <w:rFonts w:cs="Arial"/>
          <w:szCs w:val="24"/>
        </w:rPr>
        <w:t>In others, attention needs to be given to the elements of proof required to establish the offence.</w:t>
      </w:r>
    </w:p>
    <w:p w14:paraId="56DC6633" w14:textId="77777777" w:rsidR="00AA7153" w:rsidRDefault="00F529AD" w:rsidP="00F529AD">
      <w:pPr>
        <w:rPr>
          <w:rFonts w:cs="Arial"/>
          <w:szCs w:val="24"/>
        </w:rPr>
      </w:pPr>
      <w:bookmarkStart w:id="312" w:name="_Toc419455934"/>
      <w:r>
        <w:rPr>
          <w:rFonts w:cs="Arial"/>
          <w:szCs w:val="24"/>
        </w:rPr>
        <w:t>Much of the detail in relation to these issues will be a matter for drafting however the model incorporates principles that reformulate and articulate the provisions</w:t>
      </w:r>
      <w:r w:rsidRPr="00A037B3">
        <w:rPr>
          <w:rFonts w:cs="Arial"/>
          <w:szCs w:val="24"/>
        </w:rPr>
        <w:t xml:space="preserve"> in </w:t>
      </w:r>
      <w:r>
        <w:rPr>
          <w:rFonts w:cs="Arial"/>
          <w:szCs w:val="24"/>
        </w:rPr>
        <w:t>a way that better promote</w:t>
      </w:r>
      <w:r w:rsidR="00B04D5D">
        <w:rPr>
          <w:rFonts w:cs="Arial"/>
          <w:szCs w:val="24"/>
        </w:rPr>
        <w:t>s</w:t>
      </w:r>
      <w:r>
        <w:rPr>
          <w:rFonts w:cs="Arial"/>
          <w:szCs w:val="24"/>
        </w:rPr>
        <w:t xml:space="preserve"> the intention of the legislation</w:t>
      </w:r>
      <w:r w:rsidRPr="00A037B3">
        <w:rPr>
          <w:rFonts w:cs="Arial"/>
          <w:szCs w:val="24"/>
        </w:rPr>
        <w:t>.</w:t>
      </w:r>
      <w:bookmarkEnd w:id="312"/>
    </w:p>
    <w:p w14:paraId="7FC8ED42" w14:textId="57F7213D" w:rsidR="00AA7153" w:rsidRDefault="00F529AD" w:rsidP="00052178">
      <w:pPr>
        <w:pStyle w:val="Heading2"/>
      </w:pPr>
      <w:bookmarkStart w:id="313" w:name="_Toc419448780"/>
      <w:bookmarkStart w:id="314" w:name="_Toc419455932"/>
      <w:bookmarkStart w:id="315" w:name="_Toc423334294"/>
      <w:bookmarkStart w:id="316" w:name="_Toc430867348"/>
      <w:bookmarkStart w:id="317" w:name="_Toc433906612"/>
      <w:r w:rsidRPr="00AF60A9">
        <w:t xml:space="preserve">Offences </w:t>
      </w:r>
      <w:r>
        <w:t>r</w:t>
      </w:r>
      <w:r w:rsidRPr="00AF60A9">
        <w:t xml:space="preserve">elating to </w:t>
      </w:r>
      <w:r>
        <w:t>u</w:t>
      </w:r>
      <w:r w:rsidRPr="00AF60A9">
        <w:t xml:space="preserve">nlawful </w:t>
      </w:r>
      <w:r>
        <w:t>e</w:t>
      </w:r>
      <w:r w:rsidRPr="00AF60A9">
        <w:t>xports</w:t>
      </w:r>
      <w:bookmarkEnd w:id="313"/>
      <w:bookmarkEnd w:id="314"/>
      <w:bookmarkEnd w:id="315"/>
      <w:bookmarkEnd w:id="316"/>
      <w:bookmarkEnd w:id="317"/>
      <w:r w:rsidR="008027A0">
        <w:t xml:space="preserve"> of Australian material</w:t>
      </w:r>
    </w:p>
    <w:p w14:paraId="55FD8AA2" w14:textId="77777777" w:rsidR="00AA7153" w:rsidRDefault="00F529AD" w:rsidP="00525F38">
      <w:pPr>
        <w:pStyle w:val="Heading3"/>
      </w:pPr>
      <w:bookmarkStart w:id="318" w:name="_Toc419455935"/>
      <w:r>
        <w:t>Exporting or attempting to export</w:t>
      </w:r>
    </w:p>
    <w:p w14:paraId="2542DBDC" w14:textId="77777777" w:rsidR="00AA7153" w:rsidRDefault="00F529AD" w:rsidP="00F529AD">
      <w:pPr>
        <w:rPr>
          <w:rFonts w:cs="Arial"/>
          <w:szCs w:val="24"/>
        </w:rPr>
      </w:pPr>
      <w:r w:rsidRPr="00A037B3">
        <w:rPr>
          <w:rFonts w:cs="Arial"/>
          <w:szCs w:val="24"/>
        </w:rPr>
        <w:t xml:space="preserve">The </w:t>
      </w:r>
      <w:r>
        <w:rPr>
          <w:rFonts w:cs="Arial"/>
          <w:szCs w:val="24"/>
        </w:rPr>
        <w:t xml:space="preserve">proposed model would retain but amend the </w:t>
      </w:r>
      <w:r w:rsidRPr="00A037B3">
        <w:rPr>
          <w:rFonts w:cs="Arial"/>
          <w:szCs w:val="24"/>
        </w:rPr>
        <w:t>current offences</w:t>
      </w:r>
      <w:r>
        <w:rPr>
          <w:rStyle w:val="FootnoteReference"/>
          <w:rFonts w:cs="Arial"/>
          <w:szCs w:val="24"/>
        </w:rPr>
        <w:footnoteReference w:id="174"/>
      </w:r>
      <w:r>
        <w:rPr>
          <w:rFonts w:cs="Arial"/>
          <w:szCs w:val="24"/>
        </w:rPr>
        <w:t xml:space="preserve"> of exporting or attempting to export Australian Heritage Material</w:t>
      </w:r>
      <w:r>
        <w:rPr>
          <w:rStyle w:val="FootnoteReference"/>
          <w:rFonts w:cs="Arial"/>
          <w:szCs w:val="24"/>
        </w:rPr>
        <w:footnoteReference w:id="175"/>
      </w:r>
      <w:r>
        <w:rPr>
          <w:rFonts w:cs="Arial"/>
          <w:szCs w:val="24"/>
        </w:rPr>
        <w:t xml:space="preserve"> other than in accordance with a permit or certificate.</w:t>
      </w:r>
    </w:p>
    <w:p w14:paraId="3E77EA52" w14:textId="58100D16" w:rsidR="00F529AD" w:rsidRDefault="00F529AD" w:rsidP="00F529AD">
      <w:r>
        <w:t>Currently, to prosecute a person it is necessary to prove three physical elements and their associated fault elements</w:t>
      </w:r>
      <w:r w:rsidR="008027A0">
        <w:t>.</w:t>
      </w:r>
      <w:r>
        <w:rPr>
          <w:rStyle w:val="FootnoteReference"/>
        </w:rPr>
        <w:footnoteReference w:id="176"/>
      </w:r>
    </w:p>
    <w:tbl>
      <w:tblPr>
        <w:tblStyle w:val="TableGrid"/>
        <w:tblW w:w="0" w:type="auto"/>
        <w:tblInd w:w="293" w:type="dxa"/>
        <w:tblBorders>
          <w:top w:val="single" w:sz="4" w:space="0" w:color="026582"/>
          <w:left w:val="single" w:sz="4" w:space="0" w:color="026582"/>
          <w:bottom w:val="single" w:sz="4" w:space="0" w:color="026582"/>
          <w:right w:val="single" w:sz="4" w:space="0" w:color="026582"/>
          <w:insideH w:val="single" w:sz="4" w:space="0" w:color="026582"/>
          <w:insideV w:val="single" w:sz="4" w:space="0" w:color="026582"/>
        </w:tblBorders>
        <w:tblLook w:val="04A0" w:firstRow="1" w:lastRow="0" w:firstColumn="1" w:lastColumn="0" w:noHBand="0" w:noVBand="1"/>
        <w:tblCaption w:val="Fault elements for offences relating to unlawful imports"/>
        <w:tblDescription w:val="For physical element 1, the import of the object, the fault element is intention. For physical element 2, the object is a protected object of a foreign country, the fault element is knowledge. For physical element 3, the object has been exported from that country, the fault element is knowledge. For physical element 4, the export was prohibited by a law of that country relating to cultural property, the fault element is knowledge."/>
      </w:tblPr>
      <w:tblGrid>
        <w:gridCol w:w="567"/>
        <w:gridCol w:w="5197"/>
        <w:gridCol w:w="2708"/>
      </w:tblGrid>
      <w:tr w:rsidR="008027A0" w14:paraId="6BD171F8" w14:textId="77777777" w:rsidTr="008027A0">
        <w:trPr>
          <w:tblHeader/>
        </w:trPr>
        <w:tc>
          <w:tcPr>
            <w:tcW w:w="567" w:type="dxa"/>
            <w:tcBorders>
              <w:bottom w:val="single" w:sz="4" w:space="0" w:color="026582"/>
              <w:right w:val="nil"/>
            </w:tcBorders>
            <w:shd w:val="clear" w:color="auto" w:fill="D4EAEC"/>
          </w:tcPr>
          <w:p w14:paraId="1C23B616" w14:textId="77777777" w:rsidR="008027A0" w:rsidRDefault="008027A0" w:rsidP="00292161">
            <w:pPr>
              <w:tabs>
                <w:tab w:val="left" w:pos="709"/>
                <w:tab w:val="left" w:pos="1418"/>
                <w:tab w:val="left" w:pos="2126"/>
                <w:tab w:val="left" w:pos="2835"/>
                <w:tab w:val="left" w:pos="3544"/>
                <w:tab w:val="left" w:pos="4253"/>
                <w:tab w:val="left" w:pos="4961"/>
                <w:tab w:val="left" w:pos="5670"/>
              </w:tabs>
              <w:spacing w:after="160" w:line="336" w:lineRule="auto"/>
              <w:jc w:val="both"/>
            </w:pPr>
          </w:p>
        </w:tc>
        <w:tc>
          <w:tcPr>
            <w:tcW w:w="5197" w:type="dxa"/>
            <w:tcBorders>
              <w:left w:val="nil"/>
              <w:bottom w:val="single" w:sz="4" w:space="0" w:color="026582"/>
            </w:tcBorders>
            <w:shd w:val="clear" w:color="auto" w:fill="D4EAEC"/>
            <w:hideMark/>
          </w:tcPr>
          <w:p w14:paraId="210D21AB" w14:textId="77777777" w:rsidR="008027A0" w:rsidRDefault="008027A0" w:rsidP="00292161">
            <w:pPr>
              <w:tabs>
                <w:tab w:val="left" w:pos="709"/>
                <w:tab w:val="left" w:pos="1418"/>
                <w:tab w:val="left" w:pos="2126"/>
                <w:tab w:val="left" w:pos="2835"/>
                <w:tab w:val="left" w:pos="3544"/>
                <w:tab w:val="left" w:pos="4253"/>
                <w:tab w:val="left" w:pos="4961"/>
                <w:tab w:val="left" w:pos="5670"/>
              </w:tabs>
              <w:spacing w:after="160" w:line="336" w:lineRule="auto"/>
              <w:jc w:val="both"/>
            </w:pPr>
            <w:r>
              <w:rPr>
                <w:b/>
              </w:rPr>
              <w:t>Physical Element</w:t>
            </w:r>
          </w:p>
        </w:tc>
        <w:tc>
          <w:tcPr>
            <w:tcW w:w="2708" w:type="dxa"/>
            <w:shd w:val="clear" w:color="auto" w:fill="D4EAEC"/>
            <w:hideMark/>
          </w:tcPr>
          <w:p w14:paraId="0FD14F07" w14:textId="77777777" w:rsidR="008027A0" w:rsidRDefault="008027A0" w:rsidP="00292161">
            <w:pPr>
              <w:tabs>
                <w:tab w:val="left" w:pos="709"/>
                <w:tab w:val="left" w:pos="1418"/>
                <w:tab w:val="left" w:pos="2126"/>
                <w:tab w:val="left" w:pos="2835"/>
                <w:tab w:val="left" w:pos="3544"/>
                <w:tab w:val="left" w:pos="4253"/>
                <w:tab w:val="left" w:pos="4961"/>
                <w:tab w:val="left" w:pos="5670"/>
              </w:tabs>
              <w:spacing w:after="160" w:line="336" w:lineRule="auto"/>
              <w:jc w:val="both"/>
            </w:pPr>
            <w:r>
              <w:rPr>
                <w:b/>
              </w:rPr>
              <w:t>Fault Element</w:t>
            </w:r>
          </w:p>
        </w:tc>
      </w:tr>
      <w:tr w:rsidR="008027A0" w14:paraId="69EE719D" w14:textId="77777777" w:rsidTr="008027A0">
        <w:tc>
          <w:tcPr>
            <w:tcW w:w="567" w:type="dxa"/>
            <w:tcBorders>
              <w:right w:val="nil"/>
            </w:tcBorders>
            <w:hideMark/>
          </w:tcPr>
          <w:p w14:paraId="5D0E1A4C" w14:textId="77777777" w:rsidR="008027A0" w:rsidRDefault="008027A0" w:rsidP="00292161">
            <w:pPr>
              <w:tabs>
                <w:tab w:val="left" w:pos="709"/>
                <w:tab w:val="left" w:pos="1418"/>
                <w:tab w:val="left" w:pos="2126"/>
                <w:tab w:val="left" w:pos="2835"/>
                <w:tab w:val="left" w:pos="3544"/>
                <w:tab w:val="left" w:pos="4253"/>
                <w:tab w:val="left" w:pos="4961"/>
                <w:tab w:val="left" w:pos="5670"/>
              </w:tabs>
              <w:spacing w:after="160" w:line="336" w:lineRule="auto"/>
              <w:jc w:val="both"/>
            </w:pPr>
            <w:r>
              <w:t>1.</w:t>
            </w:r>
          </w:p>
        </w:tc>
        <w:tc>
          <w:tcPr>
            <w:tcW w:w="5197" w:type="dxa"/>
            <w:tcBorders>
              <w:left w:val="nil"/>
            </w:tcBorders>
            <w:hideMark/>
          </w:tcPr>
          <w:p w14:paraId="0113C256" w14:textId="0A9D2057" w:rsidR="008027A0" w:rsidRDefault="008027A0" w:rsidP="00292161">
            <w:pPr>
              <w:tabs>
                <w:tab w:val="left" w:pos="709"/>
                <w:tab w:val="left" w:pos="1418"/>
                <w:tab w:val="left" w:pos="2126"/>
                <w:tab w:val="left" w:pos="2835"/>
                <w:tab w:val="left" w:pos="3544"/>
                <w:tab w:val="left" w:pos="4253"/>
                <w:tab w:val="left" w:pos="4961"/>
                <w:tab w:val="left" w:pos="5670"/>
              </w:tabs>
              <w:spacing w:after="160" w:line="336" w:lineRule="auto"/>
              <w:jc w:val="both"/>
            </w:pPr>
            <w:r>
              <w:t>Export of the object</w:t>
            </w:r>
          </w:p>
        </w:tc>
        <w:tc>
          <w:tcPr>
            <w:tcW w:w="2708" w:type="dxa"/>
            <w:hideMark/>
          </w:tcPr>
          <w:p w14:paraId="6E12FFDB" w14:textId="77777777" w:rsidR="008027A0" w:rsidRDefault="008027A0" w:rsidP="00292161">
            <w:pPr>
              <w:tabs>
                <w:tab w:val="left" w:pos="709"/>
                <w:tab w:val="left" w:pos="1418"/>
                <w:tab w:val="left" w:pos="2126"/>
                <w:tab w:val="left" w:pos="2835"/>
                <w:tab w:val="left" w:pos="3544"/>
                <w:tab w:val="left" w:pos="4253"/>
                <w:tab w:val="left" w:pos="4961"/>
                <w:tab w:val="left" w:pos="5670"/>
              </w:tabs>
              <w:spacing w:after="160" w:line="336" w:lineRule="auto"/>
              <w:jc w:val="both"/>
            </w:pPr>
            <w:r>
              <w:t>Intention</w:t>
            </w:r>
          </w:p>
        </w:tc>
      </w:tr>
      <w:tr w:rsidR="008027A0" w14:paraId="3114B06C" w14:textId="77777777" w:rsidTr="008027A0">
        <w:tc>
          <w:tcPr>
            <w:tcW w:w="567" w:type="dxa"/>
            <w:tcBorders>
              <w:right w:val="nil"/>
            </w:tcBorders>
            <w:hideMark/>
          </w:tcPr>
          <w:p w14:paraId="7B897F67" w14:textId="77777777" w:rsidR="008027A0" w:rsidRDefault="008027A0" w:rsidP="00292161">
            <w:pPr>
              <w:tabs>
                <w:tab w:val="left" w:pos="709"/>
                <w:tab w:val="left" w:pos="1418"/>
                <w:tab w:val="left" w:pos="2126"/>
                <w:tab w:val="left" w:pos="2835"/>
                <w:tab w:val="left" w:pos="3544"/>
                <w:tab w:val="left" w:pos="4253"/>
                <w:tab w:val="left" w:pos="4961"/>
                <w:tab w:val="left" w:pos="5670"/>
              </w:tabs>
              <w:spacing w:after="160" w:line="336" w:lineRule="auto"/>
              <w:jc w:val="both"/>
            </w:pPr>
            <w:r>
              <w:t xml:space="preserve">2. </w:t>
            </w:r>
          </w:p>
        </w:tc>
        <w:tc>
          <w:tcPr>
            <w:tcW w:w="5197" w:type="dxa"/>
            <w:tcBorders>
              <w:left w:val="nil"/>
            </w:tcBorders>
            <w:hideMark/>
          </w:tcPr>
          <w:p w14:paraId="64E99DC8" w14:textId="4A243030" w:rsidR="008027A0" w:rsidRDefault="008027A0" w:rsidP="00292161">
            <w:pPr>
              <w:tabs>
                <w:tab w:val="left" w:pos="709"/>
                <w:tab w:val="left" w:pos="1418"/>
                <w:tab w:val="left" w:pos="2126"/>
                <w:tab w:val="left" w:pos="2835"/>
                <w:tab w:val="left" w:pos="3544"/>
                <w:tab w:val="left" w:pos="4253"/>
                <w:tab w:val="left" w:pos="4961"/>
                <w:tab w:val="left" w:pos="5670"/>
              </w:tabs>
              <w:spacing w:after="160" w:line="336" w:lineRule="auto"/>
              <w:jc w:val="both"/>
            </w:pPr>
            <w:r>
              <w:t>The object is Australian Heritage Material</w:t>
            </w:r>
          </w:p>
        </w:tc>
        <w:tc>
          <w:tcPr>
            <w:tcW w:w="2708" w:type="dxa"/>
            <w:hideMark/>
          </w:tcPr>
          <w:p w14:paraId="7156FC29" w14:textId="081DADB6" w:rsidR="008027A0" w:rsidRDefault="008027A0" w:rsidP="00292161">
            <w:pPr>
              <w:tabs>
                <w:tab w:val="left" w:pos="709"/>
                <w:tab w:val="left" w:pos="1418"/>
                <w:tab w:val="left" w:pos="2126"/>
                <w:tab w:val="left" w:pos="2835"/>
                <w:tab w:val="left" w:pos="3544"/>
                <w:tab w:val="left" w:pos="4253"/>
                <w:tab w:val="left" w:pos="4961"/>
                <w:tab w:val="left" w:pos="5670"/>
              </w:tabs>
              <w:spacing w:after="160" w:line="336" w:lineRule="auto"/>
              <w:jc w:val="both"/>
            </w:pPr>
            <w:r>
              <w:t>Recklessness</w:t>
            </w:r>
          </w:p>
        </w:tc>
      </w:tr>
      <w:tr w:rsidR="008027A0" w14:paraId="517277CA" w14:textId="77777777" w:rsidTr="008027A0">
        <w:tc>
          <w:tcPr>
            <w:tcW w:w="567" w:type="dxa"/>
            <w:tcBorders>
              <w:right w:val="nil"/>
            </w:tcBorders>
            <w:hideMark/>
          </w:tcPr>
          <w:p w14:paraId="01C0FEEC" w14:textId="77777777" w:rsidR="008027A0" w:rsidRDefault="008027A0" w:rsidP="00292161">
            <w:pPr>
              <w:tabs>
                <w:tab w:val="left" w:pos="709"/>
                <w:tab w:val="left" w:pos="1418"/>
                <w:tab w:val="left" w:pos="2126"/>
                <w:tab w:val="left" w:pos="2835"/>
                <w:tab w:val="left" w:pos="3544"/>
                <w:tab w:val="left" w:pos="4253"/>
                <w:tab w:val="left" w:pos="4961"/>
                <w:tab w:val="left" w:pos="5670"/>
              </w:tabs>
              <w:spacing w:after="160" w:line="336" w:lineRule="auto"/>
              <w:jc w:val="both"/>
            </w:pPr>
            <w:r>
              <w:t>3.</w:t>
            </w:r>
          </w:p>
        </w:tc>
        <w:tc>
          <w:tcPr>
            <w:tcW w:w="5197" w:type="dxa"/>
            <w:tcBorders>
              <w:left w:val="nil"/>
            </w:tcBorders>
            <w:hideMark/>
          </w:tcPr>
          <w:p w14:paraId="6400557C" w14:textId="70700CBB" w:rsidR="008027A0" w:rsidRDefault="008027A0" w:rsidP="00292161">
            <w:pPr>
              <w:tabs>
                <w:tab w:val="left" w:pos="709"/>
                <w:tab w:val="left" w:pos="1418"/>
                <w:tab w:val="left" w:pos="2126"/>
                <w:tab w:val="left" w:pos="2835"/>
                <w:tab w:val="left" w:pos="3544"/>
                <w:tab w:val="left" w:pos="4253"/>
                <w:tab w:val="left" w:pos="4961"/>
                <w:tab w:val="left" w:pos="5670"/>
              </w:tabs>
              <w:spacing w:after="160" w:line="336" w:lineRule="auto"/>
              <w:jc w:val="both"/>
            </w:pPr>
            <w:r>
              <w:t>The export is otherwise than in accordance with a permit or certificate</w:t>
            </w:r>
          </w:p>
        </w:tc>
        <w:tc>
          <w:tcPr>
            <w:tcW w:w="2708" w:type="dxa"/>
            <w:hideMark/>
          </w:tcPr>
          <w:p w14:paraId="7BDC6743" w14:textId="02762BFB" w:rsidR="008027A0" w:rsidRDefault="008027A0" w:rsidP="00292161">
            <w:pPr>
              <w:tabs>
                <w:tab w:val="left" w:pos="709"/>
                <w:tab w:val="left" w:pos="1418"/>
                <w:tab w:val="left" w:pos="2126"/>
                <w:tab w:val="left" w:pos="2835"/>
                <w:tab w:val="left" w:pos="3544"/>
                <w:tab w:val="left" w:pos="4253"/>
                <w:tab w:val="left" w:pos="4961"/>
                <w:tab w:val="left" w:pos="5670"/>
              </w:tabs>
              <w:spacing w:after="160" w:line="336" w:lineRule="auto"/>
              <w:jc w:val="both"/>
            </w:pPr>
            <w:r>
              <w:t>Recklessness</w:t>
            </w:r>
          </w:p>
        </w:tc>
      </w:tr>
    </w:tbl>
    <w:p w14:paraId="1986C677" w14:textId="77777777" w:rsidR="00F529AD" w:rsidRDefault="00F529AD" w:rsidP="00F529AD">
      <w:pPr>
        <w:pStyle w:val="ListParagraph"/>
        <w:rPr>
          <w:szCs w:val="20"/>
        </w:rPr>
      </w:pPr>
      <w:bookmarkStart w:id="319" w:name="Tablerow_1"/>
      <w:bookmarkStart w:id="320" w:name="Tablerow1"/>
      <w:bookmarkEnd w:id="319"/>
      <w:bookmarkEnd w:id="320"/>
    </w:p>
    <w:p w14:paraId="62788876" w14:textId="77777777" w:rsidR="00F529AD" w:rsidRDefault="00F529AD" w:rsidP="00F529AD">
      <w:r>
        <w:t>It is recommended that consideration be given to simplifying these hurdles.</w:t>
      </w:r>
    </w:p>
    <w:p w14:paraId="489EB2EC" w14:textId="77777777" w:rsidR="004D4297" w:rsidRDefault="004D4297">
      <w:pPr>
        <w:spacing w:line="276" w:lineRule="auto"/>
      </w:pPr>
      <w:r>
        <w:br w:type="page"/>
      </w:r>
    </w:p>
    <w:p w14:paraId="47D4439A" w14:textId="77777777" w:rsidR="00AA7153" w:rsidRDefault="00F529AD" w:rsidP="006520F3">
      <w:r>
        <w:lastRenderedPageBreak/>
        <w:t>As to physica</w:t>
      </w:r>
      <w:r w:rsidR="008E696C">
        <w:t>l element 1, prior to the material</w:t>
      </w:r>
      <w:r>
        <w:t xml:space="preserve"> leaving the jurisdiction it may be difficult for the prosecution to establish intention to export. It is therefore proposed that either:</w:t>
      </w:r>
    </w:p>
    <w:p w14:paraId="6388B012" w14:textId="77777777" w:rsidR="00AA7153" w:rsidRDefault="00F529AD" w:rsidP="00E5299D">
      <w:pPr>
        <w:pStyle w:val="ListParagraph"/>
        <w:numPr>
          <w:ilvl w:val="0"/>
          <w:numId w:val="96"/>
        </w:numPr>
        <w:ind w:left="567" w:hanging="283"/>
      </w:pPr>
      <w:r>
        <w:t>the burden of proof be varied by providing that it is for the defendant to prove</w:t>
      </w:r>
      <w:r w:rsidR="00B04D5D">
        <w:t>, on</w:t>
      </w:r>
      <w:r>
        <w:t xml:space="preserve"> the balance of probabilities, that there was no intention to export; or</w:t>
      </w:r>
    </w:p>
    <w:p w14:paraId="401A3531" w14:textId="35323E31" w:rsidR="00F529AD" w:rsidRDefault="00F529AD" w:rsidP="00E5299D">
      <w:pPr>
        <w:pStyle w:val="ListParagraph"/>
        <w:numPr>
          <w:ilvl w:val="0"/>
          <w:numId w:val="96"/>
        </w:numPr>
        <w:ind w:left="567" w:hanging="283"/>
      </w:pPr>
      <w:proofErr w:type="gramStart"/>
      <w:r>
        <w:t>it</w:t>
      </w:r>
      <w:proofErr w:type="gramEnd"/>
      <w:r>
        <w:t xml:space="preserve"> be provided that the intention to export is established when the person has </w:t>
      </w:r>
      <w:r w:rsidRPr="006520F3">
        <w:rPr>
          <w:rFonts w:cs="Arial"/>
          <w:szCs w:val="24"/>
        </w:rPr>
        <w:t>taken the final actions necessary to cause the object to leave Australia.</w:t>
      </w:r>
      <w:r>
        <w:rPr>
          <w:rStyle w:val="FootnoteReference"/>
          <w:rFonts w:cs="Arial"/>
          <w:szCs w:val="24"/>
        </w:rPr>
        <w:footnoteReference w:id="177"/>
      </w:r>
    </w:p>
    <w:p w14:paraId="48776DEB" w14:textId="77777777" w:rsidR="00F529AD" w:rsidRDefault="00F529AD" w:rsidP="00F529AD">
      <w:r>
        <w:t>As to physical element 2, it is suggested that the fault element be amended so that if the prosecution proves that the material satisfies the criteria for protected material then the burden should shift to the defendant to prove that it was not reckless.</w:t>
      </w:r>
    </w:p>
    <w:p w14:paraId="28C0B766" w14:textId="19E20152" w:rsidR="00F529AD" w:rsidRDefault="00F529AD" w:rsidP="00F529AD">
      <w:r w:rsidRPr="00C01856">
        <w:t xml:space="preserve">As to physical element 3, it is proposed that </w:t>
      </w:r>
      <w:r>
        <w:t>the fault element be</w:t>
      </w:r>
      <w:r w:rsidRPr="00C01856">
        <w:t xml:space="preserve"> </w:t>
      </w:r>
      <w:r w:rsidR="008E696C">
        <w:t xml:space="preserve">amended. Already, section </w:t>
      </w:r>
      <w:r>
        <w:t>9(6) provides that:</w:t>
      </w:r>
    </w:p>
    <w:p w14:paraId="04489488" w14:textId="6720608C" w:rsidR="00F529AD" w:rsidRPr="00364444" w:rsidRDefault="00F529AD" w:rsidP="006520F3">
      <w:pPr>
        <w:pStyle w:val="subsection"/>
        <w:tabs>
          <w:tab w:val="clear" w:pos="1021"/>
          <w:tab w:val="left" w:pos="284"/>
        </w:tabs>
        <w:spacing w:line="360" w:lineRule="auto"/>
        <w:ind w:left="284" w:right="284" w:firstLine="0"/>
        <w:rPr>
          <w:rFonts w:ascii="Arial" w:hAnsi="Arial" w:cs="Arial"/>
          <w:i/>
          <w:sz w:val="20"/>
        </w:rPr>
      </w:pPr>
      <w:r w:rsidRPr="00364444">
        <w:rPr>
          <w:rFonts w:ascii="Arial" w:hAnsi="Arial" w:cs="Arial"/>
          <w:i/>
          <w:sz w:val="20"/>
        </w:rPr>
        <w:t>…a person who exports or attempts to export an Australian protected object shall be taken to export, or attempt to export, the object otherwise than in accordance with a permit or certificate unless, before exporting or attempting to export the object, the person produces a permit or certificate authorising the export:</w:t>
      </w:r>
    </w:p>
    <w:p w14:paraId="6F76DC07" w14:textId="7D90AD8A" w:rsidR="00F529AD" w:rsidRPr="00364444" w:rsidRDefault="00F529AD" w:rsidP="006520F3">
      <w:pPr>
        <w:pStyle w:val="paragraph"/>
        <w:tabs>
          <w:tab w:val="left" w:pos="6663"/>
        </w:tabs>
        <w:spacing w:line="360" w:lineRule="auto"/>
        <w:ind w:left="567" w:right="284" w:firstLine="0"/>
        <w:rPr>
          <w:rFonts w:ascii="Arial" w:hAnsi="Arial" w:cs="Arial"/>
          <w:i/>
          <w:sz w:val="20"/>
        </w:rPr>
      </w:pPr>
      <w:r w:rsidRPr="00364444">
        <w:rPr>
          <w:rFonts w:ascii="Arial" w:hAnsi="Arial" w:cs="Arial"/>
          <w:i/>
          <w:sz w:val="20"/>
        </w:rPr>
        <w:t>(a)</w:t>
      </w:r>
      <w:r w:rsidR="006520F3" w:rsidRPr="00364444">
        <w:rPr>
          <w:rFonts w:ascii="Arial" w:hAnsi="Arial" w:cs="Arial"/>
          <w:i/>
          <w:sz w:val="20"/>
        </w:rPr>
        <w:t xml:space="preserve"> </w:t>
      </w:r>
      <w:r w:rsidRPr="00364444">
        <w:rPr>
          <w:rFonts w:ascii="Arial" w:hAnsi="Arial" w:cs="Arial"/>
          <w:i/>
          <w:sz w:val="20"/>
        </w:rPr>
        <w:tab/>
      </w:r>
      <w:proofErr w:type="gramStart"/>
      <w:r w:rsidRPr="00364444">
        <w:rPr>
          <w:rFonts w:ascii="Arial" w:hAnsi="Arial" w:cs="Arial"/>
          <w:i/>
          <w:sz w:val="20"/>
        </w:rPr>
        <w:t>where</w:t>
      </w:r>
      <w:proofErr w:type="gramEnd"/>
      <w:r w:rsidRPr="00364444">
        <w:rPr>
          <w:rFonts w:ascii="Arial" w:hAnsi="Arial" w:cs="Arial"/>
          <w:i/>
          <w:sz w:val="20"/>
        </w:rPr>
        <w:t xml:space="preserve"> the export is not from an external Territory to an officer of Customs; or</w:t>
      </w:r>
    </w:p>
    <w:p w14:paraId="3DE3E258" w14:textId="2C66BE43" w:rsidR="00F529AD" w:rsidRPr="00364444" w:rsidRDefault="00F529AD" w:rsidP="006520F3">
      <w:pPr>
        <w:pStyle w:val="paragraph"/>
        <w:tabs>
          <w:tab w:val="left" w:pos="6663"/>
        </w:tabs>
        <w:spacing w:line="360" w:lineRule="auto"/>
        <w:ind w:left="567" w:right="284" w:firstLine="0"/>
        <w:rPr>
          <w:rFonts w:ascii="Arial" w:hAnsi="Arial" w:cs="Arial"/>
          <w:i/>
          <w:sz w:val="20"/>
        </w:rPr>
      </w:pPr>
      <w:r w:rsidRPr="00364444">
        <w:rPr>
          <w:rFonts w:ascii="Arial" w:hAnsi="Arial" w:cs="Arial"/>
          <w:i/>
          <w:sz w:val="20"/>
        </w:rPr>
        <w:t>(b)</w:t>
      </w:r>
      <w:r w:rsidRPr="00364444">
        <w:rPr>
          <w:rFonts w:ascii="Arial" w:hAnsi="Arial" w:cs="Arial"/>
          <w:i/>
          <w:sz w:val="20"/>
        </w:rPr>
        <w:tab/>
      </w:r>
      <w:r w:rsidR="006520F3" w:rsidRPr="00364444">
        <w:rPr>
          <w:rFonts w:ascii="Arial" w:hAnsi="Arial" w:cs="Arial"/>
          <w:i/>
          <w:sz w:val="20"/>
        </w:rPr>
        <w:t xml:space="preserve"> </w:t>
      </w:r>
      <w:proofErr w:type="gramStart"/>
      <w:r w:rsidRPr="00364444">
        <w:rPr>
          <w:rFonts w:ascii="Arial" w:hAnsi="Arial" w:cs="Arial"/>
          <w:i/>
          <w:sz w:val="20"/>
        </w:rPr>
        <w:t>where</w:t>
      </w:r>
      <w:proofErr w:type="gramEnd"/>
      <w:r w:rsidRPr="00364444">
        <w:rPr>
          <w:rFonts w:ascii="Arial" w:hAnsi="Arial" w:cs="Arial"/>
          <w:i/>
          <w:sz w:val="20"/>
        </w:rPr>
        <w:t xml:space="preserve"> the export</w:t>
      </w:r>
      <w:r w:rsidR="006520F3" w:rsidRPr="00364444">
        <w:rPr>
          <w:rFonts w:ascii="Arial" w:hAnsi="Arial" w:cs="Arial"/>
          <w:i/>
          <w:sz w:val="20"/>
        </w:rPr>
        <w:t xml:space="preserve"> is from an external Territory</w:t>
      </w:r>
      <w:r w:rsidR="00AA7153" w:rsidRPr="00364444">
        <w:rPr>
          <w:rFonts w:ascii="Arial" w:hAnsi="Arial" w:cs="Arial"/>
          <w:i/>
          <w:sz w:val="20"/>
        </w:rPr>
        <w:t>—</w:t>
      </w:r>
      <w:r w:rsidR="006520F3" w:rsidRPr="00364444">
        <w:rPr>
          <w:rFonts w:ascii="Arial" w:hAnsi="Arial" w:cs="Arial"/>
          <w:i/>
          <w:sz w:val="20"/>
        </w:rPr>
        <w:t>t</w:t>
      </w:r>
      <w:r w:rsidRPr="00364444">
        <w:rPr>
          <w:rFonts w:ascii="Arial" w:hAnsi="Arial" w:cs="Arial"/>
          <w:i/>
          <w:sz w:val="20"/>
        </w:rPr>
        <w:t>o an inspector performing duties in relation to the export of Australian protected objects.</w:t>
      </w:r>
    </w:p>
    <w:p w14:paraId="0ACCA520" w14:textId="77777777" w:rsidR="00172D73" w:rsidRPr="00AB1CBF" w:rsidRDefault="00172D73" w:rsidP="006520F3">
      <w:pPr>
        <w:pStyle w:val="paragraph"/>
        <w:tabs>
          <w:tab w:val="left" w:pos="6663"/>
        </w:tabs>
        <w:spacing w:line="360" w:lineRule="auto"/>
        <w:ind w:left="567" w:right="284" w:firstLine="0"/>
        <w:rPr>
          <w:rFonts w:ascii="Arial" w:hAnsi="Arial" w:cs="Arial"/>
          <w:sz w:val="20"/>
        </w:rPr>
      </w:pPr>
    </w:p>
    <w:p w14:paraId="6A6F0FBA" w14:textId="77777777" w:rsidR="00F529AD" w:rsidRDefault="00F529AD" w:rsidP="00F529AD">
      <w:r>
        <w:t>This could be simplified and modernised to provide that the failure to produce the permit or certificate would fulfil physical element 3. That is a matter for drafting.</w:t>
      </w:r>
    </w:p>
    <w:p w14:paraId="41BB3088" w14:textId="77777777" w:rsidR="00F529AD" w:rsidRDefault="00F529AD" w:rsidP="00525F38">
      <w:pPr>
        <w:pStyle w:val="Heading3"/>
      </w:pPr>
      <w:r>
        <w:t>Contravening</w:t>
      </w:r>
      <w:r w:rsidRPr="00FF05B8">
        <w:t xml:space="preserve"> a condition of a permit</w:t>
      </w:r>
    </w:p>
    <w:p w14:paraId="215509AF" w14:textId="77777777" w:rsidR="00AA7153" w:rsidRDefault="00F529AD" w:rsidP="00F529AD">
      <w:pPr>
        <w:rPr>
          <w:rFonts w:cs="Arial"/>
          <w:szCs w:val="24"/>
        </w:rPr>
      </w:pPr>
      <w:r w:rsidRPr="00FF05B8">
        <w:rPr>
          <w:rFonts w:cs="Arial"/>
          <w:szCs w:val="24"/>
        </w:rPr>
        <w:t>The proposed model retain</w:t>
      </w:r>
      <w:r w:rsidR="00FA1A6C">
        <w:rPr>
          <w:rFonts w:cs="Arial"/>
          <w:szCs w:val="24"/>
        </w:rPr>
        <w:t>s</w:t>
      </w:r>
      <w:r w:rsidRPr="00FF05B8">
        <w:rPr>
          <w:rFonts w:cs="Arial"/>
          <w:szCs w:val="24"/>
        </w:rPr>
        <w:t xml:space="preserve"> the current offence of engaging in conduct that contravenes a condition of a permit.</w:t>
      </w:r>
    </w:p>
    <w:p w14:paraId="1F9479EC" w14:textId="0DD78D51" w:rsidR="008E696C" w:rsidRDefault="008E696C">
      <w:pPr>
        <w:spacing w:line="276" w:lineRule="auto"/>
        <w:rPr>
          <w:rFonts w:asciiTheme="majorHAnsi" w:eastAsiaTheme="majorEastAsia" w:hAnsiTheme="majorHAnsi" w:cstheme="majorBidi"/>
          <w:b/>
          <w:bCs/>
          <w:color w:val="1F7377"/>
        </w:rPr>
      </w:pPr>
      <w:r>
        <w:br w:type="page"/>
      </w:r>
    </w:p>
    <w:p w14:paraId="020BB04E" w14:textId="04C5492A" w:rsidR="00F529AD" w:rsidRPr="002C4669" w:rsidRDefault="00F529AD" w:rsidP="00525F38">
      <w:pPr>
        <w:pStyle w:val="Heading3"/>
      </w:pPr>
      <w:r w:rsidRPr="002C4669">
        <w:lastRenderedPageBreak/>
        <w:t>New offences</w:t>
      </w:r>
    </w:p>
    <w:p w14:paraId="6DE03F51" w14:textId="77777777" w:rsidR="00AA7153" w:rsidRDefault="00F529AD" w:rsidP="00F529AD">
      <w:pPr>
        <w:rPr>
          <w:rFonts w:cs="Arial"/>
          <w:szCs w:val="24"/>
        </w:rPr>
      </w:pPr>
      <w:r>
        <w:rPr>
          <w:rFonts w:cs="Arial"/>
          <w:szCs w:val="24"/>
        </w:rPr>
        <w:t>The model</w:t>
      </w:r>
      <w:r w:rsidRPr="00FF05B8">
        <w:rPr>
          <w:rFonts w:cs="Arial"/>
          <w:szCs w:val="24"/>
        </w:rPr>
        <w:t xml:space="preserve"> create</w:t>
      </w:r>
      <w:r>
        <w:rPr>
          <w:rFonts w:cs="Arial"/>
          <w:szCs w:val="24"/>
        </w:rPr>
        <w:t>s</w:t>
      </w:r>
      <w:r w:rsidRPr="00FF05B8">
        <w:rPr>
          <w:rFonts w:cs="Arial"/>
          <w:szCs w:val="24"/>
        </w:rPr>
        <w:t xml:space="preserve"> t</w:t>
      </w:r>
      <w:r>
        <w:rPr>
          <w:rFonts w:cs="Arial"/>
          <w:szCs w:val="24"/>
        </w:rPr>
        <w:t>hree</w:t>
      </w:r>
      <w:r w:rsidRPr="00FF05B8">
        <w:rPr>
          <w:rFonts w:cs="Arial"/>
          <w:szCs w:val="24"/>
        </w:rPr>
        <w:t xml:space="preserve"> further offences:</w:t>
      </w:r>
      <w:bookmarkEnd w:id="318"/>
    </w:p>
    <w:p w14:paraId="791D36F1" w14:textId="7ADB3F3C" w:rsidR="006520F3" w:rsidRDefault="006520F3" w:rsidP="00E5299D">
      <w:pPr>
        <w:pStyle w:val="ListParagraph"/>
        <w:numPr>
          <w:ilvl w:val="0"/>
          <w:numId w:val="97"/>
        </w:numPr>
        <w:ind w:left="567" w:hanging="283"/>
        <w:rPr>
          <w:rFonts w:cs="Arial"/>
          <w:szCs w:val="24"/>
        </w:rPr>
      </w:pPr>
      <w:bookmarkStart w:id="321" w:name="_Toc419455937"/>
      <w:proofErr w:type="gramStart"/>
      <w:r>
        <w:rPr>
          <w:rFonts w:cs="Arial"/>
          <w:szCs w:val="24"/>
        </w:rPr>
        <w:t>a</w:t>
      </w:r>
      <w:proofErr w:type="gramEnd"/>
      <w:r>
        <w:rPr>
          <w:rFonts w:cs="Arial"/>
          <w:szCs w:val="24"/>
        </w:rPr>
        <w:t xml:space="preserve"> </w:t>
      </w:r>
      <w:r w:rsidR="00F529AD" w:rsidRPr="006520F3">
        <w:rPr>
          <w:rFonts w:cs="Arial"/>
          <w:szCs w:val="24"/>
        </w:rPr>
        <w:t>person who engages in conduct to mislead as to the nature of material to avoid regulation, commits an offence</w:t>
      </w:r>
      <w:bookmarkEnd w:id="321"/>
      <w:r w:rsidR="008E696C">
        <w:rPr>
          <w:rFonts w:cs="Arial"/>
          <w:szCs w:val="24"/>
        </w:rPr>
        <w:t>. T</w:t>
      </w:r>
      <w:r w:rsidR="00F529AD" w:rsidRPr="006520F3">
        <w:rPr>
          <w:rFonts w:cs="Arial"/>
          <w:szCs w:val="24"/>
        </w:rPr>
        <w:t>he absence of this offence in the present legislation is an enormous oversight. All too often, the unscrupulous dismantle important cultural material and export it under misleading descriptions</w:t>
      </w:r>
      <w:r w:rsidR="00801A32">
        <w:rPr>
          <w:rFonts w:cs="Arial"/>
          <w:szCs w:val="24"/>
        </w:rPr>
        <w:t>—</w:t>
      </w:r>
      <w:r w:rsidR="00F529AD" w:rsidRPr="006520F3">
        <w:rPr>
          <w:rFonts w:cs="Arial"/>
          <w:szCs w:val="24"/>
        </w:rPr>
        <w:t>a WWII fighter plane becom</w:t>
      </w:r>
      <w:r>
        <w:rPr>
          <w:rFonts w:cs="Arial"/>
          <w:szCs w:val="24"/>
        </w:rPr>
        <w:t>es a container of scrap metal;</w:t>
      </w:r>
    </w:p>
    <w:p w14:paraId="026667BD" w14:textId="2CFE5249" w:rsidR="00AA7153" w:rsidRDefault="006520F3" w:rsidP="00E5299D">
      <w:pPr>
        <w:pStyle w:val="ListParagraph"/>
        <w:numPr>
          <w:ilvl w:val="0"/>
          <w:numId w:val="97"/>
        </w:numPr>
        <w:tabs>
          <w:tab w:val="left" w:pos="567"/>
        </w:tabs>
        <w:ind w:left="567" w:hanging="283"/>
      </w:pPr>
      <w:proofErr w:type="gramStart"/>
      <w:r>
        <w:t>a</w:t>
      </w:r>
      <w:proofErr w:type="gramEnd"/>
      <w:r w:rsidR="00F529AD" w:rsidRPr="00533090">
        <w:t xml:space="preserve"> person who exports, or attempts to export, Australian Protected Material or Declared Australian Protected Material without, or in breach of, a permit </w:t>
      </w:r>
      <w:r w:rsidR="008027A0">
        <w:t xml:space="preserve">or </w:t>
      </w:r>
      <w:r w:rsidR="00F529AD" w:rsidRPr="00533090">
        <w:t>certificate, commits an offence</w:t>
      </w:r>
      <w:r w:rsidR="00F529AD">
        <w:t>.</w:t>
      </w:r>
      <w:r w:rsidR="00F529AD" w:rsidRPr="00533090">
        <w:t xml:space="preserve"> </w:t>
      </w:r>
      <w:r w:rsidR="00F529AD">
        <w:t xml:space="preserve">This is covered in the current legislation. The problem with the current expression of the offence would be largely dealt with by adopting the recommendation made in </w:t>
      </w:r>
      <w:r w:rsidR="008E696C">
        <w:t>Part 38.1</w:t>
      </w:r>
      <w:r w:rsidR="00F529AD">
        <w:t xml:space="preserve"> above; and</w:t>
      </w:r>
    </w:p>
    <w:p w14:paraId="5EA46F4A" w14:textId="4EEA0248" w:rsidR="00F529AD" w:rsidRPr="006520F3" w:rsidRDefault="006520F3" w:rsidP="00E5299D">
      <w:pPr>
        <w:pStyle w:val="ListParagraph"/>
        <w:numPr>
          <w:ilvl w:val="0"/>
          <w:numId w:val="97"/>
        </w:numPr>
        <w:tabs>
          <w:tab w:val="left" w:pos="567"/>
        </w:tabs>
        <w:ind w:left="567" w:hanging="283"/>
        <w:rPr>
          <w:rFonts w:cs="Arial"/>
          <w:szCs w:val="24"/>
        </w:rPr>
      </w:pPr>
      <w:proofErr w:type="gramStart"/>
      <w:r>
        <w:rPr>
          <w:rFonts w:cs="Arial"/>
          <w:szCs w:val="24"/>
        </w:rPr>
        <w:t>a</w:t>
      </w:r>
      <w:proofErr w:type="gramEnd"/>
      <w:r w:rsidR="00F529AD" w:rsidRPr="006520F3">
        <w:rPr>
          <w:rFonts w:cs="Arial"/>
          <w:szCs w:val="24"/>
        </w:rPr>
        <w:t xml:space="preserve"> person who does acts preparatory to export (for example entering into a contract for export with an overseas buyer) commits an offence.</w:t>
      </w:r>
    </w:p>
    <w:p w14:paraId="654E5C39" w14:textId="77777777" w:rsidR="00F529AD" w:rsidRDefault="00F529AD" w:rsidP="00525F38">
      <w:pPr>
        <w:pStyle w:val="Heading3"/>
      </w:pPr>
      <w:r>
        <w:t>Differing sanctions according to category of material</w:t>
      </w:r>
    </w:p>
    <w:p w14:paraId="679C62E0" w14:textId="77777777" w:rsidR="00AA7153" w:rsidRDefault="00F529AD" w:rsidP="00F529AD">
      <w:pPr>
        <w:rPr>
          <w:rFonts w:cs="Arial"/>
          <w:szCs w:val="24"/>
        </w:rPr>
      </w:pPr>
      <w:r>
        <w:rPr>
          <w:rFonts w:cs="Arial"/>
          <w:szCs w:val="24"/>
        </w:rPr>
        <w:t>Under the new model there are three categories of heritage material. Material in each of these categories has different degrees of established significance and those should be reflected in the sanction provisions.</w:t>
      </w:r>
    </w:p>
    <w:p w14:paraId="4E387B26" w14:textId="77777777" w:rsidR="00AA7153" w:rsidRDefault="00FA1A6C" w:rsidP="00525F38">
      <w:pPr>
        <w:pStyle w:val="Heading3"/>
      </w:pPr>
      <w:bookmarkStart w:id="322" w:name="_Toc419448781"/>
      <w:bookmarkStart w:id="323" w:name="_Toc419455938"/>
      <w:r>
        <w:t>Definitions of export and attempted export</w:t>
      </w:r>
      <w:bookmarkEnd w:id="322"/>
      <w:bookmarkEnd w:id="323"/>
    </w:p>
    <w:p w14:paraId="29928885" w14:textId="758A1AF1" w:rsidR="00F529AD" w:rsidRDefault="00F529AD" w:rsidP="00F529AD">
      <w:pPr>
        <w:rPr>
          <w:rFonts w:cs="Arial"/>
          <w:szCs w:val="24"/>
        </w:rPr>
      </w:pPr>
      <w:r>
        <w:rPr>
          <w:rFonts w:cs="Arial"/>
          <w:szCs w:val="24"/>
        </w:rPr>
        <w:t>At present, attempted export makes the material liable to forfeiture; export results in automatic forfeiture. That should be retained.</w:t>
      </w:r>
    </w:p>
    <w:p w14:paraId="12BA287B" w14:textId="77777777" w:rsidR="00AA7153" w:rsidRDefault="00FA1A6C" w:rsidP="00FA1A6C">
      <w:pPr>
        <w:rPr>
          <w:rFonts w:cs="Arial"/>
          <w:szCs w:val="24"/>
        </w:rPr>
      </w:pPr>
      <w:r>
        <w:rPr>
          <w:rFonts w:cs="Arial"/>
          <w:szCs w:val="24"/>
        </w:rPr>
        <w:t>The Act also has a very limited and exclusive definition that does not accommodate the increased use of courier services.</w:t>
      </w:r>
    </w:p>
    <w:p w14:paraId="1030F7CB" w14:textId="0993C3A8" w:rsidR="00AA7153" w:rsidRDefault="00F529AD" w:rsidP="008E696C">
      <w:pPr>
        <w:rPr>
          <w:rFonts w:cs="Arial"/>
          <w:szCs w:val="24"/>
        </w:rPr>
      </w:pPr>
      <w:r>
        <w:rPr>
          <w:rFonts w:cs="Arial"/>
          <w:szCs w:val="24"/>
        </w:rPr>
        <w:t>Under the current Act it has proved difficult to stop material as it moves from ‘attempted export’ to ‘export’</w:t>
      </w:r>
      <w:r w:rsidR="00801A32">
        <w:rPr>
          <w:rFonts w:cs="Arial"/>
          <w:szCs w:val="24"/>
        </w:rPr>
        <w:t>—</w:t>
      </w:r>
      <w:r>
        <w:rPr>
          <w:rFonts w:cs="Arial"/>
          <w:szCs w:val="24"/>
        </w:rPr>
        <w:t xml:space="preserve">often this occurs as the ship or plane </w:t>
      </w:r>
      <w:r w:rsidR="00B04D5D">
        <w:rPr>
          <w:rFonts w:cs="Arial"/>
          <w:szCs w:val="24"/>
        </w:rPr>
        <w:t xml:space="preserve">that </w:t>
      </w:r>
      <w:r>
        <w:rPr>
          <w:rFonts w:cs="Arial"/>
          <w:szCs w:val="24"/>
        </w:rPr>
        <w:t xml:space="preserve">the object has been loaded </w:t>
      </w:r>
      <w:r w:rsidR="00B04D5D">
        <w:rPr>
          <w:rFonts w:cs="Arial"/>
          <w:szCs w:val="24"/>
        </w:rPr>
        <w:t xml:space="preserve">onto </w:t>
      </w:r>
      <w:r>
        <w:rPr>
          <w:rFonts w:cs="Arial"/>
          <w:szCs w:val="24"/>
        </w:rPr>
        <w:t>leaves the country. T</w:t>
      </w:r>
      <w:r w:rsidRPr="00A037B3">
        <w:rPr>
          <w:rFonts w:cs="Arial"/>
          <w:szCs w:val="24"/>
        </w:rPr>
        <w:t>o establish ‘export’ there should be no requirement that the departure of the aircraft or ship, or movement of the posted object, have commenced. The Act should provide that an offe</w:t>
      </w:r>
      <w:r>
        <w:rPr>
          <w:rFonts w:cs="Arial"/>
          <w:szCs w:val="24"/>
        </w:rPr>
        <w:t>nce is committed (and the material</w:t>
      </w:r>
      <w:r w:rsidRPr="00A037B3">
        <w:rPr>
          <w:rFonts w:cs="Arial"/>
          <w:szCs w:val="24"/>
        </w:rPr>
        <w:t xml:space="preserve"> forfeited to the Commonwealth) at </w:t>
      </w:r>
      <w:r>
        <w:rPr>
          <w:rFonts w:cs="Arial"/>
          <w:szCs w:val="24"/>
        </w:rPr>
        <w:t>an earlier</w:t>
      </w:r>
      <w:r w:rsidRPr="00A037B3">
        <w:rPr>
          <w:rFonts w:cs="Arial"/>
          <w:szCs w:val="24"/>
        </w:rPr>
        <w:t xml:space="preserve"> defined point of export</w:t>
      </w:r>
      <w:r>
        <w:rPr>
          <w:rFonts w:cs="Arial"/>
          <w:szCs w:val="24"/>
        </w:rPr>
        <w:t>:</w:t>
      </w:r>
      <w:r w:rsidRPr="00A037B3">
        <w:rPr>
          <w:rFonts w:cs="Arial"/>
          <w:szCs w:val="24"/>
        </w:rPr>
        <w:t xml:space="preserve"> the </w:t>
      </w:r>
      <w:r w:rsidRPr="00A037B3">
        <w:rPr>
          <w:rFonts w:cs="Arial"/>
          <w:szCs w:val="24"/>
        </w:rPr>
        <w:lastRenderedPageBreak/>
        <w:t xml:space="preserve">point at which it is clear </w:t>
      </w:r>
      <w:r>
        <w:rPr>
          <w:rFonts w:cs="Arial"/>
          <w:szCs w:val="24"/>
        </w:rPr>
        <w:t>that a person intends the material</w:t>
      </w:r>
      <w:r w:rsidRPr="00A037B3">
        <w:rPr>
          <w:rFonts w:cs="Arial"/>
          <w:szCs w:val="24"/>
        </w:rPr>
        <w:t xml:space="preserve"> to be taken out of Australia and has taken decisive actions to fulfil that intent</w:t>
      </w:r>
      <w:r>
        <w:rPr>
          <w:rFonts w:cs="Arial"/>
          <w:szCs w:val="24"/>
        </w:rPr>
        <w:t>ion.</w:t>
      </w:r>
    </w:p>
    <w:p w14:paraId="7A1C67E4" w14:textId="0AAFAA9D" w:rsidR="00F529AD" w:rsidRDefault="00F529AD" w:rsidP="00F529AD">
      <w:pPr>
        <w:rPr>
          <w:rFonts w:cs="Arial"/>
          <w:szCs w:val="24"/>
        </w:rPr>
      </w:pPr>
      <w:r>
        <w:rPr>
          <w:rFonts w:cs="Arial"/>
          <w:szCs w:val="24"/>
        </w:rPr>
        <w:t>In particular, ‘</w:t>
      </w:r>
      <w:r w:rsidRPr="00A037B3">
        <w:rPr>
          <w:rFonts w:cs="Arial"/>
          <w:szCs w:val="24"/>
        </w:rPr>
        <w:t>export’ could be defined as t</w:t>
      </w:r>
      <w:r>
        <w:rPr>
          <w:rFonts w:cs="Arial"/>
          <w:szCs w:val="24"/>
        </w:rPr>
        <w:t>o include the taking of the final</w:t>
      </w:r>
      <w:r w:rsidRPr="00A037B3">
        <w:rPr>
          <w:rFonts w:cs="Arial"/>
          <w:szCs w:val="24"/>
        </w:rPr>
        <w:t xml:space="preserve"> actions necessary to caus</w:t>
      </w:r>
      <w:r>
        <w:rPr>
          <w:rFonts w:cs="Arial"/>
          <w:szCs w:val="24"/>
        </w:rPr>
        <w:t>e the material</w:t>
      </w:r>
      <w:r w:rsidRPr="00A037B3">
        <w:rPr>
          <w:rFonts w:cs="Arial"/>
          <w:szCs w:val="24"/>
        </w:rPr>
        <w:t xml:space="preserve"> to leave Australia, such as posting the object or delivering it to a courier, </w:t>
      </w:r>
      <w:r>
        <w:rPr>
          <w:rFonts w:cs="Arial"/>
          <w:szCs w:val="24"/>
        </w:rPr>
        <w:t xml:space="preserve">shipping agent, </w:t>
      </w:r>
      <w:r w:rsidRPr="00A037B3">
        <w:rPr>
          <w:rFonts w:cs="Arial"/>
          <w:szCs w:val="24"/>
        </w:rPr>
        <w:t>wharf or airport for loading.</w:t>
      </w:r>
      <w:r>
        <w:rPr>
          <w:rFonts w:cs="Arial"/>
          <w:szCs w:val="24"/>
        </w:rPr>
        <w:t xml:space="preserve"> For example, section 9(4</w:t>
      </w:r>
      <w:proofErr w:type="gramStart"/>
      <w:r>
        <w:rPr>
          <w:rFonts w:cs="Arial"/>
          <w:szCs w:val="24"/>
        </w:rPr>
        <w:t>)(</w:t>
      </w:r>
      <w:proofErr w:type="gramEnd"/>
      <w:r>
        <w:rPr>
          <w:rFonts w:cs="Arial"/>
          <w:szCs w:val="24"/>
        </w:rPr>
        <w:t>a) might be simplified and modernised as follows:</w:t>
      </w:r>
    </w:p>
    <w:p w14:paraId="2ECA944F" w14:textId="77777777" w:rsidR="00F529AD" w:rsidRPr="00D76704" w:rsidRDefault="00F529AD" w:rsidP="006520F3">
      <w:pPr>
        <w:pStyle w:val="paragraph"/>
        <w:tabs>
          <w:tab w:val="left" w:pos="6663"/>
        </w:tabs>
        <w:spacing w:line="360" w:lineRule="auto"/>
        <w:ind w:left="284" w:right="283" w:firstLine="0"/>
        <w:rPr>
          <w:rFonts w:ascii="Arial" w:hAnsi="Arial" w:cs="Arial"/>
          <w:i/>
          <w:sz w:val="20"/>
        </w:rPr>
      </w:pPr>
      <w:r w:rsidRPr="008D2B86">
        <w:rPr>
          <w:rFonts w:ascii="Arial" w:hAnsi="Arial" w:cs="Arial"/>
          <w:i/>
          <w:sz w:val="20"/>
        </w:rPr>
        <w:t xml:space="preserve">For the purposes of this </w:t>
      </w:r>
      <w:r w:rsidRPr="000B4A83">
        <w:rPr>
          <w:rFonts w:ascii="Arial" w:hAnsi="Arial" w:cs="Arial"/>
          <w:i/>
          <w:sz w:val="20"/>
        </w:rPr>
        <w:t xml:space="preserve">section, an object </w:t>
      </w:r>
      <w:r>
        <w:rPr>
          <w:rFonts w:ascii="Arial" w:hAnsi="Arial" w:cs="Arial"/>
          <w:i/>
          <w:sz w:val="20"/>
        </w:rPr>
        <w:t>has been</w:t>
      </w:r>
      <w:r w:rsidRPr="000B4A83">
        <w:rPr>
          <w:rFonts w:ascii="Arial" w:hAnsi="Arial" w:cs="Arial"/>
          <w:i/>
          <w:sz w:val="20"/>
        </w:rPr>
        <w:t xml:space="preserve"> exported when </w:t>
      </w:r>
      <w:r>
        <w:rPr>
          <w:rFonts w:ascii="Arial" w:hAnsi="Arial" w:cs="Arial"/>
          <w:i/>
          <w:sz w:val="20"/>
        </w:rPr>
        <w:t>it</w:t>
      </w:r>
      <w:r w:rsidRPr="00D76704">
        <w:rPr>
          <w:rFonts w:ascii="Arial" w:hAnsi="Arial" w:cs="Arial"/>
          <w:i/>
          <w:sz w:val="20"/>
        </w:rPr>
        <w:t xml:space="preserve"> has been delivered into the control of a carrier, postal or courier service with the intention that it be sent out of Australia.</w:t>
      </w:r>
    </w:p>
    <w:p w14:paraId="2CA8658E" w14:textId="77777777" w:rsidR="00F529AD" w:rsidRPr="008D2B86" w:rsidRDefault="00F529AD" w:rsidP="00F529AD">
      <w:pPr>
        <w:pStyle w:val="paragraph"/>
        <w:tabs>
          <w:tab w:val="left" w:pos="6663"/>
        </w:tabs>
        <w:spacing w:line="360" w:lineRule="auto"/>
        <w:ind w:left="567" w:right="283" w:firstLine="0"/>
        <w:rPr>
          <w:rFonts w:ascii="Arial" w:hAnsi="Arial" w:cs="Arial"/>
          <w:i/>
          <w:sz w:val="20"/>
        </w:rPr>
      </w:pPr>
    </w:p>
    <w:p w14:paraId="0820779F" w14:textId="77777777" w:rsidR="00AA7153" w:rsidRDefault="00F529AD" w:rsidP="00F529AD">
      <w:pPr>
        <w:rPr>
          <w:rFonts w:cs="Arial"/>
          <w:szCs w:val="24"/>
        </w:rPr>
      </w:pPr>
      <w:r>
        <w:rPr>
          <w:rFonts w:cs="Arial"/>
          <w:szCs w:val="24"/>
        </w:rPr>
        <w:t>In addition, export could also occur with the lodgement of documentation for the purposes of sending material out of the country.</w:t>
      </w:r>
      <w:r>
        <w:rPr>
          <w:rStyle w:val="FootnoteReference"/>
          <w:rFonts w:cs="Arial"/>
          <w:szCs w:val="24"/>
        </w:rPr>
        <w:footnoteReference w:id="178"/>
      </w:r>
    </w:p>
    <w:p w14:paraId="42153518" w14:textId="419EE769" w:rsidR="00F529AD" w:rsidRDefault="00F529AD" w:rsidP="00F529AD">
      <w:pPr>
        <w:rPr>
          <w:rFonts w:cs="Arial"/>
          <w:szCs w:val="24"/>
        </w:rPr>
      </w:pPr>
      <w:r>
        <w:rPr>
          <w:rFonts w:cs="Arial"/>
          <w:szCs w:val="24"/>
        </w:rPr>
        <w:t>In drafting it s</w:t>
      </w:r>
      <w:r w:rsidR="008E696C">
        <w:rPr>
          <w:rFonts w:cs="Arial"/>
          <w:szCs w:val="24"/>
        </w:rPr>
        <w:t xml:space="preserve">hould be clarified that the </w:t>
      </w:r>
      <w:r>
        <w:rPr>
          <w:rFonts w:cs="Arial"/>
          <w:szCs w:val="24"/>
        </w:rPr>
        <w:t>Act is not intended to impose criminal sanctions on carriers and freight forwarders. This interpretation is open in the current Act but getting the co-operation of the carriers and forwarders is better achieved through co-operation and education than a stick.</w:t>
      </w:r>
    </w:p>
    <w:p w14:paraId="06362A67" w14:textId="77777777" w:rsidR="00AA7153" w:rsidRDefault="00F529AD" w:rsidP="00525F38">
      <w:pPr>
        <w:pStyle w:val="Heading3"/>
      </w:pPr>
      <w:r>
        <w:t>Destroying, damaging or dis</w:t>
      </w:r>
      <w:r w:rsidR="00B04D5D">
        <w:t>as</w:t>
      </w:r>
      <w:r>
        <w:t>sembling Australian Protected Material</w:t>
      </w:r>
    </w:p>
    <w:p w14:paraId="57B9D74E" w14:textId="77777777" w:rsidR="00AA7153" w:rsidRDefault="00F529AD" w:rsidP="00F529AD">
      <w:pPr>
        <w:rPr>
          <w:rFonts w:cs="Arial"/>
          <w:szCs w:val="24"/>
        </w:rPr>
      </w:pPr>
      <w:r>
        <w:rPr>
          <w:rFonts w:cs="Arial"/>
          <w:szCs w:val="24"/>
        </w:rPr>
        <w:t>Consideration has been given to creating an offence prohibiting an owne</w:t>
      </w:r>
      <w:r w:rsidR="008E696C">
        <w:rPr>
          <w:rFonts w:cs="Arial"/>
          <w:szCs w:val="24"/>
        </w:rPr>
        <w:t>r from damaging or destroying</w:t>
      </w:r>
      <w:r>
        <w:rPr>
          <w:rFonts w:cs="Arial"/>
          <w:szCs w:val="24"/>
        </w:rPr>
        <w:t xml:space="preserve"> Australian Protected Material or Declared Australian Protected Material but the constitutional power for such legislation may be limited.</w:t>
      </w:r>
      <w:r>
        <w:rPr>
          <w:rStyle w:val="FootnoteReference"/>
          <w:rFonts w:cs="Arial"/>
          <w:szCs w:val="24"/>
        </w:rPr>
        <w:footnoteReference w:id="179"/>
      </w:r>
    </w:p>
    <w:p w14:paraId="1ACCEB7A" w14:textId="2EFB74F6" w:rsidR="00F529AD" w:rsidRPr="00A037B3" w:rsidRDefault="00F529AD" w:rsidP="00F529AD">
      <w:pPr>
        <w:rPr>
          <w:rFonts w:cs="Arial"/>
          <w:szCs w:val="24"/>
        </w:rPr>
      </w:pPr>
      <w:r>
        <w:rPr>
          <w:rFonts w:cs="Arial"/>
          <w:szCs w:val="24"/>
        </w:rPr>
        <w:t xml:space="preserve">However, advice indicates that it would </w:t>
      </w:r>
      <w:r w:rsidR="00315989">
        <w:rPr>
          <w:rFonts w:cs="Arial"/>
          <w:szCs w:val="24"/>
        </w:rPr>
        <w:t xml:space="preserve">only </w:t>
      </w:r>
      <w:r>
        <w:rPr>
          <w:rFonts w:cs="Arial"/>
          <w:szCs w:val="24"/>
        </w:rPr>
        <w:t>be possible to prohibit causing damage to objects where this is done for the purposes of illegal export</w:t>
      </w:r>
      <w:r w:rsidR="00801A32">
        <w:rPr>
          <w:rFonts w:cs="Arial"/>
          <w:szCs w:val="24"/>
        </w:rPr>
        <w:t>—</w:t>
      </w:r>
      <w:r>
        <w:rPr>
          <w:rFonts w:cs="Arial"/>
          <w:szCs w:val="24"/>
        </w:rPr>
        <w:t>for example, damaging a fossil or a rock painting by excavating it, or dis</w:t>
      </w:r>
      <w:r w:rsidR="00B04D5D">
        <w:rPr>
          <w:rFonts w:cs="Arial"/>
          <w:szCs w:val="24"/>
        </w:rPr>
        <w:t>as</w:t>
      </w:r>
      <w:r>
        <w:rPr>
          <w:rFonts w:cs="Arial"/>
          <w:szCs w:val="24"/>
        </w:rPr>
        <w:t>sembling a piece of heritage</w:t>
      </w:r>
      <w:r w:rsidR="00B04D5D">
        <w:rPr>
          <w:rFonts w:cs="Arial"/>
          <w:szCs w:val="24"/>
        </w:rPr>
        <w:t xml:space="preserve"> machinery, for the purposes of</w:t>
      </w:r>
      <w:r>
        <w:rPr>
          <w:rFonts w:cs="Arial"/>
          <w:szCs w:val="24"/>
        </w:rPr>
        <w:t xml:space="preserve"> export. Similarly the external affairs power would support a legislative provision that makes it an offence to cause damage </w:t>
      </w:r>
      <w:r w:rsidR="00B04D5D">
        <w:rPr>
          <w:rFonts w:cs="Arial"/>
          <w:szCs w:val="24"/>
        </w:rPr>
        <w:t xml:space="preserve">to </w:t>
      </w:r>
      <w:r>
        <w:rPr>
          <w:rFonts w:cs="Arial"/>
          <w:szCs w:val="24"/>
        </w:rPr>
        <w:t>material with a view to disguising it so that it could be illegally exported without detection. These offences are included in the new model.</w:t>
      </w:r>
    </w:p>
    <w:p w14:paraId="19968D8D" w14:textId="33A7745E" w:rsidR="00AA7153" w:rsidRDefault="00F529AD" w:rsidP="00052178">
      <w:pPr>
        <w:pStyle w:val="Heading2"/>
      </w:pPr>
      <w:bookmarkStart w:id="324" w:name="_Toc430867349"/>
      <w:bookmarkStart w:id="325" w:name="_Toc433906613"/>
      <w:r w:rsidRPr="002C4669">
        <w:lastRenderedPageBreak/>
        <w:t xml:space="preserve">Offences relating to illegally exported </w:t>
      </w:r>
      <w:bookmarkEnd w:id="324"/>
      <w:r w:rsidR="008027A0">
        <w:t xml:space="preserve">foreign </w:t>
      </w:r>
      <w:r w:rsidR="00705A2A">
        <w:t>cultural material</w:t>
      </w:r>
      <w:bookmarkEnd w:id="325"/>
    </w:p>
    <w:p w14:paraId="6D904E2D" w14:textId="77777777" w:rsidR="00AA7153" w:rsidRDefault="00F529AD" w:rsidP="00F529AD">
      <w:pPr>
        <w:rPr>
          <w:rFonts w:cs="Arial"/>
          <w:szCs w:val="24"/>
        </w:rPr>
      </w:pPr>
      <w:r>
        <w:rPr>
          <w:rFonts w:cs="Arial"/>
          <w:szCs w:val="24"/>
        </w:rPr>
        <w:t>The proposed model would retain but amend the current offence</w:t>
      </w:r>
      <w:r>
        <w:rPr>
          <w:rStyle w:val="FootnoteReference"/>
          <w:rFonts w:cs="Arial"/>
          <w:szCs w:val="24"/>
        </w:rPr>
        <w:footnoteReference w:id="180"/>
      </w:r>
      <w:r>
        <w:rPr>
          <w:rFonts w:cs="Arial"/>
          <w:szCs w:val="24"/>
        </w:rPr>
        <w:t xml:space="preserve"> of </w:t>
      </w:r>
      <w:r w:rsidRPr="00A037B3">
        <w:rPr>
          <w:rFonts w:cs="Arial"/>
          <w:szCs w:val="24"/>
        </w:rPr>
        <w:t>importing a</w:t>
      </w:r>
      <w:r>
        <w:rPr>
          <w:rFonts w:cs="Arial"/>
          <w:szCs w:val="24"/>
        </w:rPr>
        <w:t xml:space="preserve"> protected</w:t>
      </w:r>
      <w:r w:rsidRPr="00A037B3">
        <w:rPr>
          <w:rFonts w:cs="Arial"/>
          <w:szCs w:val="24"/>
        </w:rPr>
        <w:t xml:space="preserve"> object </w:t>
      </w:r>
      <w:r>
        <w:rPr>
          <w:rFonts w:cs="Arial"/>
          <w:szCs w:val="24"/>
        </w:rPr>
        <w:t xml:space="preserve">that has been illegally exported from its country of origin. </w:t>
      </w:r>
    </w:p>
    <w:p w14:paraId="3443CB6E" w14:textId="5BE53AD0" w:rsidR="00F529AD" w:rsidRDefault="00F529AD" w:rsidP="00F529AD">
      <w:r>
        <w:t xml:space="preserve">Currently, to prosecute a person under this offence it is necessary to prove four physical elements and </w:t>
      </w:r>
      <w:r w:rsidR="008027A0">
        <w:t>their associated fault elements.</w:t>
      </w:r>
    </w:p>
    <w:tbl>
      <w:tblPr>
        <w:tblStyle w:val="TableGrid"/>
        <w:tblW w:w="0" w:type="auto"/>
        <w:tblInd w:w="293" w:type="dxa"/>
        <w:tblBorders>
          <w:top w:val="single" w:sz="4" w:space="0" w:color="026582"/>
          <w:left w:val="single" w:sz="4" w:space="0" w:color="026582"/>
          <w:bottom w:val="single" w:sz="4" w:space="0" w:color="026582"/>
          <w:right w:val="single" w:sz="4" w:space="0" w:color="026582"/>
          <w:insideH w:val="single" w:sz="4" w:space="0" w:color="026582"/>
          <w:insideV w:val="single" w:sz="4" w:space="0" w:color="026582"/>
        </w:tblBorders>
        <w:tblLook w:val="04A0" w:firstRow="1" w:lastRow="0" w:firstColumn="1" w:lastColumn="0" w:noHBand="0" w:noVBand="1"/>
        <w:tblCaption w:val="Fault elements for offences relating to unlawful imports"/>
        <w:tblDescription w:val="For physical element 1, the import of the object, the fault element is intention. For physical element 2, the object is a protected object of a foreign country, the fault element is knowledge. For physical element 3, the object has been exported from that country, the fault element is knowledge. For physical element 4, the export was prohibited by a law of that country relating to cultural property, the fault element is knowledge."/>
      </w:tblPr>
      <w:tblGrid>
        <w:gridCol w:w="567"/>
        <w:gridCol w:w="5197"/>
        <w:gridCol w:w="2708"/>
      </w:tblGrid>
      <w:tr w:rsidR="00F529AD" w14:paraId="2841C788" w14:textId="77777777" w:rsidTr="006520F3">
        <w:trPr>
          <w:tblHeader/>
        </w:trPr>
        <w:tc>
          <w:tcPr>
            <w:tcW w:w="567" w:type="dxa"/>
            <w:tcBorders>
              <w:bottom w:val="single" w:sz="4" w:space="0" w:color="026582"/>
              <w:right w:val="nil"/>
            </w:tcBorders>
            <w:shd w:val="clear" w:color="auto" w:fill="D4EAEC"/>
          </w:tcPr>
          <w:p w14:paraId="27E00D62" w14:textId="77777777" w:rsidR="00F529AD" w:rsidRDefault="00F529AD" w:rsidP="00FA1A6C">
            <w:pPr>
              <w:tabs>
                <w:tab w:val="left" w:pos="709"/>
                <w:tab w:val="left" w:pos="1418"/>
                <w:tab w:val="left" w:pos="2126"/>
                <w:tab w:val="left" w:pos="2835"/>
                <w:tab w:val="left" w:pos="3544"/>
                <w:tab w:val="left" w:pos="4253"/>
                <w:tab w:val="left" w:pos="4961"/>
                <w:tab w:val="left" w:pos="5670"/>
              </w:tabs>
              <w:spacing w:after="160" w:line="336" w:lineRule="auto"/>
              <w:jc w:val="both"/>
            </w:pPr>
          </w:p>
        </w:tc>
        <w:tc>
          <w:tcPr>
            <w:tcW w:w="5197" w:type="dxa"/>
            <w:tcBorders>
              <w:left w:val="nil"/>
              <w:bottom w:val="single" w:sz="4" w:space="0" w:color="026582"/>
            </w:tcBorders>
            <w:shd w:val="clear" w:color="auto" w:fill="D4EAEC"/>
            <w:hideMark/>
          </w:tcPr>
          <w:p w14:paraId="596E3AF2" w14:textId="77777777" w:rsidR="00F529AD" w:rsidRDefault="00F529AD" w:rsidP="00FA1A6C">
            <w:pPr>
              <w:tabs>
                <w:tab w:val="left" w:pos="709"/>
                <w:tab w:val="left" w:pos="1418"/>
                <w:tab w:val="left" w:pos="2126"/>
                <w:tab w:val="left" w:pos="2835"/>
                <w:tab w:val="left" w:pos="3544"/>
                <w:tab w:val="left" w:pos="4253"/>
                <w:tab w:val="left" w:pos="4961"/>
                <w:tab w:val="left" w:pos="5670"/>
              </w:tabs>
              <w:spacing w:after="160" w:line="336" w:lineRule="auto"/>
              <w:jc w:val="both"/>
            </w:pPr>
            <w:r>
              <w:rPr>
                <w:b/>
              </w:rPr>
              <w:t>Physical Element</w:t>
            </w:r>
          </w:p>
        </w:tc>
        <w:tc>
          <w:tcPr>
            <w:tcW w:w="2708" w:type="dxa"/>
            <w:shd w:val="clear" w:color="auto" w:fill="D4EAEC"/>
            <w:hideMark/>
          </w:tcPr>
          <w:p w14:paraId="74D847A7" w14:textId="77777777" w:rsidR="00F529AD" w:rsidRDefault="00F529AD" w:rsidP="00FA1A6C">
            <w:pPr>
              <w:tabs>
                <w:tab w:val="left" w:pos="709"/>
                <w:tab w:val="left" w:pos="1418"/>
                <w:tab w:val="left" w:pos="2126"/>
                <w:tab w:val="left" w:pos="2835"/>
                <w:tab w:val="left" w:pos="3544"/>
                <w:tab w:val="left" w:pos="4253"/>
                <w:tab w:val="left" w:pos="4961"/>
                <w:tab w:val="left" w:pos="5670"/>
              </w:tabs>
              <w:spacing w:after="160" w:line="336" w:lineRule="auto"/>
              <w:jc w:val="both"/>
            </w:pPr>
            <w:r>
              <w:rPr>
                <w:b/>
              </w:rPr>
              <w:t>Fault Element</w:t>
            </w:r>
          </w:p>
        </w:tc>
      </w:tr>
      <w:tr w:rsidR="00F529AD" w14:paraId="7D799609" w14:textId="77777777" w:rsidTr="00FA1A6C">
        <w:tc>
          <w:tcPr>
            <w:tcW w:w="567" w:type="dxa"/>
            <w:tcBorders>
              <w:right w:val="nil"/>
            </w:tcBorders>
            <w:hideMark/>
          </w:tcPr>
          <w:p w14:paraId="7E907B9A" w14:textId="77777777" w:rsidR="00F529AD" w:rsidRDefault="00F529AD" w:rsidP="00FA1A6C">
            <w:pPr>
              <w:tabs>
                <w:tab w:val="left" w:pos="709"/>
                <w:tab w:val="left" w:pos="1418"/>
                <w:tab w:val="left" w:pos="2126"/>
                <w:tab w:val="left" w:pos="2835"/>
                <w:tab w:val="left" w:pos="3544"/>
                <w:tab w:val="left" w:pos="4253"/>
                <w:tab w:val="left" w:pos="4961"/>
                <w:tab w:val="left" w:pos="5670"/>
              </w:tabs>
              <w:spacing w:after="160" w:line="336" w:lineRule="auto"/>
              <w:jc w:val="both"/>
            </w:pPr>
            <w:r>
              <w:t>1.</w:t>
            </w:r>
          </w:p>
        </w:tc>
        <w:tc>
          <w:tcPr>
            <w:tcW w:w="5197" w:type="dxa"/>
            <w:tcBorders>
              <w:left w:val="nil"/>
            </w:tcBorders>
            <w:hideMark/>
          </w:tcPr>
          <w:p w14:paraId="07E2C2ED" w14:textId="77777777" w:rsidR="00F529AD" w:rsidRDefault="00F529AD" w:rsidP="00FA1A6C">
            <w:pPr>
              <w:tabs>
                <w:tab w:val="left" w:pos="709"/>
                <w:tab w:val="left" w:pos="1418"/>
                <w:tab w:val="left" w:pos="2126"/>
                <w:tab w:val="left" w:pos="2835"/>
                <w:tab w:val="left" w:pos="3544"/>
                <w:tab w:val="left" w:pos="4253"/>
                <w:tab w:val="left" w:pos="4961"/>
                <w:tab w:val="left" w:pos="5670"/>
              </w:tabs>
              <w:spacing w:after="160" w:line="336" w:lineRule="auto"/>
              <w:jc w:val="both"/>
            </w:pPr>
            <w:r>
              <w:t>Import of the object</w:t>
            </w:r>
          </w:p>
        </w:tc>
        <w:tc>
          <w:tcPr>
            <w:tcW w:w="2708" w:type="dxa"/>
            <w:hideMark/>
          </w:tcPr>
          <w:p w14:paraId="215CBADE" w14:textId="77777777" w:rsidR="00F529AD" w:rsidRDefault="00F529AD" w:rsidP="00FA1A6C">
            <w:pPr>
              <w:tabs>
                <w:tab w:val="left" w:pos="709"/>
                <w:tab w:val="left" w:pos="1418"/>
                <w:tab w:val="left" w:pos="2126"/>
                <w:tab w:val="left" w:pos="2835"/>
                <w:tab w:val="left" w:pos="3544"/>
                <w:tab w:val="left" w:pos="4253"/>
                <w:tab w:val="left" w:pos="4961"/>
                <w:tab w:val="left" w:pos="5670"/>
              </w:tabs>
              <w:spacing w:after="160" w:line="336" w:lineRule="auto"/>
              <w:jc w:val="both"/>
            </w:pPr>
            <w:r>
              <w:t>Intention</w:t>
            </w:r>
          </w:p>
        </w:tc>
      </w:tr>
      <w:tr w:rsidR="00F529AD" w14:paraId="574D2062" w14:textId="77777777" w:rsidTr="00FA1A6C">
        <w:tc>
          <w:tcPr>
            <w:tcW w:w="567" w:type="dxa"/>
            <w:tcBorders>
              <w:right w:val="nil"/>
            </w:tcBorders>
            <w:hideMark/>
          </w:tcPr>
          <w:p w14:paraId="3C7DCABC" w14:textId="77777777" w:rsidR="00F529AD" w:rsidRDefault="00F529AD" w:rsidP="00FA1A6C">
            <w:pPr>
              <w:tabs>
                <w:tab w:val="left" w:pos="709"/>
                <w:tab w:val="left" w:pos="1418"/>
                <w:tab w:val="left" w:pos="2126"/>
                <w:tab w:val="left" w:pos="2835"/>
                <w:tab w:val="left" w:pos="3544"/>
                <w:tab w:val="left" w:pos="4253"/>
                <w:tab w:val="left" w:pos="4961"/>
                <w:tab w:val="left" w:pos="5670"/>
              </w:tabs>
              <w:spacing w:after="160" w:line="336" w:lineRule="auto"/>
              <w:jc w:val="both"/>
            </w:pPr>
            <w:r>
              <w:t xml:space="preserve">2. </w:t>
            </w:r>
          </w:p>
        </w:tc>
        <w:tc>
          <w:tcPr>
            <w:tcW w:w="5197" w:type="dxa"/>
            <w:tcBorders>
              <w:left w:val="nil"/>
            </w:tcBorders>
            <w:hideMark/>
          </w:tcPr>
          <w:p w14:paraId="40D764B1" w14:textId="77777777" w:rsidR="00F529AD" w:rsidRDefault="00F529AD" w:rsidP="00FA1A6C">
            <w:pPr>
              <w:tabs>
                <w:tab w:val="left" w:pos="709"/>
                <w:tab w:val="left" w:pos="1418"/>
                <w:tab w:val="left" w:pos="2126"/>
                <w:tab w:val="left" w:pos="2835"/>
                <w:tab w:val="left" w:pos="3544"/>
                <w:tab w:val="left" w:pos="4253"/>
                <w:tab w:val="left" w:pos="4961"/>
                <w:tab w:val="left" w:pos="5670"/>
              </w:tabs>
              <w:spacing w:after="160" w:line="336" w:lineRule="auto"/>
              <w:jc w:val="both"/>
            </w:pPr>
            <w:r>
              <w:t>The object is a protected object of a foreign country</w:t>
            </w:r>
          </w:p>
        </w:tc>
        <w:tc>
          <w:tcPr>
            <w:tcW w:w="2708" w:type="dxa"/>
            <w:hideMark/>
          </w:tcPr>
          <w:p w14:paraId="223E9E56" w14:textId="77777777" w:rsidR="00F529AD" w:rsidRDefault="00F529AD" w:rsidP="00FA1A6C">
            <w:pPr>
              <w:tabs>
                <w:tab w:val="left" w:pos="709"/>
                <w:tab w:val="left" w:pos="1418"/>
                <w:tab w:val="left" w:pos="2126"/>
                <w:tab w:val="left" w:pos="2835"/>
                <w:tab w:val="left" w:pos="3544"/>
                <w:tab w:val="left" w:pos="4253"/>
                <w:tab w:val="left" w:pos="4961"/>
                <w:tab w:val="left" w:pos="5670"/>
              </w:tabs>
              <w:spacing w:after="160" w:line="336" w:lineRule="auto"/>
              <w:jc w:val="both"/>
            </w:pPr>
            <w:r>
              <w:t>Knowledge</w:t>
            </w:r>
          </w:p>
        </w:tc>
      </w:tr>
      <w:tr w:rsidR="00F529AD" w14:paraId="65ED1C8E" w14:textId="77777777" w:rsidTr="00FA1A6C">
        <w:tc>
          <w:tcPr>
            <w:tcW w:w="567" w:type="dxa"/>
            <w:tcBorders>
              <w:right w:val="nil"/>
            </w:tcBorders>
            <w:hideMark/>
          </w:tcPr>
          <w:p w14:paraId="44E032F5" w14:textId="77777777" w:rsidR="00F529AD" w:rsidRDefault="00F529AD" w:rsidP="00FA1A6C">
            <w:pPr>
              <w:tabs>
                <w:tab w:val="left" w:pos="709"/>
                <w:tab w:val="left" w:pos="1418"/>
                <w:tab w:val="left" w:pos="2126"/>
                <w:tab w:val="left" w:pos="2835"/>
                <w:tab w:val="left" w:pos="3544"/>
                <w:tab w:val="left" w:pos="4253"/>
                <w:tab w:val="left" w:pos="4961"/>
                <w:tab w:val="left" w:pos="5670"/>
              </w:tabs>
              <w:spacing w:after="160" w:line="336" w:lineRule="auto"/>
              <w:jc w:val="both"/>
            </w:pPr>
            <w:r>
              <w:t>3.</w:t>
            </w:r>
          </w:p>
        </w:tc>
        <w:tc>
          <w:tcPr>
            <w:tcW w:w="5197" w:type="dxa"/>
            <w:tcBorders>
              <w:left w:val="nil"/>
            </w:tcBorders>
            <w:hideMark/>
          </w:tcPr>
          <w:p w14:paraId="680FB54C" w14:textId="77777777" w:rsidR="00F529AD" w:rsidRDefault="00F529AD" w:rsidP="00FA1A6C">
            <w:pPr>
              <w:tabs>
                <w:tab w:val="left" w:pos="709"/>
                <w:tab w:val="left" w:pos="1418"/>
                <w:tab w:val="left" w:pos="2126"/>
                <w:tab w:val="left" w:pos="2835"/>
                <w:tab w:val="left" w:pos="3544"/>
                <w:tab w:val="left" w:pos="4253"/>
                <w:tab w:val="left" w:pos="4961"/>
                <w:tab w:val="left" w:pos="5670"/>
              </w:tabs>
              <w:spacing w:after="160" w:line="336" w:lineRule="auto"/>
              <w:jc w:val="both"/>
            </w:pPr>
            <w:r>
              <w:t>The object has been exported from that country</w:t>
            </w:r>
          </w:p>
        </w:tc>
        <w:tc>
          <w:tcPr>
            <w:tcW w:w="2708" w:type="dxa"/>
            <w:hideMark/>
          </w:tcPr>
          <w:p w14:paraId="3DAB0BB6" w14:textId="77777777" w:rsidR="00F529AD" w:rsidRDefault="00F529AD" w:rsidP="00FA1A6C">
            <w:pPr>
              <w:tabs>
                <w:tab w:val="left" w:pos="709"/>
                <w:tab w:val="left" w:pos="1418"/>
                <w:tab w:val="left" w:pos="2126"/>
                <w:tab w:val="left" w:pos="2835"/>
                <w:tab w:val="left" w:pos="3544"/>
                <w:tab w:val="left" w:pos="4253"/>
                <w:tab w:val="left" w:pos="4961"/>
                <w:tab w:val="left" w:pos="5670"/>
              </w:tabs>
              <w:spacing w:after="160" w:line="336" w:lineRule="auto"/>
              <w:jc w:val="both"/>
            </w:pPr>
            <w:r>
              <w:t>Knowledge</w:t>
            </w:r>
          </w:p>
        </w:tc>
      </w:tr>
      <w:tr w:rsidR="00F529AD" w14:paraId="3B643BE9" w14:textId="77777777" w:rsidTr="00FA1A6C">
        <w:tc>
          <w:tcPr>
            <w:tcW w:w="567" w:type="dxa"/>
            <w:tcBorders>
              <w:right w:val="nil"/>
            </w:tcBorders>
            <w:hideMark/>
          </w:tcPr>
          <w:p w14:paraId="546D72D0" w14:textId="77777777" w:rsidR="00F529AD" w:rsidRDefault="00F529AD" w:rsidP="00FA1A6C">
            <w:pPr>
              <w:tabs>
                <w:tab w:val="left" w:pos="709"/>
                <w:tab w:val="left" w:pos="1418"/>
                <w:tab w:val="left" w:pos="2126"/>
                <w:tab w:val="left" w:pos="2835"/>
                <w:tab w:val="left" w:pos="3544"/>
                <w:tab w:val="left" w:pos="4253"/>
                <w:tab w:val="left" w:pos="4961"/>
                <w:tab w:val="left" w:pos="5670"/>
              </w:tabs>
              <w:spacing w:after="160" w:line="336" w:lineRule="auto"/>
              <w:jc w:val="both"/>
            </w:pPr>
            <w:r>
              <w:t>4.</w:t>
            </w:r>
          </w:p>
        </w:tc>
        <w:tc>
          <w:tcPr>
            <w:tcW w:w="5197" w:type="dxa"/>
            <w:tcBorders>
              <w:left w:val="nil"/>
            </w:tcBorders>
            <w:hideMark/>
          </w:tcPr>
          <w:p w14:paraId="05DA7FBD" w14:textId="77777777" w:rsidR="00F529AD" w:rsidRDefault="00F529AD" w:rsidP="00FA1A6C">
            <w:pPr>
              <w:tabs>
                <w:tab w:val="left" w:pos="709"/>
                <w:tab w:val="left" w:pos="1418"/>
                <w:tab w:val="left" w:pos="2126"/>
                <w:tab w:val="left" w:pos="2835"/>
                <w:tab w:val="left" w:pos="3544"/>
                <w:tab w:val="left" w:pos="4253"/>
                <w:tab w:val="left" w:pos="4961"/>
                <w:tab w:val="left" w:pos="5670"/>
              </w:tabs>
              <w:spacing w:after="160" w:line="336" w:lineRule="auto"/>
              <w:jc w:val="both"/>
            </w:pPr>
            <w:r>
              <w:t>The export was prohibited by a law of that country relating to cultural property</w:t>
            </w:r>
          </w:p>
        </w:tc>
        <w:tc>
          <w:tcPr>
            <w:tcW w:w="2708" w:type="dxa"/>
            <w:hideMark/>
          </w:tcPr>
          <w:p w14:paraId="2A6337E6" w14:textId="77777777" w:rsidR="00F529AD" w:rsidRDefault="00F529AD" w:rsidP="00FA1A6C">
            <w:pPr>
              <w:tabs>
                <w:tab w:val="left" w:pos="709"/>
                <w:tab w:val="left" w:pos="1418"/>
                <w:tab w:val="left" w:pos="2126"/>
                <w:tab w:val="left" w:pos="2835"/>
                <w:tab w:val="left" w:pos="3544"/>
                <w:tab w:val="left" w:pos="4253"/>
                <w:tab w:val="left" w:pos="4961"/>
                <w:tab w:val="left" w:pos="5670"/>
              </w:tabs>
              <w:spacing w:after="160" w:line="336" w:lineRule="auto"/>
              <w:jc w:val="both"/>
            </w:pPr>
            <w:r>
              <w:t>Knowledge</w:t>
            </w:r>
          </w:p>
        </w:tc>
      </w:tr>
    </w:tbl>
    <w:p w14:paraId="0F5B2CD1" w14:textId="77777777" w:rsidR="00F529AD" w:rsidRDefault="00F529AD" w:rsidP="00F529AD">
      <w:pPr>
        <w:rPr>
          <w:szCs w:val="20"/>
        </w:rPr>
      </w:pPr>
    </w:p>
    <w:p w14:paraId="21F4F081" w14:textId="77777777" w:rsidR="00AA7153" w:rsidRDefault="00F529AD" w:rsidP="00F529AD">
      <w:r>
        <w:t>Thus, the prosecution must prove beyond reasonable doubt that the defendant had knowledge of the matters in elements 2, 3 and 4. It is strongly recommended that consideration be given to varying the burden of proof and simplifying these hurdles.</w:t>
      </w:r>
    </w:p>
    <w:p w14:paraId="4A04DE62" w14:textId="7071BCA8" w:rsidR="00AA7153" w:rsidRDefault="00F529AD" w:rsidP="00F529AD">
      <w:r>
        <w:t>Denial of knowledge is the first resort of any person accused of the unlawful import of cultural material. Whether the defendant had knowledge should not be the test. The purpose of such sanctions is to promote the due diligence of buyers and importers of cultural material. It is not enough to say ‘I didn’t know’</w:t>
      </w:r>
      <w:r w:rsidR="00801A32">
        <w:t>—</w:t>
      </w:r>
      <w:r>
        <w:t>these are matters that the buyer/importer should be expected to know</w:t>
      </w:r>
      <w:r w:rsidR="00315989">
        <w:t xml:space="preserve"> or to find out</w:t>
      </w:r>
      <w:r>
        <w:t xml:space="preserve">. The whole approach of </w:t>
      </w:r>
      <w:r w:rsidR="00315989">
        <w:t xml:space="preserve">the Act and our related treaty obligations </w:t>
      </w:r>
      <w:r>
        <w:t>is to oblige importers of foreign cultural material to undertake due diligence enquiries prior to acquisition and prior to import.</w:t>
      </w:r>
    </w:p>
    <w:p w14:paraId="7CDA3AF9" w14:textId="4CBB56FC" w:rsidR="00F529AD" w:rsidRDefault="00F529AD" w:rsidP="00F529AD">
      <w:r>
        <w:t>Perhaps the intention/knowledge element of physical element 2 may be dealt with by the insertion of additional text as follows: knowing that ‘</w:t>
      </w:r>
      <w:r>
        <w:rPr>
          <w:i/>
        </w:rPr>
        <w:t xml:space="preserve">or ought reasonably to have known’ </w:t>
      </w:r>
      <w:r>
        <w:t>that the object was a protected object of that country.</w:t>
      </w:r>
    </w:p>
    <w:p w14:paraId="71B924DC" w14:textId="1CB51712" w:rsidR="00055B3D" w:rsidRDefault="00F529AD" w:rsidP="00F529AD">
      <w:r>
        <w:lastRenderedPageBreak/>
        <w:t>As to element 4, it is suggested that the importer bear the evidentiary burden to demonstrate that the object has been legally exported from its country o</w:t>
      </w:r>
      <w:r w:rsidR="00B04D5D">
        <w:t>f origin (through the provision</w:t>
      </w:r>
      <w:r>
        <w:t xml:space="preserve"> of </w:t>
      </w:r>
      <w:r w:rsidR="00B04D5D">
        <w:t>an export permit or</w:t>
      </w:r>
      <w:r>
        <w:t xml:space="preserve"> certificate)</w:t>
      </w:r>
      <w:r w:rsidR="00315989">
        <w:t>.</w:t>
      </w:r>
      <w:r>
        <w:t xml:space="preserve"> If the importer has performed proper due diligence enquiries it will be able, quickly and inexpensively, to present the necessary export papers.</w:t>
      </w:r>
    </w:p>
    <w:p w14:paraId="627A703B" w14:textId="77777777" w:rsidR="00AA7153" w:rsidRDefault="00055B3D" w:rsidP="00F529AD">
      <w:r>
        <w:t xml:space="preserve">How these things are best achieved is a matter for drafting. </w:t>
      </w:r>
    </w:p>
    <w:p w14:paraId="5D546C47" w14:textId="68A17444" w:rsidR="00F529AD" w:rsidRPr="002C4669" w:rsidRDefault="00F529AD" w:rsidP="00052178">
      <w:pPr>
        <w:pStyle w:val="Heading2"/>
      </w:pPr>
      <w:bookmarkStart w:id="326" w:name="_Toc430867350"/>
      <w:bookmarkStart w:id="327" w:name="_Toc433906614"/>
      <w:r w:rsidRPr="002C4669">
        <w:t xml:space="preserve">Offences relating to stolen and looted </w:t>
      </w:r>
      <w:r w:rsidR="008027A0">
        <w:t xml:space="preserve">foreign </w:t>
      </w:r>
      <w:r w:rsidRPr="002C4669">
        <w:t>cultural material</w:t>
      </w:r>
      <w:bookmarkEnd w:id="326"/>
      <w:bookmarkEnd w:id="327"/>
    </w:p>
    <w:p w14:paraId="7191E647" w14:textId="77777777" w:rsidR="00AA7153" w:rsidRDefault="00F529AD" w:rsidP="00F529AD">
      <w:pPr>
        <w:rPr>
          <w:rFonts w:cs="Arial"/>
          <w:szCs w:val="24"/>
        </w:rPr>
      </w:pPr>
      <w:r>
        <w:rPr>
          <w:rFonts w:cs="Arial"/>
          <w:szCs w:val="24"/>
        </w:rPr>
        <w:t>To strengthen Au</w:t>
      </w:r>
      <w:r w:rsidR="008E696C">
        <w:rPr>
          <w:rFonts w:cs="Arial"/>
          <w:szCs w:val="24"/>
        </w:rPr>
        <w:t>stralia’s commitment to the</w:t>
      </w:r>
      <w:r>
        <w:rPr>
          <w:rFonts w:cs="Arial"/>
          <w:szCs w:val="24"/>
        </w:rPr>
        <w:t xml:space="preserve"> UNESCO Convention </w:t>
      </w:r>
      <w:r w:rsidR="008E696C">
        <w:rPr>
          <w:rFonts w:cs="Arial"/>
          <w:szCs w:val="24"/>
        </w:rPr>
        <w:t xml:space="preserve">1970 </w:t>
      </w:r>
      <w:r>
        <w:rPr>
          <w:rFonts w:cs="Arial"/>
          <w:szCs w:val="24"/>
        </w:rPr>
        <w:t xml:space="preserve">and address the illicit trade in cultural material more broadly, the new model introduces offences in relation to the import of stolen and looted cultural material. </w:t>
      </w:r>
    </w:p>
    <w:p w14:paraId="7239EB17" w14:textId="77777777" w:rsidR="00AA7153" w:rsidRDefault="00D31A20" w:rsidP="00D31A20">
      <w:pPr>
        <w:rPr>
          <w:rFonts w:cs="Arial"/>
          <w:szCs w:val="24"/>
        </w:rPr>
      </w:pPr>
      <w:r>
        <w:rPr>
          <w:rFonts w:cs="Arial"/>
          <w:szCs w:val="24"/>
        </w:rPr>
        <w:t>Reliance on the present illegal export mechanism does not go far enough. Theft should never be condoned, whether or not the country of origin has an export regime for cultural material. Moreover, where a country is experiencing war or civil unrest the government may not be fully functioning and the export certification of cultural material may not be even feasible.</w:t>
      </w:r>
    </w:p>
    <w:p w14:paraId="25232D9A" w14:textId="2730CAC1" w:rsidR="00AA7153" w:rsidRDefault="00D31A20" w:rsidP="00EF0769">
      <w:pPr>
        <w:rPr>
          <w:rFonts w:cs="Arial"/>
          <w:szCs w:val="24"/>
        </w:rPr>
      </w:pPr>
      <w:r>
        <w:rPr>
          <w:rFonts w:cs="Arial"/>
          <w:szCs w:val="24"/>
        </w:rPr>
        <w:t>Accordingly, t</w:t>
      </w:r>
      <w:r w:rsidR="00EF0769">
        <w:rPr>
          <w:rFonts w:cs="Arial"/>
          <w:szCs w:val="24"/>
        </w:rPr>
        <w:t xml:space="preserve">he new model extends the </w:t>
      </w:r>
      <w:r w:rsidR="005E4C20">
        <w:rPr>
          <w:rFonts w:cs="Arial"/>
          <w:szCs w:val="24"/>
        </w:rPr>
        <w:t xml:space="preserve">current </w:t>
      </w:r>
      <w:r w:rsidR="00EF0769">
        <w:rPr>
          <w:rFonts w:cs="Arial"/>
          <w:szCs w:val="24"/>
        </w:rPr>
        <w:t xml:space="preserve">offences relating to illegally imported material to include new offences relating to </w:t>
      </w:r>
      <w:r w:rsidR="005E4C20">
        <w:rPr>
          <w:rFonts w:cs="Arial"/>
          <w:szCs w:val="24"/>
        </w:rPr>
        <w:t xml:space="preserve">stolen </w:t>
      </w:r>
      <w:r w:rsidR="00EF0769">
        <w:rPr>
          <w:rFonts w:cs="Arial"/>
          <w:szCs w:val="24"/>
        </w:rPr>
        <w:t xml:space="preserve">cultural </w:t>
      </w:r>
      <w:r w:rsidR="006520F3">
        <w:rPr>
          <w:rFonts w:cs="Arial"/>
          <w:szCs w:val="24"/>
        </w:rPr>
        <w:t>material</w:t>
      </w:r>
      <w:r w:rsidR="00801A32">
        <w:rPr>
          <w:rFonts w:cs="Arial"/>
          <w:szCs w:val="24"/>
        </w:rPr>
        <w:t>—</w:t>
      </w:r>
      <w:r w:rsidR="005E4C20">
        <w:rPr>
          <w:rFonts w:cs="Arial"/>
          <w:szCs w:val="24"/>
        </w:rPr>
        <w:t xml:space="preserve">including </w:t>
      </w:r>
      <w:r w:rsidR="00EF0769">
        <w:rPr>
          <w:rFonts w:cs="Arial"/>
          <w:szCs w:val="24"/>
        </w:rPr>
        <w:t>material</w:t>
      </w:r>
      <w:r w:rsidR="005E4C20">
        <w:rPr>
          <w:rFonts w:cs="Arial"/>
          <w:szCs w:val="24"/>
        </w:rPr>
        <w:t xml:space="preserve"> </w:t>
      </w:r>
      <w:r w:rsidR="00EF0769">
        <w:rPr>
          <w:rFonts w:cs="Arial"/>
          <w:szCs w:val="24"/>
        </w:rPr>
        <w:t xml:space="preserve">stolen from inventoried (or otherwise identified) collections, monuments or sites, or </w:t>
      </w:r>
      <w:r w:rsidR="005E4C20">
        <w:rPr>
          <w:rFonts w:cs="Arial"/>
          <w:szCs w:val="24"/>
        </w:rPr>
        <w:t>stolen</w:t>
      </w:r>
      <w:r w:rsidR="00EF0769">
        <w:rPr>
          <w:rFonts w:cs="Arial"/>
          <w:szCs w:val="24"/>
        </w:rPr>
        <w:t xml:space="preserve"> from areas of armed conflict.</w:t>
      </w:r>
    </w:p>
    <w:p w14:paraId="7CAE27AF" w14:textId="77777777" w:rsidR="00AA7153" w:rsidRDefault="00F529AD" w:rsidP="00F529AD">
      <w:pPr>
        <w:rPr>
          <w:rFonts w:cs="Arial"/>
          <w:szCs w:val="24"/>
        </w:rPr>
      </w:pPr>
      <w:r>
        <w:rPr>
          <w:rFonts w:cs="Arial"/>
          <w:szCs w:val="24"/>
        </w:rPr>
        <w:t xml:space="preserve">The </w:t>
      </w:r>
      <w:r w:rsidR="00D31A20">
        <w:rPr>
          <w:rFonts w:cs="Arial"/>
          <w:szCs w:val="24"/>
        </w:rPr>
        <w:t>general</w:t>
      </w:r>
      <w:r w:rsidR="005E4C20">
        <w:rPr>
          <w:rFonts w:cs="Arial"/>
          <w:szCs w:val="24"/>
        </w:rPr>
        <w:t xml:space="preserve"> </w:t>
      </w:r>
      <w:r w:rsidRPr="00AB25FB">
        <w:rPr>
          <w:rFonts w:cs="Arial"/>
          <w:szCs w:val="24"/>
        </w:rPr>
        <w:t xml:space="preserve">offences </w:t>
      </w:r>
      <w:r w:rsidR="00D31A20">
        <w:rPr>
          <w:rFonts w:cs="Arial"/>
          <w:szCs w:val="24"/>
        </w:rPr>
        <w:t xml:space="preserve">should also be extended </w:t>
      </w:r>
      <w:r w:rsidR="005E4C20">
        <w:rPr>
          <w:rFonts w:cs="Arial"/>
          <w:szCs w:val="24"/>
        </w:rPr>
        <w:t>to cover situations</w:t>
      </w:r>
      <w:r>
        <w:rPr>
          <w:rFonts w:cs="Arial"/>
          <w:szCs w:val="24"/>
        </w:rPr>
        <w:t xml:space="preserve"> where a person gives, trades, or otherwise transfers the title of stolen or looted cultural material (or ought reasonably to have known that the object was stolen or looted cultural material)</w:t>
      </w:r>
      <w:r w:rsidR="005E4C20">
        <w:rPr>
          <w:rFonts w:cs="Arial"/>
          <w:szCs w:val="24"/>
        </w:rPr>
        <w:t>.</w:t>
      </w:r>
    </w:p>
    <w:p w14:paraId="023F81D0" w14:textId="51992F08" w:rsidR="00F529AD" w:rsidRDefault="00D31A20" w:rsidP="00F529AD">
      <w:pPr>
        <w:rPr>
          <w:rFonts w:cs="Arial"/>
          <w:szCs w:val="24"/>
        </w:rPr>
      </w:pPr>
      <w:r>
        <w:rPr>
          <w:rFonts w:cs="Arial"/>
          <w:szCs w:val="24"/>
        </w:rPr>
        <w:t>As already discussed, the rightness of stemming the flow of cultural material looted from war zones makes it important that those who acquire such material bear an evidentiary responsibility for proving the legitimacy of their acquisition.</w:t>
      </w:r>
    </w:p>
    <w:p w14:paraId="5963B0A6" w14:textId="77777777" w:rsidR="00F529AD" w:rsidRPr="00AF60A9" w:rsidRDefault="00F529AD" w:rsidP="00052178">
      <w:pPr>
        <w:pStyle w:val="Heading2"/>
      </w:pPr>
      <w:bookmarkStart w:id="328" w:name="_Toc423334295"/>
      <w:bookmarkStart w:id="329" w:name="_Toc430867351"/>
      <w:bookmarkStart w:id="330" w:name="_Toc433906615"/>
      <w:r>
        <w:t>Forfeiture p</w:t>
      </w:r>
      <w:r w:rsidRPr="00AF60A9">
        <w:t>rovisions</w:t>
      </w:r>
      <w:bookmarkStart w:id="331" w:name="_Toc419448782"/>
      <w:bookmarkStart w:id="332" w:name="_Toc419455942"/>
      <w:bookmarkEnd w:id="328"/>
      <w:bookmarkEnd w:id="329"/>
      <w:bookmarkEnd w:id="330"/>
    </w:p>
    <w:p w14:paraId="607CB0F6" w14:textId="77777777" w:rsidR="00F529AD" w:rsidRDefault="00F529AD" w:rsidP="00F529AD">
      <w:r w:rsidRPr="00A037B3">
        <w:t xml:space="preserve">The power to forfeit personal property and hand that property over to another is a considerable inroad into an </w:t>
      </w:r>
      <w:r>
        <w:t>owner</w:t>
      </w:r>
      <w:r w:rsidRPr="00A037B3">
        <w:t>'s personal rights. It is s</w:t>
      </w:r>
      <w:r>
        <w:t>omething that the Common L</w:t>
      </w:r>
      <w:r w:rsidRPr="00A037B3">
        <w:t xml:space="preserve">aw has interpreted narrowly for centuries </w:t>
      </w:r>
      <w:r>
        <w:t>(</w:t>
      </w:r>
      <w:r w:rsidRPr="00A037B3">
        <w:t xml:space="preserve">although for nearly a thousand years there </w:t>
      </w:r>
      <w:r w:rsidRPr="00A037B3">
        <w:lastRenderedPageBreak/>
        <w:t>have been laws that have provided machinery for the forfeiture of chattels in certain criminal matters</w:t>
      </w:r>
      <w:r>
        <w:t>)</w:t>
      </w:r>
      <w:r w:rsidRPr="00A037B3">
        <w:t>.</w:t>
      </w:r>
    </w:p>
    <w:p w14:paraId="5BA4553F" w14:textId="77777777" w:rsidR="00AA7153" w:rsidRDefault="00F529AD" w:rsidP="00F529AD">
      <w:r>
        <w:t>Given the practical difficulties of patrolling the borders and preventing the unlawful export of Australian Protected Material, the power of forfeiture is essential.</w:t>
      </w:r>
    </w:p>
    <w:p w14:paraId="773B3FBE" w14:textId="77777777" w:rsidR="00AA7153" w:rsidRDefault="00F529AD" w:rsidP="00F529AD">
      <w:r w:rsidRPr="001B5D3A">
        <w:rPr>
          <w:b/>
        </w:rPr>
        <w:t>If such property leaves the country illegally, it must be automatically forfeit</w:t>
      </w:r>
      <w:r>
        <w:t>.</w:t>
      </w:r>
    </w:p>
    <w:p w14:paraId="7B71E244" w14:textId="77777777" w:rsidR="00AA7153" w:rsidRDefault="00F529AD" w:rsidP="00F529AD">
      <w:r>
        <w:t>This inhibits its sale and market value in the overseas market</w:t>
      </w:r>
      <w:r w:rsidR="00B04D5D">
        <w:t>,</w:t>
      </w:r>
      <w:r>
        <w:t xml:space="preserve"> for no reputable auction house wants to sell items to which the vendor cannot establish good title. Already the Department is receiving enquiries from certain London auction houses as to whether material that has been offered to them for sale has the requisite export permits. Indeed, th</w:t>
      </w:r>
      <w:r w:rsidR="008E696C">
        <w:t>e best way of promoting the</w:t>
      </w:r>
      <w:r>
        <w:t xml:space="preserve"> regime would be a couple of high profile actions for the seizure and return of forfeit cultural material. It would give loud warning to the foreign auction houses and collectors as well as the local sellers who are prepared to undertake illegal export for personal profit.</w:t>
      </w:r>
    </w:p>
    <w:p w14:paraId="03340A1F" w14:textId="77777777" w:rsidR="00AA7153" w:rsidRDefault="00F529AD" w:rsidP="00F529AD">
      <w:pPr>
        <w:rPr>
          <w:rFonts w:cs="Arial"/>
          <w:szCs w:val="24"/>
        </w:rPr>
      </w:pPr>
      <w:r>
        <w:rPr>
          <w:rFonts w:cs="Arial"/>
          <w:szCs w:val="24"/>
        </w:rPr>
        <w:t>In the new model, the</w:t>
      </w:r>
      <w:r w:rsidRPr="005C4430">
        <w:rPr>
          <w:rFonts w:cs="Arial"/>
          <w:szCs w:val="24"/>
        </w:rPr>
        <w:t xml:space="preserve"> </w:t>
      </w:r>
      <w:r>
        <w:rPr>
          <w:rFonts w:cs="Arial"/>
          <w:szCs w:val="24"/>
        </w:rPr>
        <w:t>forfeiture provisions reflect the difference between th</w:t>
      </w:r>
      <w:r w:rsidRPr="005C4430">
        <w:rPr>
          <w:rFonts w:cs="Arial"/>
          <w:szCs w:val="24"/>
        </w:rPr>
        <w:t xml:space="preserve">e export and </w:t>
      </w:r>
      <w:r>
        <w:rPr>
          <w:rFonts w:cs="Arial"/>
          <w:szCs w:val="24"/>
        </w:rPr>
        <w:t xml:space="preserve">the </w:t>
      </w:r>
      <w:r w:rsidRPr="005C4430">
        <w:rPr>
          <w:rFonts w:cs="Arial"/>
          <w:szCs w:val="24"/>
        </w:rPr>
        <w:t>attempted export of objects</w:t>
      </w:r>
      <w:r>
        <w:rPr>
          <w:rFonts w:cs="Arial"/>
          <w:szCs w:val="24"/>
        </w:rPr>
        <w:t>, and also the difference between Australian Heritage Material, Australian Protected Material and Declared Australian Protected Material</w:t>
      </w:r>
      <w:r w:rsidRPr="005C4430">
        <w:rPr>
          <w:rFonts w:cs="Arial"/>
          <w:szCs w:val="24"/>
        </w:rPr>
        <w:t>.</w:t>
      </w:r>
    </w:p>
    <w:p w14:paraId="07255FDC" w14:textId="5B0252EC" w:rsidR="00D31A20" w:rsidRPr="00AF60A9" w:rsidRDefault="00D31A20" w:rsidP="00525F38">
      <w:pPr>
        <w:pStyle w:val="Heading3"/>
      </w:pPr>
      <w:r>
        <w:t>Forfeiture for unlawful export and attempted export</w:t>
      </w:r>
    </w:p>
    <w:p w14:paraId="65DB77D4" w14:textId="77777777" w:rsidR="00AA7153" w:rsidRDefault="00F529AD" w:rsidP="00F529AD">
      <w:pPr>
        <w:rPr>
          <w:rFonts w:cs="Arial"/>
          <w:szCs w:val="24"/>
        </w:rPr>
      </w:pPr>
      <w:bookmarkStart w:id="333" w:name="_Toc419455945"/>
      <w:bookmarkEnd w:id="331"/>
      <w:bookmarkEnd w:id="332"/>
      <w:r>
        <w:rPr>
          <w:rFonts w:cs="Arial"/>
          <w:szCs w:val="24"/>
        </w:rPr>
        <w:t xml:space="preserve">The new model </w:t>
      </w:r>
      <w:r w:rsidRPr="005C4430">
        <w:rPr>
          <w:rFonts w:cs="Arial"/>
          <w:szCs w:val="24"/>
        </w:rPr>
        <w:t>make</w:t>
      </w:r>
      <w:r>
        <w:rPr>
          <w:rFonts w:cs="Arial"/>
          <w:szCs w:val="24"/>
        </w:rPr>
        <w:t>s</w:t>
      </w:r>
      <w:r w:rsidRPr="005C4430">
        <w:rPr>
          <w:rFonts w:cs="Arial"/>
          <w:szCs w:val="24"/>
        </w:rPr>
        <w:t xml:space="preserve"> it clear that</w:t>
      </w:r>
      <w:r>
        <w:rPr>
          <w:rFonts w:cs="Arial"/>
          <w:szCs w:val="24"/>
        </w:rPr>
        <w:t xml:space="preserve">, in relation to Australian Heritage Material, </w:t>
      </w:r>
      <w:r w:rsidRPr="005C4430">
        <w:rPr>
          <w:rFonts w:cs="Arial"/>
          <w:szCs w:val="24"/>
        </w:rPr>
        <w:t xml:space="preserve">goods seized as a result of ‘attempted export’ </w:t>
      </w:r>
      <w:r w:rsidRPr="005C4430">
        <w:rPr>
          <w:rStyle w:val="Strong"/>
          <w:rFonts w:cs="Arial"/>
          <w:color w:val="000000"/>
          <w:szCs w:val="24"/>
        </w:rPr>
        <w:t>are liable to forfeiture</w:t>
      </w:r>
      <w:r w:rsidRPr="005C4430">
        <w:rPr>
          <w:rFonts w:cs="Arial"/>
          <w:szCs w:val="24"/>
        </w:rPr>
        <w:t xml:space="preserve"> while goods that have been exported </w:t>
      </w:r>
      <w:r w:rsidRPr="005C4430">
        <w:rPr>
          <w:rStyle w:val="Strong"/>
          <w:rFonts w:cs="Arial"/>
          <w:color w:val="000000"/>
          <w:szCs w:val="24"/>
        </w:rPr>
        <w:t>are forfeit</w:t>
      </w:r>
      <w:r w:rsidRPr="005C4430">
        <w:rPr>
          <w:rFonts w:cs="Arial"/>
          <w:szCs w:val="24"/>
        </w:rPr>
        <w:t>.</w:t>
      </w:r>
      <w:bookmarkEnd w:id="333"/>
    </w:p>
    <w:p w14:paraId="771ACB05" w14:textId="7E74E754" w:rsidR="00F529AD" w:rsidRDefault="00F529AD" w:rsidP="00F529AD">
      <w:pPr>
        <w:rPr>
          <w:rFonts w:cs="Arial"/>
          <w:szCs w:val="24"/>
        </w:rPr>
      </w:pPr>
      <w:bookmarkStart w:id="334" w:name="_Toc419455952"/>
      <w:r w:rsidRPr="005C4430">
        <w:rPr>
          <w:rFonts w:cs="Arial"/>
          <w:szCs w:val="24"/>
        </w:rPr>
        <w:t xml:space="preserve">However, where the object of the attempted export is Australian Protected </w:t>
      </w:r>
      <w:r>
        <w:rPr>
          <w:rFonts w:cs="Arial"/>
          <w:szCs w:val="24"/>
        </w:rPr>
        <w:t>Material</w:t>
      </w:r>
      <w:r w:rsidRPr="005C4430">
        <w:rPr>
          <w:rFonts w:cs="Arial"/>
          <w:szCs w:val="24"/>
        </w:rPr>
        <w:t xml:space="preserve"> or Declared Australian Protected </w:t>
      </w:r>
      <w:r>
        <w:rPr>
          <w:rFonts w:cs="Arial"/>
          <w:szCs w:val="24"/>
        </w:rPr>
        <w:t>Material</w:t>
      </w:r>
      <w:r w:rsidRPr="005C4430">
        <w:rPr>
          <w:rFonts w:cs="Arial"/>
          <w:szCs w:val="24"/>
        </w:rPr>
        <w:t xml:space="preserve">, </w:t>
      </w:r>
      <w:r w:rsidRPr="005C0341">
        <w:rPr>
          <w:rFonts w:cs="Arial"/>
          <w:b/>
          <w:szCs w:val="24"/>
        </w:rPr>
        <w:t>forfeiture</w:t>
      </w:r>
      <w:r w:rsidRPr="005C4430">
        <w:rPr>
          <w:rFonts w:cs="Arial"/>
          <w:szCs w:val="24"/>
        </w:rPr>
        <w:t xml:space="preserve"> is recommended</w:t>
      </w:r>
      <w:r>
        <w:rPr>
          <w:rFonts w:cs="Arial"/>
          <w:szCs w:val="24"/>
        </w:rPr>
        <w:t xml:space="preserve"> in both cases</w:t>
      </w:r>
      <w:r w:rsidRPr="005C4430">
        <w:rPr>
          <w:rFonts w:cs="Arial"/>
          <w:szCs w:val="24"/>
        </w:rPr>
        <w:t>. This is to highlight the importance of th</w:t>
      </w:r>
      <w:r>
        <w:rPr>
          <w:rFonts w:cs="Arial"/>
          <w:szCs w:val="24"/>
        </w:rPr>
        <w:t>ese</w:t>
      </w:r>
      <w:r w:rsidRPr="005C4430">
        <w:rPr>
          <w:rFonts w:cs="Arial"/>
          <w:szCs w:val="24"/>
        </w:rPr>
        <w:t xml:space="preserve"> categor</w:t>
      </w:r>
      <w:r>
        <w:rPr>
          <w:rFonts w:cs="Arial"/>
          <w:szCs w:val="24"/>
        </w:rPr>
        <w:t>ies</w:t>
      </w:r>
      <w:r w:rsidRPr="005C4430">
        <w:rPr>
          <w:rFonts w:cs="Arial"/>
          <w:szCs w:val="24"/>
        </w:rPr>
        <w:t xml:space="preserve"> of </w:t>
      </w:r>
      <w:r>
        <w:rPr>
          <w:rFonts w:cs="Arial"/>
          <w:szCs w:val="24"/>
        </w:rPr>
        <w:t>material</w:t>
      </w:r>
      <w:r w:rsidRPr="005C4430">
        <w:rPr>
          <w:rFonts w:cs="Arial"/>
          <w:szCs w:val="24"/>
        </w:rPr>
        <w:t xml:space="preserve"> and to provide an appropriate level of protection and sanction.</w:t>
      </w:r>
      <w:bookmarkEnd w:id="334"/>
    </w:p>
    <w:p w14:paraId="59EB7EFB" w14:textId="4841042B" w:rsidR="00F529AD" w:rsidRPr="002C4669" w:rsidRDefault="008027A0" w:rsidP="00052178">
      <w:pPr>
        <w:pStyle w:val="Heading2"/>
      </w:pPr>
      <w:bookmarkStart w:id="335" w:name="_Toc423334296"/>
      <w:bookmarkStart w:id="336" w:name="_Toc430867352"/>
      <w:bookmarkStart w:id="337" w:name="_Toc433906616"/>
      <w:r>
        <w:t>Sanction</w:t>
      </w:r>
      <w:r w:rsidR="00F529AD" w:rsidRPr="002C4669">
        <w:t xml:space="preserve"> provisions</w:t>
      </w:r>
      <w:bookmarkEnd w:id="335"/>
      <w:bookmarkEnd w:id="336"/>
      <w:bookmarkEnd w:id="337"/>
    </w:p>
    <w:p w14:paraId="3A7344AA" w14:textId="292CD9EE" w:rsidR="00F529AD" w:rsidRPr="005C4430" w:rsidRDefault="00F529AD" w:rsidP="00F529AD">
      <w:pPr>
        <w:rPr>
          <w:rFonts w:cs="Arial"/>
          <w:szCs w:val="24"/>
        </w:rPr>
      </w:pPr>
      <w:bookmarkStart w:id="338" w:name="_Toc419455956"/>
      <w:r w:rsidRPr="005C4430">
        <w:rPr>
          <w:rFonts w:cs="Arial"/>
          <w:szCs w:val="24"/>
        </w:rPr>
        <w:t>The sanction pr</w:t>
      </w:r>
      <w:r>
        <w:rPr>
          <w:rFonts w:cs="Arial"/>
          <w:szCs w:val="24"/>
        </w:rPr>
        <w:t>ovisions in the current Act were drafted in the 1980</w:t>
      </w:r>
      <w:r w:rsidRPr="005C4430">
        <w:rPr>
          <w:rFonts w:cs="Arial"/>
          <w:szCs w:val="24"/>
        </w:rPr>
        <w:t>s and therefore should be reconsidered to ensure they are in line with like offences in other legislation. Currently, the penalties for illegal import or export are set at 50 penalty units ($</w:t>
      </w:r>
      <w:r>
        <w:rPr>
          <w:rFonts w:cs="Arial"/>
          <w:szCs w:val="24"/>
        </w:rPr>
        <w:t>9,000</w:t>
      </w:r>
      <w:r w:rsidRPr="005C4430">
        <w:rPr>
          <w:rFonts w:cs="Arial"/>
          <w:szCs w:val="24"/>
        </w:rPr>
        <w:t xml:space="preserve">) </w:t>
      </w:r>
      <w:r w:rsidRPr="005C4430">
        <w:rPr>
          <w:rFonts w:cs="Arial"/>
          <w:szCs w:val="24"/>
        </w:rPr>
        <w:lastRenderedPageBreak/>
        <w:t>or imprisonment of up to 2 years for individuals, or 200 penalty units ($3</w:t>
      </w:r>
      <w:r>
        <w:rPr>
          <w:rFonts w:cs="Arial"/>
          <w:szCs w:val="24"/>
        </w:rPr>
        <w:t>6</w:t>
      </w:r>
      <w:r w:rsidRPr="005C4430">
        <w:rPr>
          <w:rFonts w:cs="Arial"/>
          <w:szCs w:val="24"/>
        </w:rPr>
        <w:t>,000) for a body corporate.</w:t>
      </w:r>
      <w:bookmarkEnd w:id="338"/>
      <w:r>
        <w:rPr>
          <w:rFonts w:cs="Arial"/>
          <w:szCs w:val="24"/>
        </w:rPr>
        <w:t xml:space="preserve"> These are too low</w:t>
      </w:r>
      <w:r w:rsidR="00801A32">
        <w:rPr>
          <w:rFonts w:cs="Arial"/>
          <w:szCs w:val="24"/>
        </w:rPr>
        <w:t>—</w:t>
      </w:r>
      <w:r>
        <w:rPr>
          <w:rFonts w:cs="Arial"/>
          <w:szCs w:val="24"/>
        </w:rPr>
        <w:t>they are just seen as a cost of doing business.</w:t>
      </w:r>
    </w:p>
    <w:p w14:paraId="655E1D12" w14:textId="77777777" w:rsidR="00AA7153" w:rsidRDefault="00F529AD" w:rsidP="00F529AD">
      <w:pPr>
        <w:rPr>
          <w:rFonts w:cs="Arial"/>
          <w:szCs w:val="24"/>
        </w:rPr>
      </w:pPr>
      <w:bookmarkStart w:id="339" w:name="_Toc419455957"/>
      <w:r w:rsidRPr="005C4430">
        <w:rPr>
          <w:rFonts w:cs="Arial"/>
          <w:szCs w:val="24"/>
        </w:rPr>
        <w:t xml:space="preserve">The </w:t>
      </w:r>
      <w:r>
        <w:rPr>
          <w:rFonts w:cs="Arial"/>
          <w:szCs w:val="24"/>
        </w:rPr>
        <w:t>new legislation should</w:t>
      </w:r>
      <w:r w:rsidRPr="005C4430">
        <w:rPr>
          <w:rFonts w:cs="Arial"/>
          <w:szCs w:val="24"/>
        </w:rPr>
        <w:t xml:space="preserve"> incorporate modernise</w:t>
      </w:r>
      <w:r>
        <w:rPr>
          <w:rFonts w:cs="Arial"/>
          <w:szCs w:val="24"/>
        </w:rPr>
        <w:t>d sanctions which are set at a more appropriate level.</w:t>
      </w:r>
      <w:r w:rsidRPr="005C4430">
        <w:rPr>
          <w:rFonts w:cs="Arial"/>
          <w:szCs w:val="24"/>
        </w:rPr>
        <w:t xml:space="preserve"> For example, similar offences (contravention of expo</w:t>
      </w:r>
      <w:r>
        <w:rPr>
          <w:rFonts w:cs="Arial"/>
          <w:szCs w:val="24"/>
        </w:rPr>
        <w:t xml:space="preserve">rt permit conditions) under the </w:t>
      </w:r>
      <w:r>
        <w:rPr>
          <w:rFonts w:cs="Arial"/>
          <w:i/>
          <w:szCs w:val="24"/>
        </w:rPr>
        <w:t>Environment Protection </w:t>
      </w:r>
      <w:r w:rsidRPr="005C4430">
        <w:rPr>
          <w:rFonts w:cs="Arial"/>
          <w:i/>
          <w:szCs w:val="24"/>
        </w:rPr>
        <w:t>an</w:t>
      </w:r>
      <w:r>
        <w:rPr>
          <w:rFonts w:cs="Arial"/>
          <w:i/>
          <w:szCs w:val="24"/>
        </w:rPr>
        <w:t>d Biodiversity Conservation Act </w:t>
      </w:r>
      <w:r w:rsidRPr="005C4430">
        <w:rPr>
          <w:rFonts w:cs="Arial"/>
          <w:i/>
          <w:szCs w:val="24"/>
        </w:rPr>
        <w:t>1999</w:t>
      </w:r>
      <w:r w:rsidRPr="005C4430">
        <w:rPr>
          <w:rFonts w:cs="Arial"/>
          <w:szCs w:val="24"/>
        </w:rPr>
        <w:t xml:space="preserve"> have a penalty unit rate of 300 ($5</w:t>
      </w:r>
      <w:r>
        <w:rPr>
          <w:rFonts w:cs="Arial"/>
          <w:szCs w:val="24"/>
        </w:rPr>
        <w:t>4</w:t>
      </w:r>
      <w:r w:rsidRPr="005C4430">
        <w:rPr>
          <w:rFonts w:cs="Arial"/>
          <w:szCs w:val="24"/>
        </w:rPr>
        <w:t>,000) for individuals.</w:t>
      </w:r>
      <w:bookmarkEnd w:id="339"/>
    </w:p>
    <w:p w14:paraId="764F5F75" w14:textId="77777777" w:rsidR="00AA7153" w:rsidRDefault="00F529AD" w:rsidP="00F529AD">
      <w:r>
        <w:t>Also the legislation should provide for severe sanctions for the breach of any conditions of a temporary export permit or a General Permit. These could include forfeiture of any object not returned within the prescribed time and a fine equal to the sale price or value of the object (whichever is the higher). In regard to General Permits</w:t>
      </w:r>
      <w:r w:rsidR="00380E73">
        <w:t>,</w:t>
      </w:r>
      <w:r>
        <w:t xml:space="preserve"> sanctions should apply to the organisation that holds the permit (fine</w:t>
      </w:r>
      <w:r w:rsidR="00380E73">
        <w:t xml:space="preserve"> and loss of permit</w:t>
      </w:r>
      <w:r>
        <w:t>) as well as the individual owner (</w:t>
      </w:r>
      <w:r w:rsidR="00380E73">
        <w:t>fine and</w:t>
      </w:r>
      <w:r>
        <w:t xml:space="preserve"> forfeiture).</w:t>
      </w:r>
    </w:p>
    <w:p w14:paraId="0DCF3A1C" w14:textId="668E25DC" w:rsidR="00F529AD" w:rsidRPr="002C4669" w:rsidRDefault="00F529AD" w:rsidP="00052178">
      <w:pPr>
        <w:pStyle w:val="Heading2"/>
      </w:pPr>
      <w:bookmarkStart w:id="340" w:name="_Toc423334297"/>
      <w:bookmarkStart w:id="341" w:name="_Toc430867353"/>
      <w:bookmarkStart w:id="342" w:name="_Toc433906617"/>
      <w:r w:rsidRPr="002C4669">
        <w:t>Enforcement provisions</w:t>
      </w:r>
      <w:bookmarkEnd w:id="340"/>
      <w:bookmarkEnd w:id="341"/>
      <w:bookmarkEnd w:id="342"/>
    </w:p>
    <w:p w14:paraId="582F5B2D" w14:textId="77777777" w:rsidR="00AA7153" w:rsidRDefault="00F529AD" w:rsidP="00F529AD">
      <w:pPr>
        <w:rPr>
          <w:rFonts w:cs="Arial"/>
          <w:szCs w:val="24"/>
        </w:rPr>
      </w:pPr>
      <w:bookmarkStart w:id="343" w:name="_Toc419455958"/>
      <w:r w:rsidRPr="00AC19CF">
        <w:rPr>
          <w:rFonts w:cs="Arial"/>
          <w:szCs w:val="24"/>
        </w:rPr>
        <w:t xml:space="preserve">Likewise, the current enforcement provisions </w:t>
      </w:r>
      <w:r>
        <w:rPr>
          <w:rFonts w:cs="Arial"/>
          <w:szCs w:val="24"/>
        </w:rPr>
        <w:t>fail to</w:t>
      </w:r>
      <w:r w:rsidRPr="00206ADD">
        <w:rPr>
          <w:rFonts w:cs="Arial"/>
          <w:szCs w:val="24"/>
        </w:rPr>
        <w:t xml:space="preserve"> provide a coherent range of tools to assist law enforcement officers to </w:t>
      </w:r>
      <w:r>
        <w:rPr>
          <w:rFonts w:cs="Arial"/>
          <w:szCs w:val="24"/>
        </w:rPr>
        <w:t>prevent the</w:t>
      </w:r>
      <w:r w:rsidRPr="00206ADD">
        <w:rPr>
          <w:rFonts w:cs="Arial"/>
          <w:szCs w:val="24"/>
        </w:rPr>
        <w:t xml:space="preserve"> illicit trade in cultural material. </w:t>
      </w:r>
      <w:r>
        <w:rPr>
          <w:rFonts w:cs="Arial"/>
          <w:szCs w:val="24"/>
        </w:rPr>
        <w:t>One of the most important tools is that of seizure. The need to seize cultural property can arise in a multiplicity of circumstances. It is important that Inspectors have the ability to seize on suspicion so that material can be appropriately safeguarded until its status can be properly ascertained. To protect the rights of the property owner</w:t>
      </w:r>
      <w:r w:rsidRPr="00B50F39">
        <w:rPr>
          <w:rFonts w:cs="Arial"/>
          <w:szCs w:val="24"/>
        </w:rPr>
        <w:t xml:space="preserve"> </w:t>
      </w:r>
      <w:r>
        <w:rPr>
          <w:rFonts w:cs="Arial"/>
          <w:szCs w:val="24"/>
        </w:rPr>
        <w:t>and ensure that this suspicion is based on information that has been independently validated, the model introduces a warrant process for the seizure.</w:t>
      </w:r>
    </w:p>
    <w:p w14:paraId="75AEE51C" w14:textId="77777777" w:rsidR="00AA7153" w:rsidRDefault="00F529AD" w:rsidP="00F529AD">
      <w:pPr>
        <w:rPr>
          <w:rFonts w:cs="Arial"/>
          <w:szCs w:val="24"/>
        </w:rPr>
      </w:pPr>
      <w:bookmarkStart w:id="344" w:name="_Toc419455959"/>
      <w:bookmarkEnd w:id="343"/>
      <w:r w:rsidRPr="00AC19CF">
        <w:rPr>
          <w:rFonts w:cs="Arial"/>
          <w:szCs w:val="24"/>
        </w:rPr>
        <w:t>The</w:t>
      </w:r>
      <w:r>
        <w:rPr>
          <w:rFonts w:cs="Arial"/>
          <w:szCs w:val="24"/>
        </w:rPr>
        <w:t xml:space="preserve"> new provisions must</w:t>
      </w:r>
      <w:r w:rsidRPr="00AC19CF">
        <w:rPr>
          <w:rFonts w:cs="Arial"/>
          <w:szCs w:val="24"/>
        </w:rPr>
        <w:t xml:space="preserve"> also </w:t>
      </w:r>
      <w:r>
        <w:rPr>
          <w:rFonts w:cs="Arial"/>
          <w:szCs w:val="24"/>
        </w:rPr>
        <w:t>clarify that seizure of</w:t>
      </w:r>
      <w:r w:rsidRPr="00AC19CF">
        <w:rPr>
          <w:rFonts w:cs="Arial"/>
          <w:szCs w:val="24"/>
        </w:rPr>
        <w:t xml:space="preserve"> </w:t>
      </w:r>
      <w:r>
        <w:rPr>
          <w:rFonts w:cs="Arial"/>
          <w:szCs w:val="24"/>
        </w:rPr>
        <w:t xml:space="preserve">cultural </w:t>
      </w:r>
      <w:r w:rsidRPr="00AC19CF">
        <w:rPr>
          <w:rFonts w:cs="Arial"/>
          <w:szCs w:val="24"/>
        </w:rPr>
        <w:t xml:space="preserve">objects discovered during the course of a </w:t>
      </w:r>
      <w:r>
        <w:rPr>
          <w:rFonts w:cs="Arial"/>
          <w:szCs w:val="24"/>
        </w:rPr>
        <w:t>raid or search that is conducted in respect of other material or purposes is permissible. This is one of the common ways that cultural material is discovered and it is important that the legal underpinning for that seizure and prosecution be secure.</w:t>
      </w:r>
    </w:p>
    <w:p w14:paraId="1D18C66D" w14:textId="2BC9BEF1" w:rsidR="00F529AD" w:rsidRDefault="00F529AD" w:rsidP="00F529AD">
      <w:pPr>
        <w:rPr>
          <w:rFonts w:cs="Arial"/>
          <w:szCs w:val="24"/>
        </w:rPr>
      </w:pPr>
      <w:r>
        <w:rPr>
          <w:rFonts w:cs="Arial"/>
          <w:szCs w:val="24"/>
        </w:rPr>
        <w:t xml:space="preserve">Such provisions should be consistent, clearly expressed </w:t>
      </w:r>
      <w:r w:rsidRPr="00AC19CF">
        <w:rPr>
          <w:rFonts w:cs="Arial"/>
          <w:szCs w:val="24"/>
        </w:rPr>
        <w:t>and in accord with modern enforcement practices.</w:t>
      </w:r>
      <w:r>
        <w:rPr>
          <w:rFonts w:cs="Arial"/>
          <w:szCs w:val="24"/>
        </w:rPr>
        <w:t> </w:t>
      </w:r>
      <w:bookmarkEnd w:id="344"/>
      <w:r w:rsidRPr="008E696C">
        <w:rPr>
          <w:rFonts w:cs="Arial"/>
          <w:szCs w:val="24"/>
        </w:rPr>
        <w:t>Part C</w:t>
      </w:r>
      <w:r>
        <w:rPr>
          <w:rFonts w:cs="Arial"/>
          <w:szCs w:val="24"/>
        </w:rPr>
        <w:t xml:space="preserve"> provides further detail about how a modern warrant scheme for the search and seizure of foreign cultural material has been incorporated into the new model.</w:t>
      </w:r>
    </w:p>
    <w:p w14:paraId="5A81077B" w14:textId="77777777" w:rsidR="00F529AD" w:rsidRPr="002C4669" w:rsidRDefault="00F529AD" w:rsidP="00052178">
      <w:pPr>
        <w:pStyle w:val="Heading2"/>
      </w:pPr>
      <w:bookmarkStart w:id="345" w:name="_Toc423334298"/>
      <w:bookmarkStart w:id="346" w:name="_Toc430867354"/>
      <w:bookmarkStart w:id="347" w:name="_Toc433906618"/>
      <w:r w:rsidRPr="002C4669">
        <w:lastRenderedPageBreak/>
        <w:t>Engagement with the Australian Border Force</w:t>
      </w:r>
      <w:bookmarkEnd w:id="345"/>
      <w:bookmarkEnd w:id="346"/>
      <w:bookmarkEnd w:id="347"/>
    </w:p>
    <w:p w14:paraId="2308E941" w14:textId="77777777" w:rsidR="00F529AD" w:rsidRDefault="00F529AD" w:rsidP="00F529AD">
      <w:pPr>
        <w:rPr>
          <w:rFonts w:cs="Arial"/>
          <w:szCs w:val="24"/>
        </w:rPr>
      </w:pPr>
      <w:bookmarkStart w:id="348" w:name="_Toc419455961"/>
      <w:r w:rsidRPr="00AC19CF">
        <w:rPr>
          <w:rFonts w:cs="Arial"/>
          <w:szCs w:val="24"/>
        </w:rPr>
        <w:t xml:space="preserve">Engagement and collaboration with the </w:t>
      </w:r>
      <w:r>
        <w:rPr>
          <w:rFonts w:cs="Arial"/>
          <w:szCs w:val="24"/>
        </w:rPr>
        <w:t>Australian Border Force</w:t>
      </w:r>
      <w:r w:rsidRPr="00AC19CF">
        <w:rPr>
          <w:rFonts w:cs="Arial"/>
          <w:szCs w:val="24"/>
        </w:rPr>
        <w:t xml:space="preserve"> is one of the keys to a successful export a</w:t>
      </w:r>
      <w:r>
        <w:rPr>
          <w:rFonts w:cs="Arial"/>
          <w:szCs w:val="24"/>
        </w:rPr>
        <w:t>nd import regulation scheme.</w:t>
      </w:r>
      <w:r w:rsidRPr="00AC19CF">
        <w:rPr>
          <w:rFonts w:cs="Arial"/>
          <w:szCs w:val="24"/>
        </w:rPr>
        <w:t xml:space="preserve"> There are a number of key areas where better engagement and integration would ensure a more successful outcome:</w:t>
      </w:r>
      <w:bookmarkEnd w:id="348"/>
    </w:p>
    <w:p w14:paraId="5DCA4FD0" w14:textId="77777777" w:rsidR="00AA7153" w:rsidRDefault="00F529AD" w:rsidP="00C66090">
      <w:pPr>
        <w:pStyle w:val="ListParagraph"/>
        <w:numPr>
          <w:ilvl w:val="0"/>
          <w:numId w:val="44"/>
        </w:numPr>
        <w:tabs>
          <w:tab w:val="clear" w:pos="720"/>
          <w:tab w:val="num" w:pos="567"/>
        </w:tabs>
        <w:ind w:left="567" w:hanging="567"/>
        <w:rPr>
          <w:rFonts w:cs="Arial"/>
          <w:szCs w:val="24"/>
        </w:rPr>
      </w:pPr>
      <w:bookmarkStart w:id="349" w:name="_Toc419455962"/>
      <w:r>
        <w:rPr>
          <w:rFonts w:cs="Arial"/>
          <w:szCs w:val="24"/>
        </w:rPr>
        <w:t>p</w:t>
      </w:r>
      <w:r w:rsidRPr="00AC19CF">
        <w:rPr>
          <w:rFonts w:cs="Arial"/>
          <w:szCs w:val="24"/>
        </w:rPr>
        <w:t>ermit system integration;</w:t>
      </w:r>
      <w:bookmarkEnd w:id="349"/>
    </w:p>
    <w:p w14:paraId="7713D5C8" w14:textId="77777777" w:rsidR="00AA7153" w:rsidRDefault="00F529AD" w:rsidP="00C66090">
      <w:pPr>
        <w:pStyle w:val="ListParagraph"/>
        <w:numPr>
          <w:ilvl w:val="0"/>
          <w:numId w:val="44"/>
        </w:numPr>
        <w:tabs>
          <w:tab w:val="clear" w:pos="720"/>
          <w:tab w:val="num" w:pos="567"/>
        </w:tabs>
        <w:ind w:left="567" w:hanging="567"/>
        <w:rPr>
          <w:rFonts w:cs="Arial"/>
          <w:szCs w:val="24"/>
        </w:rPr>
      </w:pPr>
      <w:bookmarkStart w:id="350" w:name="_Toc419455963"/>
      <w:r>
        <w:rPr>
          <w:rFonts w:cs="Arial"/>
          <w:szCs w:val="24"/>
        </w:rPr>
        <w:t xml:space="preserve">increased integration with the </w:t>
      </w:r>
      <w:r w:rsidRPr="00AC19CF">
        <w:rPr>
          <w:rFonts w:cs="Arial"/>
          <w:szCs w:val="24"/>
        </w:rPr>
        <w:t>Australian Harmonised Export C</w:t>
      </w:r>
      <w:r>
        <w:rPr>
          <w:rFonts w:cs="Arial"/>
          <w:szCs w:val="24"/>
        </w:rPr>
        <w:t>ommodity Classification (AHECC)</w:t>
      </w:r>
      <w:r w:rsidRPr="00AC19CF">
        <w:rPr>
          <w:rFonts w:cs="Arial"/>
          <w:szCs w:val="24"/>
        </w:rPr>
        <w:t xml:space="preserve"> codes which reflect the cultural material being regulated; and</w:t>
      </w:r>
      <w:bookmarkEnd w:id="350"/>
    </w:p>
    <w:p w14:paraId="667BD4F7" w14:textId="77777777" w:rsidR="00AA7153" w:rsidRDefault="00F529AD" w:rsidP="00C66090">
      <w:pPr>
        <w:pStyle w:val="ListParagraph"/>
        <w:numPr>
          <w:ilvl w:val="0"/>
          <w:numId w:val="44"/>
        </w:numPr>
        <w:tabs>
          <w:tab w:val="clear" w:pos="720"/>
          <w:tab w:val="num" w:pos="567"/>
        </w:tabs>
        <w:ind w:left="567" w:hanging="567"/>
        <w:rPr>
          <w:rFonts w:cs="Arial"/>
          <w:szCs w:val="24"/>
        </w:rPr>
      </w:pPr>
      <w:bookmarkStart w:id="351" w:name="_Toc419455964"/>
      <w:proofErr w:type="gramStart"/>
      <w:r>
        <w:rPr>
          <w:rFonts w:cs="Arial"/>
          <w:szCs w:val="24"/>
        </w:rPr>
        <w:t>t</w:t>
      </w:r>
      <w:r w:rsidRPr="00AC19CF">
        <w:rPr>
          <w:rFonts w:cs="Arial"/>
          <w:szCs w:val="24"/>
        </w:rPr>
        <w:t>he</w:t>
      </w:r>
      <w:proofErr w:type="gramEnd"/>
      <w:r w:rsidRPr="00AC19CF">
        <w:rPr>
          <w:rFonts w:cs="Arial"/>
          <w:szCs w:val="24"/>
        </w:rPr>
        <w:t xml:space="preserve"> formalisation of the role of </w:t>
      </w:r>
      <w:r>
        <w:rPr>
          <w:rFonts w:cs="Arial"/>
          <w:szCs w:val="24"/>
        </w:rPr>
        <w:t>the Australian Border Force</w:t>
      </w:r>
      <w:r w:rsidRPr="00AC19CF">
        <w:rPr>
          <w:rFonts w:cs="Arial"/>
          <w:szCs w:val="24"/>
        </w:rPr>
        <w:t xml:space="preserve"> officers as </w:t>
      </w:r>
      <w:r w:rsidRPr="001B5D3A">
        <w:rPr>
          <w:rFonts w:cs="Arial"/>
          <w:i/>
          <w:szCs w:val="24"/>
        </w:rPr>
        <w:t>ex officio</w:t>
      </w:r>
      <w:r>
        <w:rPr>
          <w:rFonts w:cs="Arial"/>
          <w:szCs w:val="24"/>
        </w:rPr>
        <w:t xml:space="preserve"> Inspectors</w:t>
      </w:r>
      <w:r w:rsidRPr="00AC19CF">
        <w:rPr>
          <w:rFonts w:cs="Arial"/>
          <w:szCs w:val="24"/>
        </w:rPr>
        <w:t xml:space="preserve"> under the Act.</w:t>
      </w:r>
      <w:bookmarkEnd w:id="351"/>
    </w:p>
    <w:p w14:paraId="7515A9D1" w14:textId="77777777" w:rsidR="00AA7153" w:rsidRDefault="00F529AD" w:rsidP="00525F38">
      <w:pPr>
        <w:pStyle w:val="Heading3"/>
      </w:pPr>
      <w:bookmarkStart w:id="352" w:name="_Toc419448785"/>
      <w:bookmarkStart w:id="353" w:name="_Toc419455965"/>
      <w:r w:rsidRPr="00AF60A9">
        <w:t>Permit integration</w:t>
      </w:r>
      <w:bookmarkEnd w:id="352"/>
      <w:bookmarkEnd w:id="353"/>
    </w:p>
    <w:p w14:paraId="0E527EDE" w14:textId="77777777" w:rsidR="00AA7153" w:rsidRDefault="00F529AD" w:rsidP="00F529AD">
      <w:pPr>
        <w:rPr>
          <w:rFonts w:cs="Arial"/>
          <w:szCs w:val="24"/>
        </w:rPr>
      </w:pPr>
      <w:bookmarkStart w:id="354" w:name="_Toc419455966"/>
      <w:r w:rsidRPr="00AC19CF">
        <w:rPr>
          <w:rFonts w:cs="Arial"/>
          <w:szCs w:val="24"/>
        </w:rPr>
        <w:t xml:space="preserve">Currently, </w:t>
      </w:r>
      <w:r>
        <w:rPr>
          <w:rFonts w:cs="Arial"/>
          <w:szCs w:val="24"/>
        </w:rPr>
        <w:t xml:space="preserve">permits issued under the Act are </w:t>
      </w:r>
      <w:r w:rsidRPr="00AC19CF">
        <w:rPr>
          <w:rFonts w:cs="Arial"/>
          <w:szCs w:val="24"/>
        </w:rPr>
        <w:t xml:space="preserve">not integrated with the system </w:t>
      </w:r>
      <w:r w:rsidRPr="006C43D8">
        <w:rPr>
          <w:rFonts w:cs="Arial"/>
          <w:szCs w:val="24"/>
        </w:rPr>
        <w:t xml:space="preserve">used by the </w:t>
      </w:r>
      <w:r>
        <w:rPr>
          <w:rFonts w:cs="Arial"/>
          <w:szCs w:val="24"/>
        </w:rPr>
        <w:t>Australian Border Force</w:t>
      </w:r>
      <w:r w:rsidRPr="006C43D8">
        <w:rPr>
          <w:rFonts w:cs="Arial"/>
          <w:szCs w:val="24"/>
        </w:rPr>
        <w:t>. This means that, while permits may be spot-checked, they are not systematically cross-checked. The conditions (largely administrative) which woul</w:t>
      </w:r>
      <w:r>
        <w:rPr>
          <w:rFonts w:cs="Arial"/>
          <w:szCs w:val="24"/>
        </w:rPr>
        <w:t>d ensure the integration of these</w:t>
      </w:r>
      <w:r w:rsidRPr="006C43D8">
        <w:rPr>
          <w:rFonts w:cs="Arial"/>
          <w:szCs w:val="24"/>
        </w:rPr>
        <w:t xml:space="preserve"> permits with the </w:t>
      </w:r>
      <w:r w:rsidR="008E696C">
        <w:rPr>
          <w:rFonts w:cs="Arial"/>
          <w:szCs w:val="24"/>
        </w:rPr>
        <w:t>Australian Border Force</w:t>
      </w:r>
      <w:r w:rsidRPr="006C43D8">
        <w:rPr>
          <w:rFonts w:cs="Arial"/>
          <w:szCs w:val="24"/>
        </w:rPr>
        <w:t xml:space="preserve"> system</w:t>
      </w:r>
      <w:r w:rsidR="008E696C">
        <w:rPr>
          <w:rFonts w:cs="Arial"/>
          <w:szCs w:val="24"/>
        </w:rPr>
        <w:t>s</w:t>
      </w:r>
      <w:r w:rsidRPr="006C43D8">
        <w:rPr>
          <w:rFonts w:cs="Arial"/>
          <w:szCs w:val="24"/>
        </w:rPr>
        <w:t xml:space="preserve"> should be implemented in the new </w:t>
      </w:r>
      <w:r>
        <w:rPr>
          <w:rFonts w:cs="Arial"/>
          <w:szCs w:val="24"/>
        </w:rPr>
        <w:t>framework</w:t>
      </w:r>
      <w:r w:rsidRPr="006C43D8">
        <w:rPr>
          <w:rFonts w:cs="Arial"/>
          <w:szCs w:val="24"/>
        </w:rPr>
        <w:t>. This would include usin</w:t>
      </w:r>
      <w:r>
        <w:rPr>
          <w:rFonts w:cs="Arial"/>
          <w:szCs w:val="24"/>
        </w:rPr>
        <w:t>g a compatible numbering system</w:t>
      </w:r>
      <w:r w:rsidRPr="006C43D8">
        <w:rPr>
          <w:rFonts w:cs="Arial"/>
          <w:szCs w:val="24"/>
        </w:rPr>
        <w:t xml:space="preserve"> and </w:t>
      </w:r>
      <w:r>
        <w:rPr>
          <w:rFonts w:cs="Arial"/>
          <w:szCs w:val="24"/>
        </w:rPr>
        <w:t>perhaps using</w:t>
      </w:r>
      <w:r w:rsidRPr="006C43D8">
        <w:rPr>
          <w:rFonts w:cs="Arial"/>
          <w:szCs w:val="24"/>
        </w:rPr>
        <w:t xml:space="preserve"> the model export certificate developed by UNESCO in consultation with the World Customs Organization.</w:t>
      </w:r>
    </w:p>
    <w:p w14:paraId="5DAC3D1F" w14:textId="5B20A478" w:rsidR="00F529AD" w:rsidRPr="00AC19CF" w:rsidRDefault="00F529AD" w:rsidP="00F529AD">
      <w:pPr>
        <w:rPr>
          <w:rFonts w:cs="Arial"/>
          <w:szCs w:val="24"/>
        </w:rPr>
      </w:pPr>
      <w:r w:rsidRPr="006C43D8">
        <w:rPr>
          <w:rFonts w:cs="Arial"/>
          <w:szCs w:val="24"/>
        </w:rPr>
        <w:t xml:space="preserve">This </w:t>
      </w:r>
      <w:r>
        <w:rPr>
          <w:rFonts w:cs="Arial"/>
          <w:szCs w:val="24"/>
        </w:rPr>
        <w:t>would</w:t>
      </w:r>
      <w:r w:rsidRPr="006C43D8">
        <w:rPr>
          <w:rFonts w:cs="Arial"/>
          <w:szCs w:val="24"/>
        </w:rPr>
        <w:t xml:space="preserve"> add an extra layer of protection </w:t>
      </w:r>
      <w:r>
        <w:rPr>
          <w:rFonts w:cs="Arial"/>
          <w:szCs w:val="24"/>
        </w:rPr>
        <w:t>where</w:t>
      </w:r>
      <w:r w:rsidRPr="006C43D8">
        <w:rPr>
          <w:rFonts w:cs="Arial"/>
          <w:szCs w:val="24"/>
        </w:rPr>
        <w:t xml:space="preserve"> permits are not obtained or </w:t>
      </w:r>
      <w:r>
        <w:rPr>
          <w:rFonts w:cs="Arial"/>
          <w:szCs w:val="24"/>
        </w:rPr>
        <w:t xml:space="preserve">are </w:t>
      </w:r>
      <w:r w:rsidRPr="006C43D8">
        <w:rPr>
          <w:rFonts w:cs="Arial"/>
          <w:szCs w:val="24"/>
        </w:rPr>
        <w:t>forged</w:t>
      </w:r>
      <w:r>
        <w:rPr>
          <w:rFonts w:cs="Arial"/>
          <w:szCs w:val="24"/>
        </w:rPr>
        <w:t>. It</w:t>
      </w:r>
      <w:r w:rsidRPr="006C43D8">
        <w:rPr>
          <w:rFonts w:cs="Arial"/>
          <w:szCs w:val="24"/>
        </w:rPr>
        <w:t xml:space="preserve"> </w:t>
      </w:r>
      <w:r>
        <w:rPr>
          <w:rFonts w:cs="Arial"/>
          <w:szCs w:val="24"/>
        </w:rPr>
        <w:t>would</w:t>
      </w:r>
      <w:r w:rsidRPr="006C43D8">
        <w:rPr>
          <w:rFonts w:cs="Arial"/>
          <w:szCs w:val="24"/>
        </w:rPr>
        <w:t xml:space="preserve"> also act as an educational tool, making it clear to exporters that permits are expected and checked.</w:t>
      </w:r>
      <w:bookmarkEnd w:id="354"/>
    </w:p>
    <w:p w14:paraId="33C589E8" w14:textId="77777777" w:rsidR="006520F3" w:rsidRDefault="006520F3">
      <w:pPr>
        <w:spacing w:line="276" w:lineRule="auto"/>
        <w:rPr>
          <w:rFonts w:asciiTheme="majorHAnsi" w:eastAsiaTheme="majorEastAsia" w:hAnsiTheme="majorHAnsi" w:cstheme="majorBidi"/>
          <w:b/>
          <w:bCs/>
          <w:color w:val="1F7377"/>
        </w:rPr>
      </w:pPr>
      <w:bookmarkStart w:id="355" w:name="_Toc419448786"/>
      <w:bookmarkStart w:id="356" w:name="_Toc419455967"/>
      <w:r>
        <w:br w:type="page"/>
      </w:r>
    </w:p>
    <w:p w14:paraId="73DB94C1" w14:textId="77777777" w:rsidR="00AA7153" w:rsidRDefault="00F529AD" w:rsidP="00525F38">
      <w:pPr>
        <w:pStyle w:val="Heading3"/>
      </w:pPr>
      <w:r w:rsidRPr="002C4669">
        <w:lastRenderedPageBreak/>
        <w:t>Exploration of AHECC Codes for Australian Heritage Objects</w:t>
      </w:r>
      <w:bookmarkEnd w:id="355"/>
      <w:bookmarkEnd w:id="356"/>
    </w:p>
    <w:p w14:paraId="2F18A6DA" w14:textId="77777777" w:rsidR="00AA7153" w:rsidRDefault="00F529AD" w:rsidP="00F529AD">
      <w:pPr>
        <w:rPr>
          <w:rFonts w:cs="Arial"/>
          <w:szCs w:val="24"/>
        </w:rPr>
      </w:pPr>
      <w:bookmarkStart w:id="357" w:name="_Toc419455968"/>
      <w:r w:rsidRPr="00AC19CF">
        <w:rPr>
          <w:rFonts w:cs="Arial"/>
          <w:szCs w:val="24"/>
        </w:rPr>
        <w:t>T</w:t>
      </w:r>
      <w:r>
        <w:rPr>
          <w:rFonts w:cs="Arial"/>
          <w:szCs w:val="24"/>
        </w:rPr>
        <w:t>he AHECC</w:t>
      </w:r>
      <w:r w:rsidRPr="00AC19CF">
        <w:rPr>
          <w:rFonts w:cs="Arial"/>
          <w:szCs w:val="24"/>
        </w:rPr>
        <w:t xml:space="preserve"> codes </w:t>
      </w:r>
      <w:r>
        <w:rPr>
          <w:rFonts w:cs="Arial"/>
          <w:szCs w:val="24"/>
        </w:rPr>
        <w:t>allow</w:t>
      </w:r>
      <w:r w:rsidRPr="00AC19CF">
        <w:rPr>
          <w:rFonts w:cs="Arial"/>
          <w:szCs w:val="24"/>
        </w:rPr>
        <w:t xml:space="preserve"> </w:t>
      </w:r>
      <w:r>
        <w:rPr>
          <w:rFonts w:cs="Arial"/>
          <w:szCs w:val="24"/>
        </w:rPr>
        <w:t>the Australian Border Force</w:t>
      </w:r>
      <w:r w:rsidRPr="00AC19CF">
        <w:rPr>
          <w:rFonts w:cs="Arial"/>
          <w:szCs w:val="24"/>
        </w:rPr>
        <w:t xml:space="preserve"> to track the flow of goods over our border, primarily for the purposes of statistical analysis and the calculation of duties owed.</w:t>
      </w:r>
      <w:bookmarkEnd w:id="357"/>
    </w:p>
    <w:p w14:paraId="36F87B55" w14:textId="0149D1AC" w:rsidR="00272A33" w:rsidRDefault="00F529AD" w:rsidP="00F529AD">
      <w:pPr>
        <w:rPr>
          <w:rFonts w:cs="Arial"/>
          <w:szCs w:val="24"/>
        </w:rPr>
      </w:pPr>
      <w:r>
        <w:rPr>
          <w:rFonts w:cs="Arial"/>
          <w:szCs w:val="24"/>
        </w:rPr>
        <w:t xml:space="preserve">AHECC Codes are eight digit codes against which exported goods are coded. The first six of these digits are fixed and are based on the </w:t>
      </w:r>
      <w:r w:rsidRPr="00E021FA">
        <w:rPr>
          <w:rFonts w:cs="Arial"/>
          <w:szCs w:val="24"/>
        </w:rPr>
        <w:t>Harmonized Commodity Description and Coding System</w:t>
      </w:r>
      <w:r>
        <w:rPr>
          <w:rFonts w:cs="Arial"/>
          <w:szCs w:val="24"/>
        </w:rPr>
        <w:t xml:space="preserve"> which was developed by and is maintained by the World Customs Organisation. The final two numbers provide further detail about the category</w:t>
      </w:r>
      <w:r w:rsidR="00380E73">
        <w:rPr>
          <w:rFonts w:cs="Arial"/>
          <w:szCs w:val="24"/>
        </w:rPr>
        <w:t xml:space="preserve"> and these</w:t>
      </w:r>
      <w:r>
        <w:rPr>
          <w:rFonts w:cs="Arial"/>
          <w:szCs w:val="24"/>
        </w:rPr>
        <w:t xml:space="preserve"> are updated and maintained by the Australian Bureau of Statistics. These final two digits of an AHECC code may be altered to create new codes</w:t>
      </w:r>
      <w:r w:rsidR="00801A32">
        <w:rPr>
          <w:rFonts w:cs="Arial"/>
          <w:szCs w:val="24"/>
        </w:rPr>
        <w:t>—</w:t>
      </w:r>
      <w:r w:rsidR="00272A33">
        <w:rPr>
          <w:rFonts w:cs="Arial"/>
          <w:szCs w:val="24"/>
        </w:rPr>
        <w:t>and this may be very important for the protection of Australian cultural property.</w:t>
      </w:r>
    </w:p>
    <w:p w14:paraId="43633043" w14:textId="77777777" w:rsidR="00AA7153" w:rsidRDefault="00272A33" w:rsidP="00F529AD">
      <w:pPr>
        <w:rPr>
          <w:rFonts w:cs="Arial"/>
          <w:szCs w:val="24"/>
        </w:rPr>
      </w:pPr>
      <w:r>
        <w:rPr>
          <w:rFonts w:cs="Arial"/>
          <w:szCs w:val="24"/>
        </w:rPr>
        <w:t>While it would require detailed feasibility studies, including industry consultation, the creation of new AHECC codes to cover cultural heritage material</w:t>
      </w:r>
      <w:r w:rsidR="00F529AD" w:rsidRPr="00AC19CF">
        <w:rPr>
          <w:rFonts w:cs="Arial"/>
          <w:szCs w:val="24"/>
        </w:rPr>
        <w:t xml:space="preserve"> would be </w:t>
      </w:r>
      <w:r>
        <w:rPr>
          <w:rFonts w:cs="Arial"/>
          <w:szCs w:val="24"/>
        </w:rPr>
        <w:t xml:space="preserve">a great step towards the effective </w:t>
      </w:r>
      <w:r w:rsidR="00F529AD" w:rsidRPr="00AC19CF">
        <w:rPr>
          <w:rFonts w:cs="Arial"/>
          <w:szCs w:val="24"/>
        </w:rPr>
        <w:t xml:space="preserve">enforcement of the </w:t>
      </w:r>
      <w:r>
        <w:rPr>
          <w:rFonts w:cs="Arial"/>
          <w:szCs w:val="24"/>
        </w:rPr>
        <w:t xml:space="preserve">Act. For the first time, it would permit the Act’s framework to </w:t>
      </w:r>
      <w:r w:rsidR="00F529AD" w:rsidRPr="00AC19CF">
        <w:rPr>
          <w:rFonts w:cs="Arial"/>
          <w:szCs w:val="24"/>
        </w:rPr>
        <w:t xml:space="preserve">integrate into the </w:t>
      </w:r>
      <w:r w:rsidR="00F529AD">
        <w:rPr>
          <w:rFonts w:cs="Arial"/>
          <w:szCs w:val="24"/>
        </w:rPr>
        <w:t xml:space="preserve">Australian Border Force </w:t>
      </w:r>
      <w:r w:rsidR="00F529AD" w:rsidRPr="00AC19CF">
        <w:rPr>
          <w:rFonts w:cs="Arial"/>
          <w:szCs w:val="24"/>
        </w:rPr>
        <w:t>system</w:t>
      </w:r>
      <w:r>
        <w:rPr>
          <w:rFonts w:cs="Arial"/>
          <w:szCs w:val="24"/>
        </w:rPr>
        <w:t>.</w:t>
      </w:r>
    </w:p>
    <w:p w14:paraId="49347569" w14:textId="77777777" w:rsidR="00AA7153" w:rsidRDefault="00F529AD" w:rsidP="00F529AD">
      <w:pPr>
        <w:rPr>
          <w:rFonts w:cs="Arial"/>
          <w:szCs w:val="24"/>
        </w:rPr>
      </w:pPr>
      <w:r>
        <w:rPr>
          <w:rFonts w:cs="Arial"/>
          <w:szCs w:val="24"/>
        </w:rPr>
        <w:t>The</w:t>
      </w:r>
      <w:r w:rsidR="00272A33">
        <w:rPr>
          <w:rFonts w:cs="Arial"/>
          <w:szCs w:val="24"/>
        </w:rPr>
        <w:t xml:space="preserve"> AHECC</w:t>
      </w:r>
      <w:r>
        <w:rPr>
          <w:rFonts w:cs="Arial"/>
          <w:szCs w:val="24"/>
        </w:rPr>
        <w:t xml:space="preserve"> codes allow the Australian Border Force to</w:t>
      </w:r>
      <w:r w:rsidRPr="00AC19CF">
        <w:rPr>
          <w:rFonts w:cs="Arial"/>
          <w:szCs w:val="24"/>
        </w:rPr>
        <w:t xml:space="preserve"> identify which permit </w:t>
      </w:r>
      <w:r>
        <w:rPr>
          <w:rFonts w:cs="Arial"/>
          <w:szCs w:val="24"/>
        </w:rPr>
        <w:t>is</w:t>
      </w:r>
      <w:r w:rsidRPr="00AC19CF">
        <w:rPr>
          <w:rFonts w:cs="Arial"/>
          <w:szCs w:val="24"/>
        </w:rPr>
        <w:t xml:space="preserve"> required </w:t>
      </w:r>
      <w:r>
        <w:rPr>
          <w:rFonts w:cs="Arial"/>
          <w:szCs w:val="24"/>
        </w:rPr>
        <w:t>to export</w:t>
      </w:r>
      <w:r w:rsidRPr="00AC19CF">
        <w:rPr>
          <w:rFonts w:cs="Arial"/>
          <w:szCs w:val="24"/>
        </w:rPr>
        <w:t xml:space="preserve"> a particular type of good</w:t>
      </w:r>
      <w:r>
        <w:rPr>
          <w:rFonts w:cs="Arial"/>
          <w:szCs w:val="24"/>
        </w:rPr>
        <w:t xml:space="preserve"> and which conditions apply to the export of that good type</w:t>
      </w:r>
      <w:r w:rsidRPr="00AC19CF">
        <w:rPr>
          <w:rFonts w:cs="Arial"/>
          <w:szCs w:val="24"/>
        </w:rPr>
        <w:t>. For example, the code denoting the export of live fish flag</w:t>
      </w:r>
      <w:r>
        <w:rPr>
          <w:rFonts w:cs="Arial"/>
          <w:szCs w:val="24"/>
        </w:rPr>
        <w:t>s</w:t>
      </w:r>
      <w:r w:rsidRPr="00AC19CF">
        <w:rPr>
          <w:rFonts w:cs="Arial"/>
          <w:szCs w:val="24"/>
        </w:rPr>
        <w:t xml:space="preserve"> the requirement for </w:t>
      </w:r>
      <w:r>
        <w:rPr>
          <w:rFonts w:cs="Arial"/>
          <w:szCs w:val="24"/>
        </w:rPr>
        <w:t>a</w:t>
      </w:r>
      <w:r w:rsidRPr="00AC19CF">
        <w:rPr>
          <w:rFonts w:cs="Arial"/>
          <w:szCs w:val="24"/>
        </w:rPr>
        <w:t xml:space="preserve"> </w:t>
      </w:r>
      <w:r>
        <w:rPr>
          <w:rFonts w:cs="Arial"/>
          <w:szCs w:val="24"/>
        </w:rPr>
        <w:t>particular</w:t>
      </w:r>
      <w:r w:rsidRPr="00AC19CF">
        <w:rPr>
          <w:rFonts w:cs="Arial"/>
          <w:szCs w:val="24"/>
        </w:rPr>
        <w:t xml:space="preserve"> permit from the Department of the Environment. </w:t>
      </w:r>
      <w:r>
        <w:rPr>
          <w:rFonts w:cs="Arial"/>
          <w:szCs w:val="24"/>
        </w:rPr>
        <w:t>In this case the flag indicates that an export permit must be produced and t</w:t>
      </w:r>
      <w:r w:rsidRPr="00AC19CF">
        <w:rPr>
          <w:rFonts w:cs="Arial"/>
          <w:szCs w:val="24"/>
        </w:rPr>
        <w:t>he exporter is informed that the goods will not be cleared for export until that permit is presented.</w:t>
      </w:r>
    </w:p>
    <w:p w14:paraId="34CA561F" w14:textId="77777777" w:rsidR="00AA7153" w:rsidRDefault="00F529AD" w:rsidP="00F529AD">
      <w:pPr>
        <w:rPr>
          <w:rFonts w:cs="Arial"/>
          <w:szCs w:val="24"/>
        </w:rPr>
      </w:pPr>
      <w:r w:rsidRPr="00AC19CF">
        <w:rPr>
          <w:rFonts w:cs="Arial"/>
          <w:szCs w:val="24"/>
        </w:rPr>
        <w:t xml:space="preserve">There are no AHECC codes that </w:t>
      </w:r>
      <w:r>
        <w:rPr>
          <w:rFonts w:cs="Arial"/>
          <w:szCs w:val="24"/>
        </w:rPr>
        <w:t>directly or specifically align with</w:t>
      </w:r>
      <w:r w:rsidRPr="00AC19CF">
        <w:rPr>
          <w:rFonts w:cs="Arial"/>
          <w:szCs w:val="24"/>
        </w:rPr>
        <w:t xml:space="preserve"> cultural material</w:t>
      </w:r>
      <w:r>
        <w:rPr>
          <w:rFonts w:cs="Arial"/>
          <w:szCs w:val="24"/>
        </w:rPr>
        <w:t xml:space="preserve"> as it is defined under the current Act or the new model</w:t>
      </w:r>
      <w:r w:rsidRPr="00AC19CF">
        <w:rPr>
          <w:rFonts w:cs="Arial"/>
          <w:szCs w:val="24"/>
        </w:rPr>
        <w:t xml:space="preserve">. </w:t>
      </w:r>
      <w:r>
        <w:rPr>
          <w:rFonts w:cs="Arial"/>
          <w:szCs w:val="24"/>
        </w:rPr>
        <w:t>There are, however, some codes that have a clear connection to cultural material. These include:</w:t>
      </w:r>
    </w:p>
    <w:p w14:paraId="7E8AD1DD" w14:textId="4C53F040" w:rsidR="00F529AD" w:rsidRDefault="00F529AD" w:rsidP="00C66090">
      <w:pPr>
        <w:pStyle w:val="ListParagraph"/>
        <w:numPr>
          <w:ilvl w:val="0"/>
          <w:numId w:val="45"/>
        </w:numPr>
        <w:tabs>
          <w:tab w:val="clear" w:pos="720"/>
          <w:tab w:val="num" w:pos="567"/>
        </w:tabs>
        <w:ind w:left="567" w:hanging="567"/>
      </w:pPr>
      <w:r w:rsidRPr="00654D39">
        <w:t>97050000</w:t>
      </w:r>
      <w:r w:rsidR="00AA7153">
        <w:t>—</w:t>
      </w:r>
      <w:r w:rsidRPr="00654D39">
        <w:t>Collections and collectors' pieces of zoological, botanical, mineralogical, anatomical, historical, archaeological, palaeontological, ethnographic or numismatic interest</w:t>
      </w:r>
      <w:r>
        <w:t>;</w:t>
      </w:r>
    </w:p>
    <w:p w14:paraId="2EA20E90" w14:textId="3F5966E7" w:rsidR="00F529AD" w:rsidRPr="00654D39" w:rsidRDefault="00F529AD" w:rsidP="00C66090">
      <w:pPr>
        <w:pStyle w:val="ListParagraph"/>
        <w:numPr>
          <w:ilvl w:val="0"/>
          <w:numId w:val="46"/>
        </w:numPr>
        <w:tabs>
          <w:tab w:val="clear" w:pos="720"/>
          <w:tab w:val="num" w:pos="567"/>
        </w:tabs>
        <w:ind w:left="567" w:hanging="567"/>
      </w:pPr>
      <w:r w:rsidRPr="00654D39">
        <w:t>97011000</w:t>
      </w:r>
      <w:r w:rsidR="00AA7153">
        <w:t>—</w:t>
      </w:r>
      <w:r w:rsidRPr="00654D39">
        <w:t>Paintings, drawings and pastels, executed entirely by hand (excl. drawings of 4906 and hand-painted or hand-decorated manufactured articles)</w:t>
      </w:r>
      <w:r>
        <w:t>;</w:t>
      </w:r>
    </w:p>
    <w:p w14:paraId="0698EC05" w14:textId="603AA202" w:rsidR="00AA7153" w:rsidRDefault="00F529AD" w:rsidP="00C66090">
      <w:pPr>
        <w:pStyle w:val="ListParagraph"/>
        <w:numPr>
          <w:ilvl w:val="0"/>
          <w:numId w:val="46"/>
        </w:numPr>
        <w:tabs>
          <w:tab w:val="clear" w:pos="720"/>
          <w:tab w:val="num" w:pos="567"/>
        </w:tabs>
        <w:ind w:left="567" w:hanging="567"/>
      </w:pPr>
      <w:r w:rsidRPr="00654D39">
        <w:t>97060000</w:t>
      </w:r>
      <w:r w:rsidR="00AA7153">
        <w:t>—</w:t>
      </w:r>
      <w:r w:rsidRPr="00654D39">
        <w:t>Antiques of an age exc</w:t>
      </w:r>
      <w:r>
        <w:t>eeding</w:t>
      </w:r>
      <w:r w:rsidRPr="00654D39">
        <w:t xml:space="preserve"> one hundred years</w:t>
      </w:r>
      <w:r>
        <w:t>;</w:t>
      </w:r>
    </w:p>
    <w:p w14:paraId="4214D089" w14:textId="18B4C667" w:rsidR="00F529AD" w:rsidRDefault="00F529AD" w:rsidP="00C66090">
      <w:pPr>
        <w:pStyle w:val="ListParagraph"/>
        <w:numPr>
          <w:ilvl w:val="0"/>
          <w:numId w:val="46"/>
        </w:numPr>
        <w:tabs>
          <w:tab w:val="clear" w:pos="720"/>
          <w:tab w:val="num" w:pos="567"/>
        </w:tabs>
        <w:ind w:left="567" w:hanging="567"/>
      </w:pPr>
      <w:r w:rsidRPr="00654D39">
        <w:lastRenderedPageBreak/>
        <w:t>97040000</w:t>
      </w:r>
      <w:r w:rsidR="00AA7153">
        <w:t>—</w:t>
      </w:r>
      <w:r w:rsidRPr="00654D39">
        <w:t>Used postage or revenue stamps, stamp-postmarks, first-day covers, postal stationery (stamped paper) and the like, or if unused not of current or new issue in the country of destination</w:t>
      </w:r>
      <w:r>
        <w:t>;</w:t>
      </w:r>
      <w:r w:rsidRPr="00895BA3">
        <w:t xml:space="preserve"> </w:t>
      </w:r>
      <w:r>
        <w:t>and</w:t>
      </w:r>
    </w:p>
    <w:p w14:paraId="3390F55B" w14:textId="37D5EFC3" w:rsidR="00F529AD" w:rsidRPr="00654D39" w:rsidRDefault="00F529AD" w:rsidP="00C66090">
      <w:pPr>
        <w:pStyle w:val="ListParagraph"/>
        <w:numPr>
          <w:ilvl w:val="0"/>
          <w:numId w:val="46"/>
        </w:numPr>
        <w:tabs>
          <w:tab w:val="clear" w:pos="720"/>
          <w:tab w:val="num" w:pos="567"/>
        </w:tabs>
        <w:ind w:left="567" w:hanging="567"/>
      </w:pPr>
      <w:r>
        <w:t>2</w:t>
      </w:r>
      <w:r w:rsidR="008E696C">
        <w:t>5120000</w:t>
      </w:r>
      <w:r w:rsidR="00AA7153">
        <w:t>—</w:t>
      </w:r>
      <w:r w:rsidR="008E696C">
        <w:t>Siliceous fossil materials</w:t>
      </w:r>
      <w:r>
        <w:t xml:space="preserve"> and similar siliceous earths, of an apparent specific gravity of 1 or less.</w:t>
      </w:r>
    </w:p>
    <w:p w14:paraId="159C6A75" w14:textId="71E455AD" w:rsidR="00AA7153" w:rsidRDefault="00F529AD" w:rsidP="00F529AD">
      <w:pPr>
        <w:rPr>
          <w:rFonts w:cs="Arial"/>
          <w:szCs w:val="24"/>
        </w:rPr>
      </w:pPr>
      <w:r>
        <w:rPr>
          <w:rFonts w:cs="Arial"/>
          <w:szCs w:val="24"/>
        </w:rPr>
        <w:t>However, it is clear that these codes do not directly correlate with definitions</w:t>
      </w:r>
      <w:r w:rsidR="008027A0">
        <w:rPr>
          <w:rFonts w:cs="Arial"/>
          <w:szCs w:val="24"/>
        </w:rPr>
        <w:t xml:space="preserve"> under the Act</w:t>
      </w:r>
      <w:r>
        <w:rPr>
          <w:rFonts w:cs="Arial"/>
          <w:szCs w:val="24"/>
        </w:rPr>
        <w:t xml:space="preserve">. For example, a painting which is regulated under the Act would be captured under AHECC code </w:t>
      </w:r>
      <w:r w:rsidRPr="00654D39">
        <w:t>97011000</w:t>
      </w:r>
      <w:r>
        <w:rPr>
          <w:rFonts w:cs="Arial"/>
          <w:szCs w:val="24"/>
        </w:rPr>
        <w:t>; but not all of the artworks exported under that code will require a PMCH permit</w:t>
      </w:r>
      <w:r w:rsidR="00801A32">
        <w:rPr>
          <w:rFonts w:cs="Arial"/>
          <w:szCs w:val="24"/>
        </w:rPr>
        <w:t>—</w:t>
      </w:r>
      <w:r>
        <w:rPr>
          <w:rFonts w:cs="Arial"/>
          <w:szCs w:val="24"/>
        </w:rPr>
        <w:t xml:space="preserve">some may not be Australia-related, others may not meet the age threshold. </w:t>
      </w:r>
    </w:p>
    <w:p w14:paraId="7A7412AE" w14:textId="77777777" w:rsidR="00AA7153" w:rsidRDefault="00F529AD" w:rsidP="00F529AD">
      <w:r>
        <w:t>Additionally, som</w:t>
      </w:r>
      <w:r w:rsidR="008E696C">
        <w:t>e material regulated by the</w:t>
      </w:r>
      <w:r>
        <w:t xml:space="preserve"> Act may fall under multiple AHECC codes, depending on materials used or type of object. This makes it difficult to accurately predict which codes will be used by exporters for Act-regulated material. For example, farming equipment with historical significance may be exported under code </w:t>
      </w:r>
      <w:r w:rsidRPr="00102432">
        <w:t>8432</w:t>
      </w:r>
      <w:r>
        <w:t>0000</w:t>
      </w:r>
      <w:r w:rsidRPr="00102432">
        <w:t xml:space="preserve"> </w:t>
      </w:r>
      <w:r>
        <w:t>(</w:t>
      </w:r>
      <w:r w:rsidRPr="00102432">
        <w:t>Agricultural, horticultural or forestry machinery for soil preparation or cultivation; lawn or sports-ground rollers</w:t>
      </w:r>
      <w:r>
        <w:t xml:space="preserve">) or under code </w:t>
      </w:r>
      <w:r w:rsidRPr="00386D9F">
        <w:t xml:space="preserve">97050000 </w:t>
      </w:r>
      <w:r>
        <w:t>(</w:t>
      </w:r>
      <w:r w:rsidRPr="00386D9F">
        <w:t xml:space="preserve">Collections and collectors' pieces of zoological, botanical, mineralogical, anatomical, historical, archaeological, </w:t>
      </w:r>
      <w:r w:rsidRPr="00B77D4A">
        <w:t>palaeontological</w:t>
      </w:r>
      <w:r w:rsidRPr="00386D9F">
        <w:t>, ethnographic or numismatic interest</w:t>
      </w:r>
      <w:r>
        <w:t>).</w:t>
      </w:r>
    </w:p>
    <w:p w14:paraId="07C691B1" w14:textId="27BADDC5" w:rsidR="00AA7153" w:rsidRDefault="00F529AD" w:rsidP="00F529AD">
      <w:pPr>
        <w:rPr>
          <w:rFonts w:cs="Arial"/>
          <w:szCs w:val="24"/>
        </w:rPr>
      </w:pPr>
      <w:r>
        <w:rPr>
          <w:rFonts w:cs="Arial"/>
          <w:szCs w:val="24"/>
        </w:rPr>
        <w:t>This means that it is not feasible for a ‘non-clearance’ flag to be placed on AHECC codes in relation to permits</w:t>
      </w:r>
      <w:r w:rsidR="008027A0">
        <w:rPr>
          <w:rFonts w:cs="Arial"/>
          <w:szCs w:val="24"/>
        </w:rPr>
        <w:t xml:space="preserve"> for cultural material</w:t>
      </w:r>
      <w:r>
        <w:rPr>
          <w:rFonts w:cs="Arial"/>
          <w:szCs w:val="24"/>
        </w:rPr>
        <w:t xml:space="preserve">. What could be incorporated is a warning to the exporter that this type of good </w:t>
      </w:r>
      <w:r w:rsidRPr="003015F1">
        <w:rPr>
          <w:rFonts w:cs="Arial"/>
          <w:b/>
          <w:szCs w:val="24"/>
        </w:rPr>
        <w:t>may</w:t>
      </w:r>
      <w:r>
        <w:rPr>
          <w:rFonts w:cs="Arial"/>
          <w:szCs w:val="24"/>
        </w:rPr>
        <w:t xml:space="preserve"> require a permit under the Act. </w:t>
      </w:r>
    </w:p>
    <w:p w14:paraId="2EA70887" w14:textId="77777777" w:rsidR="00AA7153" w:rsidRDefault="00F529AD" w:rsidP="00F529AD">
      <w:pPr>
        <w:rPr>
          <w:rFonts w:cs="Arial"/>
          <w:szCs w:val="24"/>
        </w:rPr>
      </w:pPr>
      <w:r>
        <w:rPr>
          <w:rFonts w:cs="Arial"/>
          <w:szCs w:val="24"/>
        </w:rPr>
        <w:t xml:space="preserve">While this is possible under the current Act, it is likely to be ineffective due to the complexities of the Control List thresholds. The current use of subjective </w:t>
      </w:r>
      <w:r w:rsidRPr="00AC19CF">
        <w:rPr>
          <w:rFonts w:cs="Arial"/>
          <w:szCs w:val="24"/>
        </w:rPr>
        <w:t>criteria to define what is</w:t>
      </w:r>
      <w:r>
        <w:rPr>
          <w:rFonts w:cs="Arial"/>
          <w:szCs w:val="24"/>
        </w:rPr>
        <w:t xml:space="preserve"> protected requires information that is likely to be outside of the reasonable knowledge of exporters or export brokers.</w:t>
      </w:r>
    </w:p>
    <w:p w14:paraId="03FB43C1" w14:textId="67CFEC3F" w:rsidR="00F529AD" w:rsidRDefault="00F529AD" w:rsidP="00F529AD">
      <w:pPr>
        <w:rPr>
          <w:rFonts w:cs="Arial"/>
          <w:szCs w:val="24"/>
        </w:rPr>
      </w:pPr>
      <w:r>
        <w:rPr>
          <w:rFonts w:cs="Arial"/>
          <w:szCs w:val="24"/>
        </w:rPr>
        <w:t>T</w:t>
      </w:r>
      <w:r w:rsidRPr="00AC19CF">
        <w:rPr>
          <w:rFonts w:cs="Arial"/>
          <w:szCs w:val="24"/>
        </w:rPr>
        <w:t xml:space="preserve">he </w:t>
      </w:r>
      <w:r w:rsidR="008E696C">
        <w:rPr>
          <w:rFonts w:cs="Arial"/>
          <w:szCs w:val="24"/>
        </w:rPr>
        <w:t xml:space="preserve">new </w:t>
      </w:r>
      <w:r w:rsidR="001D5B4D">
        <w:rPr>
          <w:rFonts w:cs="Arial"/>
          <w:szCs w:val="24"/>
        </w:rPr>
        <w:t>model’s</w:t>
      </w:r>
      <w:r w:rsidR="001D5B4D" w:rsidRPr="00AC19CF">
        <w:rPr>
          <w:rFonts w:cs="Arial"/>
          <w:szCs w:val="24"/>
        </w:rPr>
        <w:t xml:space="preserve"> </w:t>
      </w:r>
      <w:r w:rsidRPr="00AC19CF">
        <w:rPr>
          <w:rFonts w:cs="Arial"/>
          <w:szCs w:val="24"/>
        </w:rPr>
        <w:t>Control List def</w:t>
      </w:r>
      <w:r w:rsidR="008E696C">
        <w:rPr>
          <w:rFonts w:cs="Arial"/>
          <w:szCs w:val="24"/>
        </w:rPr>
        <w:t>ines Australian Heritage Material</w:t>
      </w:r>
      <w:r w:rsidRPr="00AC19CF">
        <w:rPr>
          <w:rFonts w:cs="Arial"/>
          <w:szCs w:val="24"/>
        </w:rPr>
        <w:t xml:space="preserve"> with reference to objective criteria (class of object, age and monetary value) </w:t>
      </w:r>
      <w:r w:rsidR="001D5B4D">
        <w:rPr>
          <w:rFonts w:cs="Arial"/>
          <w:szCs w:val="24"/>
        </w:rPr>
        <w:t>and this would</w:t>
      </w:r>
      <w:r>
        <w:rPr>
          <w:rFonts w:cs="Arial"/>
          <w:szCs w:val="24"/>
        </w:rPr>
        <w:t xml:space="preserve"> make the use of a ‘warning’ flag far more effective. It would allow the Department to clearly demonstrate that an exporter who chose to proceed with an export in contravention of the Act did so knowingly. It would also have the added benefit of increasing the public </w:t>
      </w:r>
      <w:r>
        <w:rPr>
          <w:rFonts w:cs="Arial"/>
          <w:szCs w:val="24"/>
        </w:rPr>
        <w:lastRenderedPageBreak/>
        <w:t>awareness of the legislation and encouraging exporters to consider their obligations under the Act.</w:t>
      </w:r>
    </w:p>
    <w:p w14:paraId="4450144A" w14:textId="77777777" w:rsidR="00AA7153" w:rsidRDefault="00F529AD" w:rsidP="00525F38">
      <w:pPr>
        <w:pStyle w:val="Heading3"/>
      </w:pPr>
      <w:bookmarkStart w:id="358" w:name="_Toc419448787"/>
      <w:bookmarkStart w:id="359" w:name="_Toc419455974"/>
      <w:r w:rsidRPr="002C4669">
        <w:t>Inspectors</w:t>
      </w:r>
      <w:bookmarkEnd w:id="358"/>
      <w:bookmarkEnd w:id="359"/>
    </w:p>
    <w:p w14:paraId="2DB9D368" w14:textId="77777777" w:rsidR="00AA7153" w:rsidRDefault="00F529AD" w:rsidP="00F529AD">
      <w:pPr>
        <w:rPr>
          <w:rFonts w:cs="Arial"/>
          <w:szCs w:val="24"/>
        </w:rPr>
      </w:pPr>
      <w:bookmarkStart w:id="360" w:name="_Toc419455975"/>
      <w:r w:rsidRPr="00AC19CF">
        <w:rPr>
          <w:rFonts w:cs="Arial"/>
          <w:szCs w:val="24"/>
        </w:rPr>
        <w:t>Under the current Act, al</w:t>
      </w:r>
      <w:r>
        <w:rPr>
          <w:rFonts w:cs="Arial"/>
          <w:szCs w:val="24"/>
        </w:rPr>
        <w:t>l state, territory and federal p</w:t>
      </w:r>
      <w:r w:rsidRPr="00AC19CF">
        <w:rPr>
          <w:rFonts w:cs="Arial"/>
          <w:szCs w:val="24"/>
        </w:rPr>
        <w:t xml:space="preserve">olice officers are Inspectors. The Minister may also designate particular individuals as Inspectors. </w:t>
      </w:r>
      <w:bookmarkStart w:id="361" w:name="_Toc419455976"/>
      <w:bookmarkEnd w:id="360"/>
      <w:r>
        <w:rPr>
          <w:rFonts w:cs="Arial"/>
          <w:szCs w:val="24"/>
        </w:rPr>
        <w:t>The new model retains these</w:t>
      </w:r>
      <w:r w:rsidRPr="00AC19CF">
        <w:rPr>
          <w:rFonts w:cs="Arial"/>
          <w:szCs w:val="24"/>
        </w:rPr>
        <w:t xml:space="preserve"> two classes of Inspectors</w:t>
      </w:r>
      <w:bookmarkEnd w:id="361"/>
      <w:r>
        <w:rPr>
          <w:rFonts w:cs="Arial"/>
          <w:szCs w:val="24"/>
        </w:rPr>
        <w:t>.</w:t>
      </w:r>
    </w:p>
    <w:p w14:paraId="302DD41E" w14:textId="77777777" w:rsidR="00AA7153" w:rsidRDefault="00F529AD" w:rsidP="00525F38">
      <w:pPr>
        <w:pStyle w:val="Heading4"/>
      </w:pPr>
      <w:bookmarkStart w:id="362" w:name="_Toc419448788"/>
      <w:bookmarkStart w:id="363" w:name="_Toc419455979"/>
      <w:r w:rsidRPr="002C4669">
        <w:t>New powers for Border Force officers</w:t>
      </w:r>
      <w:bookmarkEnd w:id="362"/>
      <w:bookmarkEnd w:id="363"/>
    </w:p>
    <w:p w14:paraId="58227A8C" w14:textId="77777777" w:rsidR="00AA7153" w:rsidRDefault="00F529AD" w:rsidP="00F529AD">
      <w:pPr>
        <w:rPr>
          <w:rFonts w:cs="Arial"/>
          <w:szCs w:val="24"/>
        </w:rPr>
      </w:pPr>
      <w:bookmarkStart w:id="364" w:name="_Toc419455980"/>
      <w:r w:rsidRPr="00B30505">
        <w:rPr>
          <w:rFonts w:cs="Arial"/>
          <w:szCs w:val="24"/>
        </w:rPr>
        <w:t xml:space="preserve">It is also recommended that </w:t>
      </w:r>
      <w:r>
        <w:rPr>
          <w:rFonts w:cs="Arial"/>
          <w:szCs w:val="24"/>
        </w:rPr>
        <w:t xml:space="preserve">Australian Border Force </w:t>
      </w:r>
      <w:r w:rsidRPr="00B30505">
        <w:rPr>
          <w:rFonts w:cs="Arial"/>
          <w:szCs w:val="24"/>
        </w:rPr>
        <w:t>officers, while on controlled premises, are designated</w:t>
      </w:r>
      <w:r>
        <w:rPr>
          <w:rFonts w:cs="Arial"/>
          <w:szCs w:val="24"/>
        </w:rPr>
        <w:t xml:space="preserve"> ‘Inspectors ex officio’ </w:t>
      </w:r>
      <w:r w:rsidRPr="00B30505">
        <w:rPr>
          <w:rFonts w:cs="Arial"/>
          <w:szCs w:val="24"/>
        </w:rPr>
        <w:t xml:space="preserve">under the </w:t>
      </w:r>
      <w:r>
        <w:rPr>
          <w:rFonts w:cs="Arial"/>
          <w:szCs w:val="24"/>
        </w:rPr>
        <w:t>new</w:t>
      </w:r>
      <w:r w:rsidRPr="00B30505">
        <w:rPr>
          <w:rFonts w:cs="Arial"/>
          <w:szCs w:val="24"/>
        </w:rPr>
        <w:t xml:space="preserve"> model. This would allow objects to be seized at the border by </w:t>
      </w:r>
      <w:r>
        <w:rPr>
          <w:rFonts w:cs="Arial"/>
          <w:szCs w:val="24"/>
        </w:rPr>
        <w:t xml:space="preserve">Australian Border Force </w:t>
      </w:r>
      <w:r w:rsidRPr="00B30505">
        <w:rPr>
          <w:rFonts w:cs="Arial"/>
          <w:szCs w:val="24"/>
        </w:rPr>
        <w:t xml:space="preserve">officials and </w:t>
      </w:r>
      <w:r>
        <w:rPr>
          <w:rFonts w:cs="Arial"/>
          <w:szCs w:val="24"/>
        </w:rPr>
        <w:t xml:space="preserve">would </w:t>
      </w:r>
      <w:r w:rsidRPr="00B30505">
        <w:rPr>
          <w:rFonts w:cs="Arial"/>
          <w:szCs w:val="24"/>
        </w:rPr>
        <w:t xml:space="preserve">streamline the </w:t>
      </w:r>
      <w:r>
        <w:rPr>
          <w:rFonts w:cs="Arial"/>
          <w:szCs w:val="24"/>
        </w:rPr>
        <w:t xml:space="preserve">current processes. </w:t>
      </w:r>
      <w:r w:rsidRPr="00B30505">
        <w:rPr>
          <w:rFonts w:cs="Arial"/>
          <w:szCs w:val="24"/>
        </w:rPr>
        <w:t xml:space="preserve">It would also allow for better integration of the monitoring of these objects with existing </w:t>
      </w:r>
      <w:r>
        <w:rPr>
          <w:rFonts w:cs="Arial"/>
          <w:szCs w:val="24"/>
        </w:rPr>
        <w:t xml:space="preserve">border control </w:t>
      </w:r>
      <w:r w:rsidRPr="00B30505">
        <w:rPr>
          <w:rFonts w:cs="Arial"/>
          <w:szCs w:val="24"/>
        </w:rPr>
        <w:t>systems.</w:t>
      </w:r>
    </w:p>
    <w:p w14:paraId="3914DA21" w14:textId="692F56D1" w:rsidR="00F529AD" w:rsidRDefault="00F529AD" w:rsidP="00F529AD">
      <w:pPr>
        <w:rPr>
          <w:rFonts w:cs="Arial"/>
          <w:szCs w:val="24"/>
        </w:rPr>
      </w:pPr>
      <w:r>
        <w:rPr>
          <w:rFonts w:cs="Arial"/>
          <w:szCs w:val="24"/>
        </w:rPr>
        <w:t>A</w:t>
      </w:r>
      <w:r w:rsidRPr="00B30505">
        <w:rPr>
          <w:rFonts w:cs="Arial"/>
          <w:szCs w:val="24"/>
        </w:rPr>
        <w:t xml:space="preserve"> model</w:t>
      </w:r>
      <w:r>
        <w:rPr>
          <w:rFonts w:cs="Arial"/>
          <w:szCs w:val="24"/>
        </w:rPr>
        <w:t xml:space="preserve"> such as that</w:t>
      </w:r>
      <w:r w:rsidRPr="00B30505">
        <w:rPr>
          <w:rFonts w:cs="Arial"/>
          <w:szCs w:val="24"/>
        </w:rPr>
        <w:t xml:space="preserve"> under the </w:t>
      </w:r>
      <w:r>
        <w:rPr>
          <w:rFonts w:cs="Arial"/>
          <w:i/>
          <w:szCs w:val="24"/>
        </w:rPr>
        <w:t>Environmental Protection and Biodiversity Conservation Act 1999</w:t>
      </w:r>
      <w:r w:rsidRPr="00B30505">
        <w:rPr>
          <w:rFonts w:cs="Arial"/>
          <w:szCs w:val="24"/>
        </w:rPr>
        <w:t xml:space="preserve"> </w:t>
      </w:r>
      <w:r>
        <w:rPr>
          <w:rFonts w:cs="Arial"/>
          <w:szCs w:val="24"/>
        </w:rPr>
        <w:t xml:space="preserve">could </w:t>
      </w:r>
      <w:r w:rsidRPr="00B30505">
        <w:rPr>
          <w:rFonts w:cs="Arial"/>
          <w:szCs w:val="24"/>
        </w:rPr>
        <w:t>be used as the basis for such a provision</w:t>
      </w:r>
      <w:bookmarkEnd w:id="364"/>
      <w:r>
        <w:rPr>
          <w:rFonts w:cs="Arial"/>
          <w:szCs w:val="24"/>
        </w:rPr>
        <w:t>.</w:t>
      </w:r>
    </w:p>
    <w:p w14:paraId="7000F4C2" w14:textId="77777777" w:rsidR="00F529AD" w:rsidRPr="002C4669" w:rsidRDefault="00F529AD" w:rsidP="00F529AD"/>
    <w:p w14:paraId="67573273" w14:textId="77777777" w:rsidR="00F8414F" w:rsidRDefault="00F8414F">
      <w:pPr>
        <w:spacing w:line="276" w:lineRule="auto"/>
        <w:rPr>
          <w:rFonts w:asciiTheme="majorHAnsi" w:eastAsiaTheme="majorEastAsia" w:hAnsiTheme="majorHAnsi" w:cstheme="majorBidi"/>
          <w:color w:val="23607C"/>
          <w:spacing w:val="5"/>
          <w:kern w:val="28"/>
          <w:sz w:val="52"/>
          <w:szCs w:val="52"/>
        </w:rPr>
      </w:pPr>
      <w:r>
        <w:br w:type="page"/>
      </w:r>
    </w:p>
    <w:p w14:paraId="2BC7F346" w14:textId="6872B5F3" w:rsidR="00AA7153" w:rsidRDefault="006520F3" w:rsidP="003E33B5">
      <w:pPr>
        <w:pStyle w:val="Heading1"/>
      </w:pPr>
      <w:bookmarkStart w:id="365" w:name="_Toc433906619"/>
      <w:r>
        <w:lastRenderedPageBreak/>
        <w:t>Pa</w:t>
      </w:r>
      <w:r w:rsidR="003B4493" w:rsidRPr="008725DC">
        <w:t>rt</w:t>
      </w:r>
      <w:r w:rsidR="003B4493">
        <w:t xml:space="preserve"> E</w:t>
      </w:r>
      <w:r w:rsidR="00801A32">
        <w:t>—</w:t>
      </w:r>
      <w:r w:rsidR="00DA721B">
        <w:t>Recommendation</w:t>
      </w:r>
      <w:r w:rsidR="00AA7153">
        <w:t>—</w:t>
      </w:r>
      <w:r>
        <w:t xml:space="preserve">New </w:t>
      </w:r>
      <w:r w:rsidR="003E33B5">
        <w:t>Model</w:t>
      </w:r>
      <w:bookmarkEnd w:id="365"/>
    </w:p>
    <w:p w14:paraId="4582CB09" w14:textId="0B1606AD" w:rsidR="00E2435E" w:rsidRPr="00E2435E" w:rsidRDefault="00E2435E" w:rsidP="00E2435E">
      <w:pPr>
        <w:pStyle w:val="Heading1"/>
      </w:pPr>
      <w:bookmarkStart w:id="366" w:name="_Toc431223049"/>
      <w:bookmarkStart w:id="367" w:name="_Toc431303195"/>
      <w:bookmarkStart w:id="368" w:name="_Toc431307843"/>
      <w:bookmarkStart w:id="369" w:name="_Toc433906620"/>
      <w:r>
        <w:t>Protection of Australian Cultural Material</w:t>
      </w:r>
      <w:r w:rsidR="00801A32">
        <w:t>—</w:t>
      </w:r>
      <w:r>
        <w:t>export provisions</w:t>
      </w:r>
      <w:bookmarkEnd w:id="366"/>
      <w:bookmarkEnd w:id="367"/>
      <w:bookmarkEnd w:id="368"/>
      <w:bookmarkEnd w:id="369"/>
    </w:p>
    <w:p w14:paraId="3436F65F" w14:textId="77777777" w:rsidR="00AA7153" w:rsidRDefault="003B4493" w:rsidP="00052178">
      <w:pPr>
        <w:pStyle w:val="Heading2"/>
      </w:pPr>
      <w:bookmarkStart w:id="370" w:name="_Toc431223050"/>
      <w:bookmarkStart w:id="371" w:name="_Toc431303196"/>
      <w:bookmarkStart w:id="372" w:name="_Toc431307844"/>
      <w:bookmarkStart w:id="373" w:name="_Toc433906621"/>
      <w:r w:rsidRPr="00B3624C">
        <w:t xml:space="preserve">Principles of the </w:t>
      </w:r>
      <w:r w:rsidRPr="004B7746">
        <w:t xml:space="preserve">new </w:t>
      </w:r>
      <w:r w:rsidR="003E33B5" w:rsidRPr="004B7746">
        <w:t>export</w:t>
      </w:r>
      <w:r w:rsidR="003E33B5">
        <w:t xml:space="preserve"> </w:t>
      </w:r>
      <w:r w:rsidRPr="00B3624C">
        <w:t>model</w:t>
      </w:r>
      <w:bookmarkEnd w:id="370"/>
      <w:bookmarkEnd w:id="371"/>
      <w:bookmarkEnd w:id="372"/>
      <w:bookmarkEnd w:id="373"/>
    </w:p>
    <w:p w14:paraId="121ABEFD" w14:textId="77777777" w:rsidR="00AA7153" w:rsidRDefault="003B4493" w:rsidP="00E5299D">
      <w:pPr>
        <w:pStyle w:val="List"/>
        <w:numPr>
          <w:ilvl w:val="3"/>
          <w:numId w:val="99"/>
        </w:numPr>
      </w:pPr>
      <w:r w:rsidRPr="00B3624C">
        <w:t>The new model seeks to provide:</w:t>
      </w:r>
    </w:p>
    <w:p w14:paraId="42405644" w14:textId="3B965A80" w:rsidR="003B4493" w:rsidRPr="00B3624C" w:rsidRDefault="003B4493" w:rsidP="00E5299D">
      <w:pPr>
        <w:pStyle w:val="List2"/>
        <w:numPr>
          <w:ilvl w:val="4"/>
          <w:numId w:val="99"/>
        </w:numPr>
        <w:ind w:left="1134" w:hanging="567"/>
      </w:pPr>
      <w:r w:rsidRPr="00B3624C">
        <w:t>a simpler legislative framework for the regulation of export and import of cultural material;</w:t>
      </w:r>
    </w:p>
    <w:p w14:paraId="393A3DE7" w14:textId="77777777" w:rsidR="003B4493" w:rsidRPr="00B3624C" w:rsidRDefault="003B4493" w:rsidP="00E5299D">
      <w:pPr>
        <w:pStyle w:val="List2"/>
        <w:numPr>
          <w:ilvl w:val="4"/>
          <w:numId w:val="99"/>
        </w:numPr>
        <w:ind w:left="1134" w:hanging="567"/>
      </w:pPr>
      <w:r w:rsidRPr="00B3624C">
        <w:t>objective standards to define the material being regulated;</w:t>
      </w:r>
    </w:p>
    <w:p w14:paraId="3759BB68" w14:textId="0886A1E1" w:rsidR="00AA7153" w:rsidRDefault="003B4493" w:rsidP="00E5299D">
      <w:pPr>
        <w:pStyle w:val="List2"/>
        <w:numPr>
          <w:ilvl w:val="4"/>
          <w:numId w:val="99"/>
        </w:numPr>
        <w:ind w:left="1134" w:hanging="567"/>
      </w:pPr>
      <w:r w:rsidRPr="00B3624C">
        <w:t>clear, practicable criteria for determining the significance of material;</w:t>
      </w:r>
    </w:p>
    <w:p w14:paraId="77CC6489" w14:textId="271DA543" w:rsidR="003B4493" w:rsidRPr="00B3624C" w:rsidRDefault="003B4493" w:rsidP="00E5299D">
      <w:pPr>
        <w:pStyle w:val="List2"/>
        <w:numPr>
          <w:ilvl w:val="4"/>
          <w:numId w:val="99"/>
        </w:numPr>
        <w:ind w:left="1134" w:hanging="567"/>
      </w:pPr>
      <w:r w:rsidRPr="00B3624C">
        <w:t>an articulated process to assess the significance level of material;</w:t>
      </w:r>
    </w:p>
    <w:p w14:paraId="6273999A" w14:textId="77777777" w:rsidR="00AA7153" w:rsidRDefault="003B4493" w:rsidP="00E5299D">
      <w:pPr>
        <w:pStyle w:val="List2"/>
        <w:numPr>
          <w:ilvl w:val="4"/>
          <w:numId w:val="99"/>
        </w:numPr>
        <w:ind w:left="1134" w:hanging="567"/>
      </w:pPr>
      <w:r w:rsidRPr="00B3624C">
        <w:t>a more efficient assessment process by requiring a greater degree of title, provenance and asset description information from applicants applying for permits;</w:t>
      </w:r>
    </w:p>
    <w:p w14:paraId="1A0F7452" w14:textId="77777777" w:rsidR="00AA7153" w:rsidRDefault="003B4493" w:rsidP="00E5299D">
      <w:pPr>
        <w:pStyle w:val="List2"/>
        <w:numPr>
          <w:ilvl w:val="4"/>
          <w:numId w:val="99"/>
        </w:numPr>
        <w:ind w:left="1134" w:hanging="567"/>
      </w:pPr>
      <w:r w:rsidRPr="00B3624C">
        <w:t>a flexible and risk-based approach to assessment processes;</w:t>
      </w:r>
    </w:p>
    <w:p w14:paraId="15D2049B" w14:textId="77777777" w:rsidR="00AA7153" w:rsidRDefault="003B4493" w:rsidP="00E5299D">
      <w:pPr>
        <w:pStyle w:val="List2"/>
        <w:numPr>
          <w:ilvl w:val="4"/>
          <w:numId w:val="99"/>
        </w:numPr>
        <w:ind w:left="1134" w:hanging="567"/>
      </w:pPr>
      <w:r w:rsidRPr="00B3624C">
        <w:t>clearer guidance to decision-makers throughout the process;</w:t>
      </w:r>
    </w:p>
    <w:p w14:paraId="7B91DBE6" w14:textId="77777777" w:rsidR="00AA7153" w:rsidRDefault="003B4493" w:rsidP="00E5299D">
      <w:pPr>
        <w:pStyle w:val="List2"/>
        <w:numPr>
          <w:ilvl w:val="4"/>
          <w:numId w:val="99"/>
        </w:numPr>
        <w:ind w:left="1134" w:hanging="567"/>
      </w:pPr>
      <w:r w:rsidRPr="00B3624C">
        <w:t>a shortening of the decision-making process so that the processing of applications is faster and more cost-effective than the current system;</w:t>
      </w:r>
    </w:p>
    <w:p w14:paraId="1E26CA98" w14:textId="77777777" w:rsidR="00AA7153" w:rsidRDefault="003B4493" w:rsidP="00E5299D">
      <w:pPr>
        <w:pStyle w:val="List2"/>
        <w:numPr>
          <w:ilvl w:val="4"/>
          <w:numId w:val="99"/>
        </w:numPr>
        <w:ind w:left="1134" w:hanging="567"/>
      </w:pPr>
      <w:r w:rsidRPr="00B3624C">
        <w:t>transparency at all stages including application, process and decision;</w:t>
      </w:r>
    </w:p>
    <w:p w14:paraId="1445EEA6" w14:textId="25ADF899" w:rsidR="003B4493" w:rsidRPr="00B3624C" w:rsidRDefault="003B4493" w:rsidP="00E5299D">
      <w:pPr>
        <w:pStyle w:val="List2"/>
        <w:numPr>
          <w:ilvl w:val="4"/>
          <w:numId w:val="99"/>
        </w:numPr>
        <w:ind w:left="1134" w:hanging="567"/>
      </w:pPr>
      <w:r w:rsidRPr="00B3624C">
        <w:t>a new classification system for protecting the nation’s most important cultural material that:</w:t>
      </w:r>
    </w:p>
    <w:p w14:paraId="59E1049C" w14:textId="77777777" w:rsidR="003B4493" w:rsidRPr="00B3624C" w:rsidRDefault="003B4493" w:rsidP="00E5299D">
      <w:pPr>
        <w:pStyle w:val="List3"/>
        <w:numPr>
          <w:ilvl w:val="5"/>
          <w:numId w:val="99"/>
        </w:numPr>
        <w:ind w:left="1701" w:hanging="567"/>
      </w:pPr>
      <w:r w:rsidRPr="00B3624C">
        <w:t>better reflects the true richness of the cultural heritage of Australia and the diverse regions and places that constitute the nation;</w:t>
      </w:r>
    </w:p>
    <w:p w14:paraId="287AB841" w14:textId="77777777" w:rsidR="003B4493" w:rsidRPr="00B3624C" w:rsidRDefault="003B4493" w:rsidP="00E5299D">
      <w:pPr>
        <w:pStyle w:val="List3"/>
        <w:numPr>
          <w:ilvl w:val="5"/>
          <w:numId w:val="99"/>
        </w:numPr>
        <w:ind w:left="1701" w:hanging="567"/>
      </w:pPr>
      <w:r w:rsidRPr="00B3624C">
        <w:t>protects material already found to be significant by Commonwealth, state and territory governments; and</w:t>
      </w:r>
    </w:p>
    <w:p w14:paraId="06FB5874" w14:textId="77777777" w:rsidR="003B4493" w:rsidRPr="00B3624C" w:rsidRDefault="003B4493" w:rsidP="00E5299D">
      <w:pPr>
        <w:pStyle w:val="List3"/>
        <w:numPr>
          <w:ilvl w:val="5"/>
          <w:numId w:val="99"/>
        </w:numPr>
        <w:ind w:left="1701" w:hanging="567"/>
        <w:rPr>
          <w:rFonts w:cs="Arial"/>
          <w:szCs w:val="24"/>
        </w:rPr>
      </w:pPr>
      <w:r w:rsidRPr="00B3624C">
        <w:t>provides a flexible and living category of material which attracts high-level protection</w:t>
      </w:r>
      <w:r w:rsidRPr="00B3624C">
        <w:rPr>
          <w:rFonts w:cs="Arial"/>
          <w:szCs w:val="24"/>
        </w:rPr>
        <w:t xml:space="preserve"> (currently only available to the static melange that is Class A);</w:t>
      </w:r>
    </w:p>
    <w:p w14:paraId="4269B711" w14:textId="77777777" w:rsidR="00AA7153" w:rsidRDefault="003B4493" w:rsidP="00E5299D">
      <w:pPr>
        <w:pStyle w:val="List2"/>
        <w:numPr>
          <w:ilvl w:val="4"/>
          <w:numId w:val="99"/>
        </w:numPr>
        <w:ind w:left="1134" w:hanging="567"/>
      </w:pPr>
      <w:r w:rsidRPr="00B3624C">
        <w:t>more effective prosecution procedures (such as varying the burden of proof in certain circumstances where the relevant evidence is reasonably expected to be in the control of the applicant rather than the Government);</w:t>
      </w:r>
    </w:p>
    <w:p w14:paraId="4040DA9E" w14:textId="5136E7DC" w:rsidR="003B4493" w:rsidRPr="00B3624C" w:rsidRDefault="003B4493" w:rsidP="00E5299D">
      <w:pPr>
        <w:pStyle w:val="List2"/>
        <w:numPr>
          <w:ilvl w:val="4"/>
          <w:numId w:val="99"/>
        </w:numPr>
        <w:ind w:left="1134" w:hanging="567"/>
      </w:pPr>
      <w:r w:rsidRPr="00B3624C">
        <w:lastRenderedPageBreak/>
        <w:t>an extension of the current General Permit system to a wider group of approved organisations; and</w:t>
      </w:r>
    </w:p>
    <w:p w14:paraId="72CB4949" w14:textId="77777777" w:rsidR="00AA7153" w:rsidRDefault="003B4493" w:rsidP="00E5299D">
      <w:pPr>
        <w:pStyle w:val="List2"/>
        <w:numPr>
          <w:ilvl w:val="4"/>
          <w:numId w:val="99"/>
        </w:numPr>
        <w:ind w:left="1134" w:hanging="567"/>
      </w:pPr>
      <w:proofErr w:type="gramStart"/>
      <w:r w:rsidRPr="00B3624C">
        <w:t>modernisation</w:t>
      </w:r>
      <w:proofErr w:type="gramEnd"/>
      <w:r w:rsidRPr="00B3624C">
        <w:t xml:space="preserve"> of enforcement provisions to ensure they are in line with current best practice.</w:t>
      </w:r>
    </w:p>
    <w:p w14:paraId="5C31171E" w14:textId="6CA0E057" w:rsidR="003B4493" w:rsidRDefault="003B4493" w:rsidP="00052178">
      <w:pPr>
        <w:pStyle w:val="Heading2"/>
      </w:pPr>
      <w:bookmarkStart w:id="374" w:name="_Toc431223051"/>
      <w:bookmarkStart w:id="375" w:name="_Toc431303197"/>
      <w:bookmarkStart w:id="376" w:name="_Toc431307845"/>
      <w:bookmarkStart w:id="377" w:name="_Toc433906622"/>
      <w:r>
        <w:t>Definitions</w:t>
      </w:r>
      <w:bookmarkEnd w:id="374"/>
      <w:bookmarkEnd w:id="375"/>
      <w:bookmarkEnd w:id="376"/>
      <w:bookmarkEnd w:id="377"/>
    </w:p>
    <w:p w14:paraId="6250BB27" w14:textId="77777777" w:rsidR="003B4493" w:rsidRPr="00B3624C" w:rsidRDefault="003B4493" w:rsidP="00525F38">
      <w:pPr>
        <w:pStyle w:val="Heading3"/>
      </w:pPr>
      <w:r w:rsidRPr="00B3624C">
        <w:t>What material is protected?</w:t>
      </w:r>
    </w:p>
    <w:p w14:paraId="4E28BE87" w14:textId="77777777" w:rsidR="003B4493" w:rsidRDefault="003B4493" w:rsidP="00E5299D">
      <w:pPr>
        <w:pStyle w:val="List"/>
        <w:numPr>
          <w:ilvl w:val="3"/>
          <w:numId w:val="105"/>
        </w:numPr>
      </w:pPr>
      <w:r w:rsidRPr="00B3624C">
        <w:t>Protection is given to ‘cultural heritage</w:t>
      </w:r>
      <w:r>
        <w:t>’</w:t>
      </w:r>
      <w:r w:rsidRPr="00B3624C">
        <w:t xml:space="preserve"> material that is ‘Australia-related’. It must fulfil both </w:t>
      </w:r>
      <w:r>
        <w:t>definitions</w:t>
      </w:r>
      <w:r w:rsidRPr="00B3624C">
        <w:t xml:space="preserve"> before any further analysis under the Act is required.</w:t>
      </w:r>
    </w:p>
    <w:p w14:paraId="2DBCCECD" w14:textId="228EEF5D" w:rsidR="00AA7153" w:rsidRDefault="003B4493" w:rsidP="00E5299D">
      <w:pPr>
        <w:pStyle w:val="List"/>
        <w:numPr>
          <w:ilvl w:val="3"/>
          <w:numId w:val="105"/>
        </w:numPr>
      </w:pPr>
      <w:r>
        <w:t>As the legislation regulates the import and export of cultural material, the material must be movable</w:t>
      </w:r>
      <w:r w:rsidR="00801A32">
        <w:t>—</w:t>
      </w:r>
      <w:r>
        <w:t>that is, capable of being exported or imported.</w:t>
      </w:r>
    </w:p>
    <w:p w14:paraId="15766A5E" w14:textId="7BC77412" w:rsidR="003B4493" w:rsidRPr="00B3624C" w:rsidRDefault="003B4493" w:rsidP="00525F38">
      <w:pPr>
        <w:pStyle w:val="Heading3"/>
      </w:pPr>
      <w:r w:rsidRPr="00B3624C">
        <w:t>Definition of ‘cultural heritage material’</w:t>
      </w:r>
    </w:p>
    <w:p w14:paraId="7ADB6087" w14:textId="77777777" w:rsidR="003B4493" w:rsidRDefault="003B4493" w:rsidP="00E5299D">
      <w:pPr>
        <w:pStyle w:val="List"/>
        <w:numPr>
          <w:ilvl w:val="3"/>
          <w:numId w:val="106"/>
        </w:numPr>
      </w:pPr>
      <w:r w:rsidRPr="00B3624C">
        <w:t>The diverse range of cultural and natural material that may be protected by the legislation requires a broad and encompassing definition</w:t>
      </w:r>
      <w:r>
        <w:t xml:space="preserve"> that complies with the requirements</w:t>
      </w:r>
      <w:r w:rsidRPr="000B2275">
        <w:t xml:space="preserve"> </w:t>
      </w:r>
      <w:r>
        <w:t>of the UNESCO Convention 1970</w:t>
      </w:r>
      <w:r w:rsidRPr="00B3624C">
        <w:t>:</w:t>
      </w:r>
    </w:p>
    <w:p w14:paraId="6E407583" w14:textId="77777777" w:rsidR="00AA7153" w:rsidRDefault="003B4493" w:rsidP="00C66090">
      <w:pPr>
        <w:pStyle w:val="List2"/>
        <w:ind w:left="1134" w:firstLine="0"/>
      </w:pPr>
      <w:r>
        <w:t>‘</w:t>
      </w:r>
      <w:r w:rsidRPr="00A76E41">
        <w:rPr>
          <w:b/>
        </w:rPr>
        <w:t>cultural heritage’</w:t>
      </w:r>
      <w:r>
        <w:t xml:space="preserve"> means</w:t>
      </w:r>
      <w:r w:rsidRPr="00D87FA1">
        <w:t xml:space="preserve"> </w:t>
      </w:r>
      <w:r>
        <w:t xml:space="preserve">movable </w:t>
      </w:r>
      <w:r w:rsidRPr="00D87FA1">
        <w:t>material of importance for ethnological, archaeological, historical, literary, artistic, scientific, spiritual, n</w:t>
      </w:r>
      <w:r>
        <w:t>atural or technological reasons; and</w:t>
      </w:r>
    </w:p>
    <w:p w14:paraId="3D5934FB" w14:textId="77777777" w:rsidR="00AA7153" w:rsidRDefault="003B4493" w:rsidP="00C66090">
      <w:pPr>
        <w:pStyle w:val="List2"/>
        <w:numPr>
          <w:ilvl w:val="4"/>
          <w:numId w:val="66"/>
        </w:numPr>
        <w:ind w:left="1701" w:hanging="567"/>
      </w:pPr>
      <w:r>
        <w:t>i</w:t>
      </w:r>
      <w:r w:rsidR="004B7746">
        <w:t>n relation to Australia</w:t>
      </w:r>
      <w:r w:rsidRPr="00D87FA1">
        <w:t>-related material, is material falling within one or more of the National Cultural Heritage Control List categories</w:t>
      </w:r>
      <w:r w:rsidR="004B7746">
        <w:t>;</w:t>
      </w:r>
    </w:p>
    <w:p w14:paraId="4A897D39" w14:textId="77777777" w:rsidR="00AA7153" w:rsidRDefault="003B4493" w:rsidP="00C66090">
      <w:pPr>
        <w:pStyle w:val="List2"/>
        <w:numPr>
          <w:ilvl w:val="4"/>
          <w:numId w:val="66"/>
        </w:numPr>
        <w:ind w:left="1701" w:hanging="567"/>
      </w:pPr>
      <w:proofErr w:type="gramStart"/>
      <w:r>
        <w:t>i</w:t>
      </w:r>
      <w:r w:rsidRPr="00D87FA1">
        <w:t>n</w:t>
      </w:r>
      <w:proofErr w:type="gramEnd"/>
      <w:r w:rsidRPr="00D87FA1">
        <w:t xml:space="preserve"> relation to foreign material, is material forming part of the cultural heritage of a foreign country.</w:t>
      </w:r>
    </w:p>
    <w:p w14:paraId="50A273A8" w14:textId="22524E10" w:rsidR="008B0DDE" w:rsidRDefault="008B0DDE">
      <w:pPr>
        <w:spacing w:line="276" w:lineRule="auto"/>
        <w:rPr>
          <w:rFonts w:asciiTheme="majorHAnsi" w:eastAsiaTheme="majorEastAsia" w:hAnsiTheme="majorHAnsi" w:cstheme="majorBidi"/>
          <w:b/>
          <w:bCs/>
          <w:color w:val="1F7377"/>
        </w:rPr>
      </w:pPr>
      <w:r>
        <w:br w:type="page"/>
      </w:r>
    </w:p>
    <w:p w14:paraId="145B8E2B" w14:textId="4DC318FD" w:rsidR="003B4493" w:rsidRPr="00B3624C" w:rsidRDefault="003B4493" w:rsidP="00525F38">
      <w:pPr>
        <w:pStyle w:val="Heading3"/>
      </w:pPr>
      <w:r w:rsidRPr="00B3624C">
        <w:lastRenderedPageBreak/>
        <w:t>Definition ‘Australia-related’</w:t>
      </w:r>
    </w:p>
    <w:p w14:paraId="1769B34F" w14:textId="77777777" w:rsidR="003B4493" w:rsidRPr="00B3624C" w:rsidRDefault="003B4493" w:rsidP="00E5299D">
      <w:pPr>
        <w:pStyle w:val="List"/>
        <w:numPr>
          <w:ilvl w:val="3"/>
          <w:numId w:val="107"/>
        </w:numPr>
      </w:pPr>
      <w:r w:rsidRPr="00B3624C">
        <w:t>There is a single definition of ‘Australia-related’, which can be applied across the entire range of regulated material:</w:t>
      </w:r>
    </w:p>
    <w:p w14:paraId="6C457FA3" w14:textId="77777777" w:rsidR="00AA7153" w:rsidRDefault="003B4493" w:rsidP="00B51B22">
      <w:pPr>
        <w:pStyle w:val="List"/>
        <w:ind w:left="851" w:firstLine="0"/>
      </w:pPr>
      <w:r>
        <w:t>‘</w:t>
      </w:r>
      <w:r w:rsidRPr="007342A6">
        <w:rPr>
          <w:b/>
        </w:rPr>
        <w:t>Australia-related material</w:t>
      </w:r>
      <w:r>
        <w:t>’</w:t>
      </w:r>
      <w:r w:rsidRPr="00F238FE">
        <w:t xml:space="preserve"> means any one of the following:</w:t>
      </w:r>
    </w:p>
    <w:p w14:paraId="0F05E3E1" w14:textId="174AF64A" w:rsidR="003B4493" w:rsidRPr="00F238FE" w:rsidRDefault="00220B45" w:rsidP="00E5299D">
      <w:pPr>
        <w:pStyle w:val="List2"/>
        <w:numPr>
          <w:ilvl w:val="4"/>
          <w:numId w:val="107"/>
        </w:numPr>
        <w:ind w:left="1701" w:hanging="567"/>
      </w:pPr>
      <w:r>
        <w:t>n</w:t>
      </w:r>
      <w:r w:rsidR="003B4493" w:rsidRPr="00F238FE">
        <w:t>atural material or Ancestral remains recovered from above, on or below:</w:t>
      </w:r>
    </w:p>
    <w:p w14:paraId="7003D600" w14:textId="77777777" w:rsidR="003B4493" w:rsidRPr="00F238FE" w:rsidRDefault="003B4493" w:rsidP="00E5299D">
      <w:pPr>
        <w:pStyle w:val="List3"/>
        <w:numPr>
          <w:ilvl w:val="5"/>
          <w:numId w:val="107"/>
        </w:numPr>
        <w:ind w:left="2268" w:hanging="567"/>
      </w:pPr>
      <w:r w:rsidRPr="00F238FE">
        <w:t>the land or inland waters of Australia;</w:t>
      </w:r>
    </w:p>
    <w:p w14:paraId="5E359EBB" w14:textId="77777777" w:rsidR="003B4493" w:rsidRPr="00F238FE" w:rsidRDefault="003B4493" w:rsidP="00E5299D">
      <w:pPr>
        <w:pStyle w:val="List3"/>
        <w:numPr>
          <w:ilvl w:val="5"/>
          <w:numId w:val="107"/>
        </w:numPr>
        <w:ind w:left="2268" w:hanging="567"/>
      </w:pPr>
      <w:r w:rsidRPr="00F238FE">
        <w:t xml:space="preserve">the </w:t>
      </w:r>
      <w:r>
        <w:t xml:space="preserve">waters, seabed or subsoil of the </w:t>
      </w:r>
      <w:r w:rsidRPr="00F238FE">
        <w:t>territorial sea or</w:t>
      </w:r>
      <w:r>
        <w:t xml:space="preserve"> </w:t>
      </w:r>
      <w:r w:rsidRPr="00F238FE">
        <w:t>Exclusive Economic Zone of Australia; or</w:t>
      </w:r>
    </w:p>
    <w:p w14:paraId="4A1758F4" w14:textId="77777777" w:rsidR="003B4493" w:rsidRPr="00F238FE" w:rsidRDefault="003B4493" w:rsidP="00E5299D">
      <w:pPr>
        <w:pStyle w:val="List2"/>
        <w:numPr>
          <w:ilvl w:val="4"/>
          <w:numId w:val="107"/>
        </w:numPr>
        <w:ind w:left="1701" w:hanging="567"/>
      </w:pPr>
      <w:r w:rsidRPr="00F238FE">
        <w:t xml:space="preserve">relics recovered from a historic shipwreck (as defined under the </w:t>
      </w:r>
      <w:r w:rsidRPr="00723270">
        <w:rPr>
          <w:i/>
        </w:rPr>
        <w:t>Historic Shipwrecks Act 1976</w:t>
      </w:r>
      <w:r w:rsidRPr="00F238FE">
        <w:t>); or</w:t>
      </w:r>
    </w:p>
    <w:p w14:paraId="156B6ABF" w14:textId="77777777" w:rsidR="00AA7153" w:rsidRDefault="003B4493" w:rsidP="00E5299D">
      <w:pPr>
        <w:pStyle w:val="List2"/>
        <w:numPr>
          <w:ilvl w:val="4"/>
          <w:numId w:val="107"/>
        </w:numPr>
        <w:ind w:left="1701" w:hanging="567"/>
      </w:pPr>
      <w:r w:rsidRPr="00F238FE">
        <w:t>material made in Australia, or with substantial Australian content, or that has been used extensively or assembled in Australia, being one or more of the following:</w:t>
      </w:r>
    </w:p>
    <w:p w14:paraId="5430A333" w14:textId="77777777" w:rsidR="00AA7153" w:rsidRDefault="003B4493" w:rsidP="00E5299D">
      <w:pPr>
        <w:pStyle w:val="List3"/>
        <w:numPr>
          <w:ilvl w:val="0"/>
          <w:numId w:val="88"/>
        </w:numPr>
        <w:ind w:left="2268" w:hanging="567"/>
      </w:pPr>
      <w:r w:rsidRPr="00F238FE">
        <w:t>material designed or made by an Australian citizen or resident, inside or outside of Australia;</w:t>
      </w:r>
    </w:p>
    <w:p w14:paraId="1E99285D" w14:textId="77777777" w:rsidR="00AA7153" w:rsidRDefault="003B4493" w:rsidP="00E5299D">
      <w:pPr>
        <w:pStyle w:val="List3"/>
        <w:numPr>
          <w:ilvl w:val="0"/>
          <w:numId w:val="88"/>
        </w:numPr>
        <w:ind w:left="2268" w:hanging="567"/>
      </w:pPr>
      <w:r w:rsidRPr="00F238FE">
        <w:t>material designed or made in Australia or which has substantial content made in Australia (including that designed or made by a non-Australian citizen);</w:t>
      </w:r>
    </w:p>
    <w:p w14:paraId="58E3D954" w14:textId="77777777" w:rsidR="00AA7153" w:rsidRDefault="003B4493" w:rsidP="00E5299D">
      <w:pPr>
        <w:pStyle w:val="List3"/>
        <w:numPr>
          <w:ilvl w:val="0"/>
          <w:numId w:val="88"/>
        </w:numPr>
        <w:ind w:left="2268" w:hanging="567"/>
      </w:pPr>
      <w:r w:rsidRPr="00F238FE">
        <w:t>material not made in Australia but assembled, altered or modified in Australia for the Australian market or conditions, or extensively used in Australia;</w:t>
      </w:r>
    </w:p>
    <w:p w14:paraId="267C5E6B" w14:textId="77777777" w:rsidR="00AA7153" w:rsidRDefault="003B4493" w:rsidP="00E5299D">
      <w:pPr>
        <w:pStyle w:val="List3"/>
        <w:numPr>
          <w:ilvl w:val="0"/>
          <w:numId w:val="88"/>
        </w:numPr>
        <w:ind w:left="2268" w:hanging="567"/>
      </w:pPr>
      <w:r w:rsidRPr="00F238FE">
        <w:t>material with subject-matter or motifs related to Australia;</w:t>
      </w:r>
    </w:p>
    <w:p w14:paraId="70B43053" w14:textId="38155C22" w:rsidR="003B4493" w:rsidRPr="00F238FE" w:rsidRDefault="003B4493" w:rsidP="00E5299D">
      <w:pPr>
        <w:pStyle w:val="List3"/>
        <w:numPr>
          <w:ilvl w:val="0"/>
          <w:numId w:val="88"/>
        </w:numPr>
        <w:ind w:left="2268" w:hanging="567"/>
      </w:pPr>
      <w:proofErr w:type="gramStart"/>
      <w:r w:rsidRPr="00F238FE">
        <w:t>material</w:t>
      </w:r>
      <w:proofErr w:type="gramEnd"/>
      <w:r w:rsidRPr="00F238FE">
        <w:t xml:space="preserve"> strongly associated with an Australian person (or group of people), activity, event, place or period in science, technology, arts or history.</w:t>
      </w:r>
    </w:p>
    <w:p w14:paraId="294FCA6F" w14:textId="77777777" w:rsidR="008B0DDE" w:rsidRDefault="008B0DDE">
      <w:pPr>
        <w:spacing w:line="276" w:lineRule="auto"/>
        <w:rPr>
          <w:rFonts w:asciiTheme="majorHAnsi" w:eastAsiaTheme="majorEastAsia" w:hAnsiTheme="majorHAnsi" w:cstheme="majorBidi"/>
          <w:b/>
          <w:bCs/>
          <w:color w:val="026582"/>
          <w:sz w:val="26"/>
          <w:szCs w:val="26"/>
        </w:rPr>
      </w:pPr>
      <w:bookmarkStart w:id="378" w:name="_Toc431223052"/>
      <w:r>
        <w:br w:type="page"/>
      </w:r>
    </w:p>
    <w:p w14:paraId="6566EC04" w14:textId="77777777" w:rsidR="00AA7153" w:rsidRDefault="003B4493" w:rsidP="00052178">
      <w:pPr>
        <w:pStyle w:val="Heading2"/>
      </w:pPr>
      <w:bookmarkStart w:id="379" w:name="_Toc431303198"/>
      <w:bookmarkStart w:id="380" w:name="_Toc431307846"/>
      <w:bookmarkStart w:id="381" w:name="_Toc433906623"/>
      <w:r w:rsidRPr="00B3624C">
        <w:lastRenderedPageBreak/>
        <w:t>A new classification structure</w:t>
      </w:r>
      <w:bookmarkEnd w:id="378"/>
      <w:bookmarkEnd w:id="379"/>
      <w:bookmarkEnd w:id="380"/>
      <w:bookmarkEnd w:id="381"/>
    </w:p>
    <w:p w14:paraId="0AAEC52D" w14:textId="0C3EEF17" w:rsidR="003B4493" w:rsidRPr="00B3624C" w:rsidRDefault="003B4493" w:rsidP="00E5299D">
      <w:pPr>
        <w:pStyle w:val="List"/>
        <w:numPr>
          <w:ilvl w:val="3"/>
          <w:numId w:val="108"/>
        </w:numPr>
      </w:pPr>
      <w:r w:rsidRPr="00B3624C">
        <w:t>The model adopts a new three-tier classification structure:</w:t>
      </w:r>
    </w:p>
    <w:p w14:paraId="6DCF1015" w14:textId="77777777" w:rsidR="003B4493" w:rsidRPr="00B3624C" w:rsidRDefault="003B4493" w:rsidP="00E5299D">
      <w:pPr>
        <w:pStyle w:val="List2"/>
        <w:numPr>
          <w:ilvl w:val="4"/>
          <w:numId w:val="108"/>
        </w:numPr>
        <w:ind w:left="1134" w:hanging="567"/>
      </w:pPr>
      <w:r w:rsidRPr="00B3624C">
        <w:t>Australian Heritage Material;</w:t>
      </w:r>
    </w:p>
    <w:p w14:paraId="204571D0" w14:textId="77777777" w:rsidR="00AA7153" w:rsidRDefault="003B4493" w:rsidP="00E5299D">
      <w:pPr>
        <w:pStyle w:val="List2"/>
        <w:numPr>
          <w:ilvl w:val="4"/>
          <w:numId w:val="108"/>
        </w:numPr>
        <w:ind w:left="1134" w:hanging="567"/>
      </w:pPr>
      <w:r w:rsidRPr="00B3624C">
        <w:t>Australian Protected Material; and</w:t>
      </w:r>
    </w:p>
    <w:p w14:paraId="67334B7E" w14:textId="77777777" w:rsidR="00AA7153" w:rsidRDefault="003B4493" w:rsidP="00E5299D">
      <w:pPr>
        <w:pStyle w:val="List2"/>
        <w:numPr>
          <w:ilvl w:val="4"/>
          <w:numId w:val="108"/>
        </w:numPr>
        <w:ind w:left="1134" w:hanging="567"/>
      </w:pPr>
      <w:r w:rsidRPr="00B3624C">
        <w:t>Declared Australian Protected Material.</w:t>
      </w:r>
    </w:p>
    <w:p w14:paraId="08DB0AA3" w14:textId="65A47914" w:rsidR="00AA7153" w:rsidRDefault="003B4493" w:rsidP="00E5299D">
      <w:pPr>
        <w:pStyle w:val="List"/>
        <w:numPr>
          <w:ilvl w:val="3"/>
          <w:numId w:val="108"/>
        </w:numPr>
      </w:pPr>
      <w:r w:rsidRPr="00B3624C">
        <w:t>The distinction between</w:t>
      </w:r>
      <w:r w:rsidR="00220B45">
        <w:t xml:space="preserve"> Class A and Class B </w:t>
      </w:r>
      <w:r w:rsidRPr="00B3624C">
        <w:t>Australian Protected Objects under the current Act is abolished.</w:t>
      </w:r>
    </w:p>
    <w:p w14:paraId="1CC07AF5" w14:textId="77777777" w:rsidR="00AA7153" w:rsidRDefault="003B4493" w:rsidP="00E5299D">
      <w:pPr>
        <w:pStyle w:val="List"/>
        <w:numPr>
          <w:ilvl w:val="3"/>
          <w:numId w:val="108"/>
        </w:numPr>
      </w:pPr>
      <w:r w:rsidRPr="00B3624C">
        <w:t>Material currently within Class A continues to receive the maximum protection by inclusion as Declared Australian Protected Material.</w:t>
      </w:r>
    </w:p>
    <w:p w14:paraId="043D1527" w14:textId="77777777" w:rsidR="00AA7153" w:rsidRDefault="003B4493" w:rsidP="00525F38">
      <w:pPr>
        <w:pStyle w:val="Heading3"/>
      </w:pPr>
      <w:r w:rsidRPr="00B3624C">
        <w:t>Australian Heritage Material</w:t>
      </w:r>
    </w:p>
    <w:p w14:paraId="52EE718F" w14:textId="1F39B763" w:rsidR="003B4493" w:rsidRPr="00F238FE" w:rsidRDefault="003B4493" w:rsidP="00525F38">
      <w:pPr>
        <w:pStyle w:val="Heading4"/>
      </w:pPr>
      <w:r w:rsidRPr="00F238FE">
        <w:t>What is Australian Heritage Material?</w:t>
      </w:r>
    </w:p>
    <w:p w14:paraId="20875803" w14:textId="77777777" w:rsidR="003B4493" w:rsidRPr="00B3624C" w:rsidRDefault="003B4493" w:rsidP="00E5299D">
      <w:pPr>
        <w:pStyle w:val="List"/>
        <w:numPr>
          <w:ilvl w:val="3"/>
          <w:numId w:val="173"/>
        </w:numPr>
      </w:pPr>
      <w:r w:rsidRPr="00B3624C">
        <w:t xml:space="preserve">Australian Heritage Material is cultural </w:t>
      </w:r>
      <w:r>
        <w:t xml:space="preserve">heritage </w:t>
      </w:r>
      <w:r w:rsidRPr="00B3624C">
        <w:t>material which either:</w:t>
      </w:r>
    </w:p>
    <w:p w14:paraId="0348357F" w14:textId="77777777" w:rsidR="003B4493" w:rsidRPr="00B3624C" w:rsidRDefault="003B4493" w:rsidP="00E5299D">
      <w:pPr>
        <w:pStyle w:val="List2"/>
        <w:numPr>
          <w:ilvl w:val="4"/>
          <w:numId w:val="108"/>
        </w:numPr>
        <w:ind w:left="1134" w:hanging="567"/>
      </w:pPr>
      <w:r w:rsidRPr="00B3624C">
        <w:t>exceeds the relevant age and value thresholds as set out in the Regulations; or</w:t>
      </w:r>
    </w:p>
    <w:p w14:paraId="04390AC7" w14:textId="74D062C8" w:rsidR="003B4493" w:rsidRPr="00B3624C" w:rsidRDefault="004B7746" w:rsidP="00E5299D">
      <w:pPr>
        <w:pStyle w:val="List2"/>
        <w:numPr>
          <w:ilvl w:val="4"/>
          <w:numId w:val="108"/>
        </w:numPr>
        <w:ind w:left="1134" w:hanging="567"/>
      </w:pPr>
      <w:r>
        <w:t>is listed</w:t>
      </w:r>
      <w:r w:rsidR="003B4493" w:rsidRPr="00B3624C">
        <w:t xml:space="preserve"> in the Regula</w:t>
      </w:r>
      <w:r>
        <w:t>tions as</w:t>
      </w:r>
      <w:r w:rsidR="003B4493" w:rsidRPr="00B3624C">
        <w:t xml:space="preserve"> Australian Heritage Material; or</w:t>
      </w:r>
    </w:p>
    <w:p w14:paraId="4AA9B437" w14:textId="77777777" w:rsidR="00AA7153" w:rsidRDefault="003B4493" w:rsidP="00E5299D">
      <w:pPr>
        <w:pStyle w:val="List2"/>
        <w:numPr>
          <w:ilvl w:val="4"/>
          <w:numId w:val="108"/>
        </w:numPr>
        <w:ind w:left="1134" w:hanging="567"/>
      </w:pPr>
      <w:proofErr w:type="gramStart"/>
      <w:r w:rsidRPr="00B3624C">
        <w:t>irrespective</w:t>
      </w:r>
      <w:proofErr w:type="gramEnd"/>
      <w:r w:rsidRPr="00B3624C">
        <w:t xml:space="preserve"> of age and value </w:t>
      </w:r>
      <w:r>
        <w:t>criteria</w:t>
      </w:r>
      <w:r w:rsidRPr="00B3624C">
        <w:t>, has been declared by the Minister to be Australian Heritage Material.</w:t>
      </w:r>
    </w:p>
    <w:p w14:paraId="47AA013D" w14:textId="77777777" w:rsidR="00AA7153" w:rsidRDefault="003B4493" w:rsidP="00E5299D">
      <w:pPr>
        <w:pStyle w:val="List"/>
        <w:numPr>
          <w:ilvl w:val="3"/>
          <w:numId w:val="173"/>
        </w:numPr>
      </w:pPr>
      <w:r>
        <w:t>An</w:t>
      </w:r>
      <w:r w:rsidRPr="00B3624C">
        <w:t xml:space="preserve"> owner who wishes to export cultural heritage material must apply the definition of Australian Heritage Material (as above). If the material does not meet the definition and is not prescribed on the Declared Australian Protected Material list</w:t>
      </w:r>
      <w:r>
        <w:t>,</w:t>
      </w:r>
      <w:r w:rsidRPr="00B3624C">
        <w:t xml:space="preserve"> no export permit is required and it may leave the country. </w:t>
      </w:r>
    </w:p>
    <w:p w14:paraId="74D55347" w14:textId="6B737706" w:rsidR="003B4493" w:rsidRPr="00F238FE" w:rsidRDefault="003B4493" w:rsidP="00525F38">
      <w:pPr>
        <w:pStyle w:val="Heading4"/>
      </w:pPr>
      <w:r w:rsidRPr="00F238FE">
        <w:t>What is the consequence of classification as Australian Heritage Material?</w:t>
      </w:r>
    </w:p>
    <w:p w14:paraId="3B2CA9BA" w14:textId="77777777" w:rsidR="00AA7153" w:rsidRDefault="003B4493" w:rsidP="00E5299D">
      <w:pPr>
        <w:pStyle w:val="List"/>
        <w:numPr>
          <w:ilvl w:val="3"/>
          <w:numId w:val="174"/>
        </w:numPr>
      </w:pPr>
      <w:r w:rsidRPr="00B3624C">
        <w:t>An owner (or agent) who wishes to export Australian Heritage Material must apply for an export permit.</w:t>
      </w:r>
    </w:p>
    <w:p w14:paraId="1A78B921" w14:textId="64BC1651" w:rsidR="003B4493" w:rsidRPr="00B3624C" w:rsidRDefault="003B4493" w:rsidP="00E5299D">
      <w:pPr>
        <w:pStyle w:val="List"/>
        <w:numPr>
          <w:ilvl w:val="3"/>
          <w:numId w:val="174"/>
        </w:numPr>
      </w:pPr>
      <w:r w:rsidRPr="00B3624C">
        <w:t>It does not mean that the material must be assessed for significance or representation</w:t>
      </w:r>
      <w:r w:rsidR="00801A32">
        <w:t>—</w:t>
      </w:r>
      <w:r w:rsidRPr="00B3624C">
        <w:t>merely that an application for export must be made.</w:t>
      </w:r>
    </w:p>
    <w:p w14:paraId="075F1469" w14:textId="77777777" w:rsidR="00AA7153" w:rsidRDefault="003B4493" w:rsidP="00E5299D">
      <w:pPr>
        <w:pStyle w:val="List"/>
        <w:numPr>
          <w:ilvl w:val="3"/>
          <w:numId w:val="174"/>
        </w:numPr>
      </w:pPr>
      <w:r>
        <w:t>A</w:t>
      </w:r>
      <w:r w:rsidRPr="00B3624C">
        <w:t xml:space="preserve"> permit for permanent export may be granted even though the material has been found to be significant provided that the </w:t>
      </w:r>
      <w:r>
        <w:t xml:space="preserve">adequate </w:t>
      </w:r>
      <w:r w:rsidRPr="00B3624C">
        <w:t xml:space="preserve">representation test is fulfilled </w:t>
      </w:r>
      <w:r>
        <w:t>(</w:t>
      </w:r>
      <w:r w:rsidRPr="00B3624C">
        <w:t>thus establishing that there are sufficient other comparable objects in public collections</w:t>
      </w:r>
      <w:r>
        <w:t>)</w:t>
      </w:r>
      <w:r w:rsidRPr="00B3624C">
        <w:t>.</w:t>
      </w:r>
    </w:p>
    <w:p w14:paraId="01C81D5C" w14:textId="3B780B87" w:rsidR="003B4493" w:rsidRPr="00F238FE" w:rsidRDefault="003B4493" w:rsidP="00525F38">
      <w:pPr>
        <w:pStyle w:val="Heading4"/>
      </w:pPr>
      <w:r w:rsidRPr="00F238FE">
        <w:lastRenderedPageBreak/>
        <w:t>What if the Australian Heritage Material is given a temporary export permit?</w:t>
      </w:r>
    </w:p>
    <w:p w14:paraId="14B3E88F" w14:textId="77777777" w:rsidR="00AA7153" w:rsidRDefault="003B4493" w:rsidP="00E5299D">
      <w:pPr>
        <w:pStyle w:val="List"/>
        <w:numPr>
          <w:ilvl w:val="3"/>
          <w:numId w:val="175"/>
        </w:numPr>
      </w:pPr>
      <w:r w:rsidRPr="00B3624C">
        <w:t xml:space="preserve">If an item of Australian Heritage Material is given a temporary export permit, for the time that the material is out of the country, it is Australian Protected Material. </w:t>
      </w:r>
      <w:r>
        <w:t>This ensures that a higher level of offences and sanctions apply to this material while it is out of Australia.</w:t>
      </w:r>
    </w:p>
    <w:p w14:paraId="295C331E" w14:textId="659EB5DE" w:rsidR="003B4493" w:rsidRPr="00B3624C" w:rsidRDefault="003B4493" w:rsidP="00E5299D">
      <w:pPr>
        <w:pStyle w:val="List"/>
        <w:numPr>
          <w:ilvl w:val="3"/>
          <w:numId w:val="175"/>
        </w:numPr>
      </w:pPr>
      <w:r w:rsidRPr="00B3624C">
        <w:t>When it returns, it reverts to its previous status as Australian Heritage Material.</w:t>
      </w:r>
    </w:p>
    <w:p w14:paraId="31995BCA" w14:textId="77777777" w:rsidR="00AA7153" w:rsidRDefault="003B4493" w:rsidP="00525F38">
      <w:pPr>
        <w:pStyle w:val="Heading3"/>
      </w:pPr>
      <w:r w:rsidRPr="00B3624C">
        <w:t>Australian Protected Material</w:t>
      </w:r>
    </w:p>
    <w:p w14:paraId="19B9BC8B" w14:textId="54ED606F" w:rsidR="003B4493" w:rsidRPr="00F238FE" w:rsidRDefault="003B4493" w:rsidP="00525F38">
      <w:pPr>
        <w:pStyle w:val="Heading4"/>
      </w:pPr>
      <w:r w:rsidRPr="00F238FE">
        <w:t>What is Australian Protected Material?</w:t>
      </w:r>
    </w:p>
    <w:p w14:paraId="0582EB34" w14:textId="77777777" w:rsidR="003B4493" w:rsidRPr="00B3624C" w:rsidRDefault="003B4493" w:rsidP="00E5299D">
      <w:pPr>
        <w:pStyle w:val="List"/>
        <w:numPr>
          <w:ilvl w:val="3"/>
          <w:numId w:val="176"/>
        </w:numPr>
      </w:pPr>
      <w:r w:rsidRPr="00B3624C">
        <w:t>Australian Protected Material is Australian Heritage Material that is the subject of an export permit application and has been:</w:t>
      </w:r>
    </w:p>
    <w:p w14:paraId="0A85E10B" w14:textId="77777777" w:rsidR="003B4493" w:rsidRPr="00B3624C" w:rsidRDefault="003B4493" w:rsidP="00E5299D">
      <w:pPr>
        <w:pStyle w:val="List2"/>
        <w:numPr>
          <w:ilvl w:val="4"/>
          <w:numId w:val="100"/>
        </w:numPr>
        <w:ind w:left="1134" w:hanging="567"/>
      </w:pPr>
      <w:r w:rsidRPr="00B3624C">
        <w:t>permitted to leave the country on the basis of a temporary export permit granted without formal significance or representation assessment; or</w:t>
      </w:r>
    </w:p>
    <w:p w14:paraId="4D170A7C" w14:textId="77777777" w:rsidR="003B4493" w:rsidRPr="00B3624C" w:rsidRDefault="003B4493" w:rsidP="00E5299D">
      <w:pPr>
        <w:pStyle w:val="List2"/>
        <w:numPr>
          <w:ilvl w:val="4"/>
          <w:numId w:val="100"/>
        </w:numPr>
        <w:ind w:left="1134" w:hanging="567"/>
      </w:pPr>
      <w:r w:rsidRPr="00B3624C">
        <w:t>formally assessed as being significant to Australia or a part of Australia and not adequately represented in a public collection; or</w:t>
      </w:r>
    </w:p>
    <w:p w14:paraId="6E3EDA65" w14:textId="77777777" w:rsidR="00AA7153" w:rsidRDefault="003B4493" w:rsidP="00E5299D">
      <w:pPr>
        <w:pStyle w:val="List2"/>
        <w:numPr>
          <w:ilvl w:val="4"/>
          <w:numId w:val="100"/>
        </w:numPr>
        <w:ind w:left="1134" w:hanging="567"/>
      </w:pPr>
      <w:proofErr w:type="gramStart"/>
      <w:r w:rsidRPr="00B3624C">
        <w:t>irrespective</w:t>
      </w:r>
      <w:proofErr w:type="gramEnd"/>
      <w:r w:rsidRPr="00B3624C">
        <w:t xml:space="preserve"> of the age </w:t>
      </w:r>
      <w:r>
        <w:t>or</w:t>
      </w:r>
      <w:r w:rsidRPr="00B3624C">
        <w:t xml:space="preserve"> value </w:t>
      </w:r>
      <w:r>
        <w:t>criteria</w:t>
      </w:r>
      <w:r w:rsidRPr="00B3624C">
        <w:t>, declared by the Minister to be Australian Protected Material.</w:t>
      </w:r>
    </w:p>
    <w:p w14:paraId="1DD15860" w14:textId="63632993" w:rsidR="003B4493" w:rsidRPr="00F238FE" w:rsidRDefault="003B4493" w:rsidP="00525F38">
      <w:pPr>
        <w:pStyle w:val="Heading4"/>
      </w:pPr>
      <w:r w:rsidRPr="00F238FE">
        <w:t>What is the consequence of classification as Australian Protected Material?</w:t>
      </w:r>
    </w:p>
    <w:p w14:paraId="3BB93E38" w14:textId="77777777" w:rsidR="00AA7153" w:rsidRDefault="003B4493" w:rsidP="00E5299D">
      <w:pPr>
        <w:pStyle w:val="List"/>
        <w:numPr>
          <w:ilvl w:val="3"/>
          <w:numId w:val="177"/>
        </w:numPr>
      </w:pPr>
      <w:r w:rsidRPr="00B3624C">
        <w:t>Australian Protected Material can generally only be exported with a temporary permit.</w:t>
      </w:r>
    </w:p>
    <w:p w14:paraId="1951BB72" w14:textId="7C4D4767" w:rsidR="003B4493" w:rsidRPr="00B3624C" w:rsidRDefault="003B4493" w:rsidP="00E5299D">
      <w:pPr>
        <w:pStyle w:val="List"/>
        <w:numPr>
          <w:ilvl w:val="3"/>
          <w:numId w:val="177"/>
        </w:numPr>
      </w:pPr>
      <w:r w:rsidRPr="00B3624C">
        <w:t xml:space="preserve">Permanent export may be granted in exceptional circumstances. </w:t>
      </w:r>
      <w:r>
        <w:t>If such permission is granted and the material is exported, its status reverts to Australian Heritage Material.</w:t>
      </w:r>
      <w:r>
        <w:rPr>
          <w:rStyle w:val="FootnoteReference"/>
        </w:rPr>
        <w:footnoteReference w:id="181"/>
      </w:r>
    </w:p>
    <w:p w14:paraId="60EAD199" w14:textId="77777777" w:rsidR="008B0DDE" w:rsidRDefault="008B0DDE">
      <w:pPr>
        <w:spacing w:line="276" w:lineRule="auto"/>
        <w:rPr>
          <w:rFonts w:asciiTheme="majorHAnsi" w:eastAsiaTheme="majorEastAsia" w:hAnsiTheme="majorHAnsi" w:cstheme="majorBidi"/>
          <w:b/>
          <w:bCs/>
          <w:color w:val="1F7377"/>
        </w:rPr>
      </w:pPr>
      <w:r>
        <w:br w:type="page"/>
      </w:r>
    </w:p>
    <w:p w14:paraId="7F62B155" w14:textId="77777777" w:rsidR="00AA7153" w:rsidRDefault="003B4493" w:rsidP="00525F38">
      <w:pPr>
        <w:pStyle w:val="Heading3"/>
      </w:pPr>
      <w:r w:rsidRPr="00B3624C">
        <w:lastRenderedPageBreak/>
        <w:t>Declared Australian Protected Material</w:t>
      </w:r>
    </w:p>
    <w:p w14:paraId="213B885B" w14:textId="4C94B14D" w:rsidR="003B4493" w:rsidRPr="00F238FE" w:rsidRDefault="003B4493" w:rsidP="00525F38">
      <w:pPr>
        <w:pStyle w:val="Heading4"/>
      </w:pPr>
      <w:r w:rsidRPr="00F238FE">
        <w:t>What is Declared Australian Protected Material?</w:t>
      </w:r>
    </w:p>
    <w:p w14:paraId="35F7D57F" w14:textId="77777777" w:rsidR="00AA7153" w:rsidRDefault="003B4493" w:rsidP="00E5299D">
      <w:pPr>
        <w:pStyle w:val="List"/>
        <w:numPr>
          <w:ilvl w:val="3"/>
          <w:numId w:val="178"/>
        </w:numPr>
      </w:pPr>
      <w:r w:rsidRPr="00B3624C">
        <w:t xml:space="preserve">Declared Australian Protected Material is Australian Protected Material of outstanding significance. It includes any part or component of </w:t>
      </w:r>
      <w:r>
        <w:t>such</w:t>
      </w:r>
      <w:r w:rsidRPr="00B3624C">
        <w:t xml:space="preserve"> material.</w:t>
      </w:r>
    </w:p>
    <w:p w14:paraId="5FF85B4D" w14:textId="083A0C55" w:rsidR="003B4493" w:rsidRPr="00B3624C" w:rsidRDefault="003B4493" w:rsidP="00E5299D">
      <w:pPr>
        <w:pStyle w:val="List"/>
        <w:numPr>
          <w:ilvl w:val="3"/>
          <w:numId w:val="178"/>
        </w:numPr>
      </w:pPr>
      <w:r w:rsidRPr="00B3624C">
        <w:t>An item becomes Declared Australian Protected Material if:</w:t>
      </w:r>
    </w:p>
    <w:p w14:paraId="55D387F1" w14:textId="09CFE53E" w:rsidR="003B4493" w:rsidRPr="00B3624C" w:rsidRDefault="003B4493" w:rsidP="00E5299D">
      <w:pPr>
        <w:pStyle w:val="List2"/>
        <w:numPr>
          <w:ilvl w:val="4"/>
          <w:numId w:val="101"/>
        </w:numPr>
        <w:ind w:left="1134" w:hanging="567"/>
      </w:pPr>
      <w:r w:rsidRPr="00B3624C">
        <w:t>it is listed in the Regulations</w:t>
      </w:r>
      <w:r w:rsidR="004B7746">
        <w:t xml:space="preserve"> as Declared Australian Protected Material</w:t>
      </w:r>
      <w:r w:rsidRPr="00B3624C">
        <w:t>;</w:t>
      </w:r>
      <w:r w:rsidR="004B7746">
        <w:t xml:space="preserve"> or</w:t>
      </w:r>
    </w:p>
    <w:p w14:paraId="2F1302C4" w14:textId="69909152" w:rsidR="003B4493" w:rsidRPr="00B3624C" w:rsidRDefault="003B4493" w:rsidP="00E5299D">
      <w:pPr>
        <w:pStyle w:val="List2"/>
        <w:numPr>
          <w:ilvl w:val="4"/>
          <w:numId w:val="101"/>
        </w:numPr>
        <w:ind w:left="1134" w:hanging="567"/>
      </w:pPr>
      <w:r w:rsidRPr="00B3624C">
        <w:t>irrespective of th</w:t>
      </w:r>
      <w:r w:rsidR="004B7746">
        <w:t>e criteria of age and value</w:t>
      </w:r>
      <w:r w:rsidR="00B04D5D">
        <w:t>,</w:t>
      </w:r>
      <w:r w:rsidR="004B7746">
        <w:t xml:space="preserve"> has been declared by the</w:t>
      </w:r>
      <w:r w:rsidRPr="00B3624C">
        <w:t xml:space="preserve"> Minister as Declared Australian Protected Material; </w:t>
      </w:r>
      <w:r w:rsidR="004B7746">
        <w:t>or</w:t>
      </w:r>
    </w:p>
    <w:p w14:paraId="075DE75B" w14:textId="77777777" w:rsidR="003B4493" w:rsidRPr="00B3624C" w:rsidRDefault="003B4493" w:rsidP="00E5299D">
      <w:pPr>
        <w:pStyle w:val="List2"/>
        <w:numPr>
          <w:ilvl w:val="4"/>
          <w:numId w:val="101"/>
        </w:numPr>
        <w:ind w:left="1134" w:hanging="567"/>
      </w:pPr>
      <w:r w:rsidRPr="00B3624C">
        <w:t>it is denied a permanent export permit; or</w:t>
      </w:r>
    </w:p>
    <w:p w14:paraId="73B6A5FB" w14:textId="77777777" w:rsidR="00AA7153" w:rsidRDefault="003B4493" w:rsidP="00E5299D">
      <w:pPr>
        <w:pStyle w:val="List2"/>
        <w:numPr>
          <w:ilvl w:val="4"/>
          <w:numId w:val="101"/>
        </w:numPr>
        <w:ind w:left="1134" w:hanging="567"/>
      </w:pPr>
      <w:proofErr w:type="gramStart"/>
      <w:r w:rsidRPr="00B3624C">
        <w:t>an</w:t>
      </w:r>
      <w:proofErr w:type="gramEnd"/>
      <w:r w:rsidRPr="00B3624C">
        <w:t xml:space="preserve"> owner applies for declared status, the material is assessed for significance and representation and the Minister issues a declaration.</w:t>
      </w:r>
    </w:p>
    <w:p w14:paraId="5453F891" w14:textId="5D4B7C27" w:rsidR="003B4493" w:rsidRPr="00F238FE" w:rsidRDefault="003B4493" w:rsidP="00525F38">
      <w:pPr>
        <w:pStyle w:val="Heading4"/>
      </w:pPr>
      <w:r w:rsidRPr="00F238FE">
        <w:t xml:space="preserve">What is the consequence of classification </w:t>
      </w:r>
      <w:r w:rsidR="00220B45">
        <w:t xml:space="preserve">as </w:t>
      </w:r>
      <w:r w:rsidRPr="00F238FE">
        <w:t>Declared Australian Protected Material?</w:t>
      </w:r>
    </w:p>
    <w:p w14:paraId="4C6444F4" w14:textId="77777777" w:rsidR="00AA7153" w:rsidRDefault="003B4493" w:rsidP="00E5299D">
      <w:pPr>
        <w:pStyle w:val="List"/>
        <w:numPr>
          <w:ilvl w:val="3"/>
          <w:numId w:val="179"/>
        </w:numPr>
      </w:pPr>
      <w:r w:rsidRPr="00B3624C">
        <w:t>Declared Australian Protected Material is to be listed in the Regulations (and published on the Department’s website).</w:t>
      </w:r>
    </w:p>
    <w:p w14:paraId="0FCD3A13" w14:textId="77777777" w:rsidR="00AA7153" w:rsidRDefault="003B4493" w:rsidP="00E5299D">
      <w:pPr>
        <w:pStyle w:val="List"/>
        <w:numPr>
          <w:ilvl w:val="3"/>
          <w:numId w:val="179"/>
        </w:numPr>
      </w:pPr>
      <w:r w:rsidRPr="00B3624C">
        <w:t>The permanent export of Declared Australian Protected Material is generally prohibited.</w:t>
      </w:r>
    </w:p>
    <w:p w14:paraId="6F3EAF43" w14:textId="77777777" w:rsidR="00AA7153" w:rsidRDefault="003B4493" w:rsidP="00E5299D">
      <w:pPr>
        <w:pStyle w:val="List"/>
        <w:numPr>
          <w:ilvl w:val="3"/>
          <w:numId w:val="179"/>
        </w:numPr>
      </w:pPr>
      <w:r w:rsidRPr="00B3624C">
        <w:t>There is one exception to the prohibition of permanent export of Declared Australian Protected Material: to enable appropriate destructive scientific testing of samples</w:t>
      </w:r>
      <w:r>
        <w:t>, for which there is</w:t>
      </w:r>
      <w:r w:rsidRPr="00F238FE">
        <w:t xml:space="preserve"> </w:t>
      </w:r>
      <w:r w:rsidRPr="00B3624C">
        <w:t>a demonstrated need.</w:t>
      </w:r>
    </w:p>
    <w:p w14:paraId="0DE554FE" w14:textId="77777777" w:rsidR="00AA7153" w:rsidRDefault="003B4493" w:rsidP="00E5299D">
      <w:pPr>
        <w:pStyle w:val="List"/>
        <w:numPr>
          <w:ilvl w:val="3"/>
          <w:numId w:val="179"/>
        </w:numPr>
      </w:pPr>
      <w:r w:rsidRPr="00B3624C">
        <w:t>A permit for the temporary export of Declared Australian Protected Material will be considered where the temporary export is for appropriate and approved purposes.</w:t>
      </w:r>
    </w:p>
    <w:p w14:paraId="6899CE30" w14:textId="77777777" w:rsidR="00AA7153" w:rsidRDefault="003B4493" w:rsidP="00E5299D">
      <w:pPr>
        <w:pStyle w:val="List"/>
        <w:numPr>
          <w:ilvl w:val="3"/>
          <w:numId w:val="179"/>
        </w:numPr>
      </w:pPr>
      <w:r w:rsidRPr="00B3624C">
        <w:t>A temporary export permit will be subject to a range of strict conditions. The Department may impose any conditions</w:t>
      </w:r>
      <w:r>
        <w:t xml:space="preserve"> appropriate</w:t>
      </w:r>
      <w:r w:rsidRPr="00B3624C">
        <w:t xml:space="preserve"> to safeguard the material.</w:t>
      </w:r>
    </w:p>
    <w:p w14:paraId="5068DDE1" w14:textId="31FA40EF" w:rsidR="003B4493" w:rsidRPr="00B3624C" w:rsidRDefault="003B4493" w:rsidP="00E5299D">
      <w:pPr>
        <w:pStyle w:val="List"/>
        <w:numPr>
          <w:ilvl w:val="3"/>
          <w:numId w:val="179"/>
        </w:numPr>
      </w:pPr>
      <w:r w:rsidRPr="00B3624C">
        <w:t>A permit for the temporary export of Declared Australian Protected Material will be granted only for the period required for the approved purpose and for no longer than one year. The Department may extend that period.</w:t>
      </w:r>
    </w:p>
    <w:p w14:paraId="6214EEF5" w14:textId="77777777" w:rsidR="003B4493" w:rsidRPr="00F238FE" w:rsidRDefault="003B4493" w:rsidP="00525F38">
      <w:pPr>
        <w:pStyle w:val="Heading4"/>
      </w:pPr>
      <w:r w:rsidRPr="00F238FE">
        <w:lastRenderedPageBreak/>
        <w:t>Can material be removed from the Declared Australian Protected Material classification?</w:t>
      </w:r>
    </w:p>
    <w:p w14:paraId="4F3E1FE6" w14:textId="77777777" w:rsidR="00AA7153" w:rsidRDefault="003B4493" w:rsidP="00E5299D">
      <w:pPr>
        <w:pStyle w:val="List"/>
        <w:numPr>
          <w:ilvl w:val="3"/>
          <w:numId w:val="180"/>
        </w:numPr>
      </w:pPr>
      <w:r w:rsidRPr="00B3624C">
        <w:t>Material may be removed from the Declared Australian Protected Material list if its significance or representation values change over time. Material which has been denied export may be reassessed after a period of five years.</w:t>
      </w:r>
    </w:p>
    <w:p w14:paraId="36EA7924" w14:textId="77777777" w:rsidR="00AA7153" w:rsidRDefault="003B4493" w:rsidP="00052178">
      <w:pPr>
        <w:pStyle w:val="Heading2"/>
      </w:pPr>
      <w:bookmarkStart w:id="382" w:name="_Toc431223053"/>
      <w:bookmarkStart w:id="383" w:name="_Toc431303199"/>
      <w:bookmarkStart w:id="384" w:name="_Toc431307847"/>
      <w:bookmarkStart w:id="385" w:name="_Toc433906624"/>
      <w:r w:rsidRPr="00B3624C">
        <w:t>Cultural Heritage Control List</w:t>
      </w:r>
      <w:bookmarkEnd w:id="382"/>
      <w:bookmarkEnd w:id="383"/>
      <w:bookmarkEnd w:id="384"/>
      <w:bookmarkEnd w:id="385"/>
    </w:p>
    <w:p w14:paraId="246A57A5" w14:textId="1D5A93F2" w:rsidR="003B4493" w:rsidRPr="00B3624C" w:rsidRDefault="003B4493" w:rsidP="00525F38">
      <w:pPr>
        <w:pStyle w:val="Heading3"/>
      </w:pPr>
      <w:r w:rsidRPr="00B3624C">
        <w:t>New structure for the Control List</w:t>
      </w:r>
    </w:p>
    <w:p w14:paraId="1EB121E5" w14:textId="77777777" w:rsidR="003B4493" w:rsidRPr="00B3624C" w:rsidRDefault="003B4493" w:rsidP="00E5299D">
      <w:pPr>
        <w:pStyle w:val="List"/>
        <w:numPr>
          <w:ilvl w:val="3"/>
          <w:numId w:val="181"/>
        </w:numPr>
      </w:pPr>
      <w:r w:rsidRPr="00B3624C">
        <w:t>The new Control List has just four principal headings:</w:t>
      </w:r>
    </w:p>
    <w:p w14:paraId="0C6E1693" w14:textId="77777777" w:rsidR="003B4493" w:rsidRPr="00B3624C" w:rsidRDefault="003B4493" w:rsidP="00C66090">
      <w:pPr>
        <w:pStyle w:val="ListParagraph"/>
        <w:numPr>
          <w:ilvl w:val="0"/>
          <w:numId w:val="4"/>
        </w:numPr>
        <w:ind w:left="1134" w:hanging="567"/>
        <w:rPr>
          <w:rFonts w:cs="Arial"/>
          <w:szCs w:val="24"/>
        </w:rPr>
      </w:pPr>
      <w:r w:rsidRPr="00B3624C">
        <w:rPr>
          <w:rFonts w:cs="Arial"/>
          <w:szCs w:val="24"/>
        </w:rPr>
        <w:t>Part 1: Aboriginal or Torres Strait Islander Material and Ancestral Remains</w:t>
      </w:r>
    </w:p>
    <w:p w14:paraId="7664CAB5" w14:textId="77777777" w:rsidR="003B4493" w:rsidRPr="00B3624C" w:rsidRDefault="003B4493" w:rsidP="00C66090">
      <w:pPr>
        <w:pStyle w:val="ListParagraph"/>
        <w:numPr>
          <w:ilvl w:val="0"/>
          <w:numId w:val="4"/>
        </w:numPr>
        <w:ind w:left="1134" w:hanging="567"/>
        <w:rPr>
          <w:rFonts w:cs="Arial"/>
          <w:szCs w:val="24"/>
        </w:rPr>
      </w:pPr>
      <w:r w:rsidRPr="00B3624C">
        <w:rPr>
          <w:rFonts w:cs="Arial"/>
          <w:szCs w:val="24"/>
        </w:rPr>
        <w:t>Part 2: Natural Science Material</w:t>
      </w:r>
    </w:p>
    <w:p w14:paraId="13C182A2" w14:textId="77777777" w:rsidR="003B4493" w:rsidRPr="00B3624C" w:rsidRDefault="003B4493" w:rsidP="00C66090">
      <w:pPr>
        <w:pStyle w:val="ListParagraph"/>
        <w:numPr>
          <w:ilvl w:val="0"/>
          <w:numId w:val="4"/>
        </w:numPr>
        <w:ind w:left="1134" w:hanging="567"/>
        <w:rPr>
          <w:rFonts w:cs="Arial"/>
          <w:szCs w:val="24"/>
        </w:rPr>
      </w:pPr>
      <w:r w:rsidRPr="00B3624C">
        <w:rPr>
          <w:rFonts w:cs="Arial"/>
          <w:szCs w:val="24"/>
        </w:rPr>
        <w:t>Part 3: Visual Arts, Craft and Design Material</w:t>
      </w:r>
    </w:p>
    <w:p w14:paraId="01BD4484" w14:textId="77777777" w:rsidR="003B4493" w:rsidRPr="00B3624C" w:rsidRDefault="003B4493" w:rsidP="00C66090">
      <w:pPr>
        <w:pStyle w:val="ListParagraph"/>
        <w:numPr>
          <w:ilvl w:val="0"/>
          <w:numId w:val="4"/>
        </w:numPr>
        <w:ind w:left="1134" w:hanging="567"/>
        <w:rPr>
          <w:rFonts w:cs="Arial"/>
          <w:szCs w:val="24"/>
        </w:rPr>
      </w:pPr>
      <w:r w:rsidRPr="00B3624C">
        <w:rPr>
          <w:rFonts w:cs="Arial"/>
          <w:szCs w:val="24"/>
        </w:rPr>
        <w:t>Part 4: Historically Significant Material</w:t>
      </w:r>
    </w:p>
    <w:p w14:paraId="2456285C" w14:textId="77777777" w:rsidR="00AA7153" w:rsidRDefault="003B4493" w:rsidP="00E5299D">
      <w:pPr>
        <w:pStyle w:val="List"/>
        <w:numPr>
          <w:ilvl w:val="3"/>
          <w:numId w:val="181"/>
        </w:numPr>
      </w:pPr>
      <w:r>
        <w:t>To assist in the classification of material, the Control List may have Sub-Parts.</w:t>
      </w:r>
    </w:p>
    <w:p w14:paraId="1D19FF37" w14:textId="5C3625D4" w:rsidR="003B4493" w:rsidRPr="00B3624C" w:rsidRDefault="003B4493" w:rsidP="00E5299D">
      <w:pPr>
        <w:pStyle w:val="List"/>
        <w:numPr>
          <w:ilvl w:val="3"/>
          <w:numId w:val="181"/>
        </w:numPr>
      </w:pPr>
      <w:r w:rsidRPr="00B3624C">
        <w:t xml:space="preserve">Under each Part or </w:t>
      </w:r>
      <w:r>
        <w:t>S</w:t>
      </w:r>
      <w:r w:rsidRPr="00B3624C">
        <w:t>ub-Part there are objective thresholds as to the material concerned and any particular factors that need to be considered in relation to material falling within that classification.</w:t>
      </w:r>
    </w:p>
    <w:p w14:paraId="5E71F112" w14:textId="08985AE0" w:rsidR="00AA7153" w:rsidRDefault="003B4493" w:rsidP="00E5299D">
      <w:pPr>
        <w:pStyle w:val="List"/>
        <w:numPr>
          <w:ilvl w:val="3"/>
          <w:numId w:val="181"/>
        </w:numPr>
      </w:pPr>
      <w:r>
        <w:t>M</w:t>
      </w:r>
      <w:r w:rsidRPr="00B3624C">
        <w:t xml:space="preserve">arket value is either the Australian or </w:t>
      </w:r>
      <w:r>
        <w:t xml:space="preserve">the </w:t>
      </w:r>
      <w:r w:rsidRPr="00B3624C">
        <w:t>international value</w:t>
      </w:r>
      <w:r w:rsidR="00801A32">
        <w:t>—</w:t>
      </w:r>
      <w:r w:rsidRPr="00B3624C">
        <w:t>whichever is the higher</w:t>
      </w:r>
      <w:r w:rsidR="00AA7153">
        <w:t>—</w:t>
      </w:r>
      <w:r>
        <w:t>and includes the full cost price of the material including buyer’s premiums, commissions and other charges.</w:t>
      </w:r>
    </w:p>
    <w:p w14:paraId="5B820346" w14:textId="18570BF2" w:rsidR="003B4493" w:rsidRPr="00B3624C" w:rsidRDefault="003B4493" w:rsidP="00E5299D">
      <w:pPr>
        <w:pStyle w:val="List"/>
        <w:numPr>
          <w:ilvl w:val="3"/>
          <w:numId w:val="181"/>
        </w:numPr>
      </w:pPr>
      <w:r w:rsidRPr="00B3624C">
        <w:t>To the extent possible, the long lists of example objects that fall within various Parts of the current Act are removed from the Regulations and placed</w:t>
      </w:r>
      <w:r>
        <w:t xml:space="preserve"> as examples</w:t>
      </w:r>
      <w:r w:rsidRPr="00B3624C">
        <w:t xml:space="preserve"> in the Guidelines.</w:t>
      </w:r>
    </w:p>
    <w:p w14:paraId="534B7727" w14:textId="77777777" w:rsidR="00AA7153" w:rsidRDefault="003B4493" w:rsidP="00E5299D">
      <w:pPr>
        <w:pStyle w:val="List"/>
        <w:numPr>
          <w:ilvl w:val="3"/>
          <w:numId w:val="181"/>
        </w:numPr>
      </w:pPr>
      <w:r w:rsidRPr="00B3624C">
        <w:t>‘Significance’ and ‘representation’ are removed as preliminary thresholds. This is now a matter for expert consideration as part of the expert assessment process.</w:t>
      </w:r>
    </w:p>
    <w:p w14:paraId="7F7BB40F" w14:textId="543A152E" w:rsidR="003B4493" w:rsidRDefault="003B4493" w:rsidP="00E5299D">
      <w:pPr>
        <w:pStyle w:val="List"/>
        <w:numPr>
          <w:ilvl w:val="3"/>
          <w:numId w:val="181"/>
        </w:numPr>
      </w:pPr>
      <w:r>
        <w:t>The ‘equivalent quality’ and ‘two</w:t>
      </w:r>
      <w:r w:rsidRPr="00B3624C">
        <w:t xml:space="preserve"> public collections’ tests are abolished and replaced by an ‘adequate representation’ test. The adequate representation test is applied by the expert</w:t>
      </w:r>
      <w:r>
        <w:t xml:space="preserve"> Assessor(s)</w:t>
      </w:r>
      <w:r w:rsidRPr="00B3624C">
        <w:t>.</w:t>
      </w:r>
    </w:p>
    <w:p w14:paraId="47B791F8" w14:textId="77777777" w:rsidR="003B4493" w:rsidRPr="00B3624C" w:rsidRDefault="003B4493" w:rsidP="00525F38">
      <w:pPr>
        <w:pStyle w:val="Heading3"/>
      </w:pPr>
      <w:r w:rsidRPr="00B3624C">
        <w:t>Part 1: Aboriginal or Torres Strait Islander Material and Ancestral Remains</w:t>
      </w:r>
    </w:p>
    <w:p w14:paraId="6867ADEF" w14:textId="77777777" w:rsidR="003B4493" w:rsidRPr="00B3624C" w:rsidRDefault="003B4493" w:rsidP="00E5299D">
      <w:pPr>
        <w:pStyle w:val="List"/>
        <w:numPr>
          <w:ilvl w:val="3"/>
          <w:numId w:val="169"/>
        </w:numPr>
      </w:pPr>
      <w:r w:rsidRPr="00B3624C">
        <w:t xml:space="preserve">The term Aboriginal or Torres Strait Islander is as defined in the </w:t>
      </w:r>
      <w:r w:rsidRPr="00723270">
        <w:rPr>
          <w:i/>
        </w:rPr>
        <w:t>Aboriginal and Torres Strait Islander Act 2005</w:t>
      </w:r>
      <w:r w:rsidRPr="00B3624C">
        <w:t>.</w:t>
      </w:r>
    </w:p>
    <w:p w14:paraId="1D64F724" w14:textId="77777777" w:rsidR="00AA7153" w:rsidRDefault="003B4493" w:rsidP="00E5299D">
      <w:pPr>
        <w:pStyle w:val="List"/>
        <w:numPr>
          <w:ilvl w:val="3"/>
          <w:numId w:val="170"/>
        </w:numPr>
      </w:pPr>
      <w:r w:rsidRPr="00B3624C">
        <w:lastRenderedPageBreak/>
        <w:t xml:space="preserve">Any Aboriginal or Torres Strait Islander material </w:t>
      </w:r>
      <w:r>
        <w:t xml:space="preserve">or Ancestral remains </w:t>
      </w:r>
      <w:r w:rsidRPr="00B3624C">
        <w:t>currently described as Class A</w:t>
      </w:r>
      <w:r>
        <w:t>,</w:t>
      </w:r>
      <w:r w:rsidR="004B7746">
        <w:t xml:space="preserve"> are</w:t>
      </w:r>
      <w:r w:rsidRPr="00B3624C">
        <w:t xml:space="preserve"> Declared Australian Protected Material.</w:t>
      </w:r>
    </w:p>
    <w:p w14:paraId="4F2F5FE6" w14:textId="1126ED29" w:rsidR="003B4493" w:rsidRPr="00B3624C" w:rsidRDefault="003B4493" w:rsidP="00E5299D">
      <w:pPr>
        <w:pStyle w:val="List"/>
        <w:numPr>
          <w:ilvl w:val="3"/>
          <w:numId w:val="170"/>
        </w:numPr>
      </w:pPr>
      <w:r w:rsidRPr="00B3624C">
        <w:t>Any decision in respect of the temporary or permanent export of Aborig</w:t>
      </w:r>
      <w:r w:rsidR="004B7746">
        <w:t>inal or Torres Strait Islander Material or Ancestral R</w:t>
      </w:r>
      <w:r w:rsidRPr="00B3624C">
        <w:t xml:space="preserve">emains must be made </w:t>
      </w:r>
      <w:r>
        <w:t>in</w:t>
      </w:r>
      <w:r w:rsidRPr="00B3624C">
        <w:t xml:space="preserve"> consultation and </w:t>
      </w:r>
      <w:r>
        <w:t xml:space="preserve">with the </w:t>
      </w:r>
      <w:r w:rsidRPr="00B3624C">
        <w:t>consent of Traditional Owners, communities or representatives.</w:t>
      </w:r>
    </w:p>
    <w:p w14:paraId="677EE03B" w14:textId="51BC716B" w:rsidR="003B4493" w:rsidRPr="00B3624C" w:rsidRDefault="003B4493" w:rsidP="00E5299D">
      <w:pPr>
        <w:pStyle w:val="List"/>
        <w:numPr>
          <w:ilvl w:val="3"/>
          <w:numId w:val="170"/>
        </w:numPr>
      </w:pPr>
      <w:r w:rsidRPr="00B3624C">
        <w:t xml:space="preserve">Artworks made by Aboriginal or Torres Strait Islander people </w:t>
      </w:r>
      <w:r>
        <w:t>must</w:t>
      </w:r>
      <w:r w:rsidRPr="00B3624C">
        <w:t xml:space="preserve"> no</w:t>
      </w:r>
      <w:r>
        <w:t>t</w:t>
      </w:r>
      <w:r w:rsidRPr="00B3624C">
        <w:t xml:space="preserve"> </w:t>
      </w:r>
      <w:r>
        <w:t>be</w:t>
      </w:r>
      <w:r w:rsidRPr="00B3624C">
        <w:t xml:space="preserve"> considered under this Part</w:t>
      </w:r>
      <w:r>
        <w:rPr>
          <w:rStyle w:val="FootnoteReference"/>
        </w:rPr>
        <w:footnoteReference w:id="182"/>
      </w:r>
      <w:r w:rsidR="00AA7153">
        <w:t>—</w:t>
      </w:r>
      <w:r w:rsidR="00B04D5D">
        <w:t xml:space="preserve">except </w:t>
      </w:r>
      <w:r w:rsidRPr="00B3624C">
        <w:t>where a work contains secret/sacred imagery</w:t>
      </w:r>
      <w:r w:rsidR="00B04D5D">
        <w:t>, in which case</w:t>
      </w:r>
      <w:r w:rsidRPr="00B3624C">
        <w:t xml:space="preserve"> it </w:t>
      </w:r>
      <w:r>
        <w:t>must</w:t>
      </w:r>
      <w:r w:rsidRPr="00B3624C">
        <w:t xml:space="preserve"> be considered under this Part 1, not Part 3.</w:t>
      </w:r>
    </w:p>
    <w:p w14:paraId="096D23EF" w14:textId="77777777" w:rsidR="003B4493" w:rsidRPr="00B3624C" w:rsidRDefault="003B4493" w:rsidP="00E5299D">
      <w:pPr>
        <w:pStyle w:val="List"/>
        <w:numPr>
          <w:ilvl w:val="3"/>
          <w:numId w:val="170"/>
        </w:numPr>
      </w:pPr>
      <w:r w:rsidRPr="00B3624C">
        <w:t>Aboriginal or Torres Strait Islander Material includes:</w:t>
      </w:r>
    </w:p>
    <w:p w14:paraId="0C580D0C" w14:textId="77777777" w:rsidR="00AA7153" w:rsidRDefault="003B4493" w:rsidP="00E5299D">
      <w:pPr>
        <w:pStyle w:val="List2"/>
        <w:numPr>
          <w:ilvl w:val="4"/>
          <w:numId w:val="169"/>
        </w:numPr>
        <w:ind w:left="1134" w:hanging="567"/>
      </w:pPr>
      <w:r w:rsidRPr="00B3624C">
        <w:t>objects made by Aboriginal or Torres Strait Islander people;</w:t>
      </w:r>
    </w:p>
    <w:p w14:paraId="45EEC99C" w14:textId="4569F13A" w:rsidR="003B4493" w:rsidRPr="00B3624C" w:rsidRDefault="003B4493" w:rsidP="00E5299D">
      <w:pPr>
        <w:pStyle w:val="List2"/>
        <w:numPr>
          <w:ilvl w:val="4"/>
          <w:numId w:val="169"/>
        </w:numPr>
        <w:ind w:left="1134" w:hanging="567"/>
      </w:pPr>
      <w:r w:rsidRPr="00B3624C">
        <w:t>objects that are significant in Aboriginal or Torres Strait Islander cultural traditions;</w:t>
      </w:r>
    </w:p>
    <w:p w14:paraId="74B94474" w14:textId="77777777" w:rsidR="003B4493" w:rsidRPr="00B3624C" w:rsidRDefault="003B4493" w:rsidP="00E5299D">
      <w:pPr>
        <w:pStyle w:val="List2"/>
        <w:numPr>
          <w:ilvl w:val="4"/>
          <w:numId w:val="169"/>
        </w:numPr>
        <w:ind w:left="1134" w:hanging="567"/>
      </w:pPr>
      <w:proofErr w:type="gramStart"/>
      <w:r w:rsidRPr="00B3624C">
        <w:t>any</w:t>
      </w:r>
      <w:proofErr w:type="gramEnd"/>
      <w:r w:rsidRPr="00B3624C">
        <w:t xml:space="preserve"> original photograph, drawing, film, video or sound recording and any similar record containing the image or voice of a deceased Aboriginal or Torres Strait Islander person.</w:t>
      </w:r>
    </w:p>
    <w:p w14:paraId="7E9B5DAA" w14:textId="0D68932A" w:rsidR="00AA7153" w:rsidRDefault="003B4493" w:rsidP="00E5299D">
      <w:pPr>
        <w:pStyle w:val="List"/>
        <w:numPr>
          <w:ilvl w:val="3"/>
          <w:numId w:val="182"/>
        </w:numPr>
      </w:pPr>
      <w:r w:rsidRPr="00B3624C">
        <w:t>Aboriginal or Torres Strait Islander Material is Australian Heritage Material if</w:t>
      </w:r>
      <w:r w:rsidR="00364444">
        <w:t>:</w:t>
      </w:r>
    </w:p>
    <w:p w14:paraId="1F0F6E84" w14:textId="28F94A12" w:rsidR="003B4493" w:rsidRDefault="003B4493" w:rsidP="00E5299D">
      <w:pPr>
        <w:pStyle w:val="List2"/>
        <w:numPr>
          <w:ilvl w:val="4"/>
          <w:numId w:val="183"/>
        </w:numPr>
      </w:pPr>
      <w:r w:rsidRPr="00B3624C">
        <w:t>it is more than 50 years old</w:t>
      </w:r>
      <w:r>
        <w:t>; or</w:t>
      </w:r>
    </w:p>
    <w:p w14:paraId="2E0F7E8C" w14:textId="77777777" w:rsidR="003B4493" w:rsidRPr="00B3624C" w:rsidRDefault="003B4493" w:rsidP="00E5299D">
      <w:pPr>
        <w:pStyle w:val="List2"/>
        <w:numPr>
          <w:ilvl w:val="4"/>
          <w:numId w:val="183"/>
        </w:numPr>
        <w:ind w:left="993" w:hanging="426"/>
      </w:pPr>
      <w:proofErr w:type="gramStart"/>
      <w:r w:rsidRPr="00B3624C">
        <w:t>irrespective</w:t>
      </w:r>
      <w:proofErr w:type="gramEnd"/>
      <w:r w:rsidRPr="00B3624C">
        <w:t xml:space="preserve"> of the age </w:t>
      </w:r>
      <w:r>
        <w:t>criteria,</w:t>
      </w:r>
      <w:r w:rsidRPr="00B3624C">
        <w:t xml:space="preserve"> </w:t>
      </w:r>
      <w:r w:rsidRPr="00F238FE">
        <w:t xml:space="preserve">is declared by the Minister to be Australian </w:t>
      </w:r>
      <w:r>
        <w:t>Heritage</w:t>
      </w:r>
      <w:r w:rsidRPr="00F238FE">
        <w:t xml:space="preserve"> Material</w:t>
      </w:r>
      <w:r w:rsidRPr="00B3624C">
        <w:t>.</w:t>
      </w:r>
    </w:p>
    <w:p w14:paraId="23767B01" w14:textId="77777777" w:rsidR="003B4493" w:rsidRPr="00B3624C" w:rsidRDefault="003B4493" w:rsidP="00E5299D">
      <w:pPr>
        <w:pStyle w:val="List"/>
        <w:numPr>
          <w:ilvl w:val="3"/>
          <w:numId w:val="182"/>
        </w:numPr>
      </w:pPr>
      <w:r w:rsidRPr="00B3624C">
        <w:t>The model treats Ancestral remains separately from other material to make it clear that Ancestral remains are not referred to or treated as objects.</w:t>
      </w:r>
    </w:p>
    <w:p w14:paraId="1359AD68" w14:textId="74A5EE9D" w:rsidR="003B4493" w:rsidRPr="00F238FE" w:rsidRDefault="003B4493" w:rsidP="00E5299D">
      <w:pPr>
        <w:pStyle w:val="List2"/>
        <w:numPr>
          <w:ilvl w:val="4"/>
          <w:numId w:val="182"/>
        </w:numPr>
        <w:ind w:left="1134" w:hanging="567"/>
      </w:pPr>
      <w:r w:rsidRPr="00F238FE">
        <w:t xml:space="preserve">In this Part, ‘Ancestral remains’ means the human remains, or any part or sample of the </w:t>
      </w:r>
      <w:r w:rsidR="00B04D5D">
        <w:t>remains, of an Aboriginal</w:t>
      </w:r>
      <w:r w:rsidRPr="00F238FE">
        <w:t xml:space="preserve"> or Torres Strait Islander</w:t>
      </w:r>
      <w:r>
        <w:t xml:space="preserve"> </w:t>
      </w:r>
      <w:r w:rsidR="00B04D5D">
        <w:t xml:space="preserve">person </w:t>
      </w:r>
      <w:r>
        <w:t>who has been dead for at least 50 years</w:t>
      </w:r>
      <w:r w:rsidRPr="00F238FE">
        <w:t>.</w:t>
      </w:r>
    </w:p>
    <w:p w14:paraId="725E32AA" w14:textId="77777777" w:rsidR="003B4493" w:rsidRPr="00F238FE" w:rsidRDefault="003B4493" w:rsidP="00E5299D">
      <w:pPr>
        <w:pStyle w:val="List2"/>
        <w:numPr>
          <w:ilvl w:val="4"/>
          <w:numId w:val="182"/>
        </w:numPr>
        <w:ind w:left="1134" w:hanging="567"/>
      </w:pPr>
      <w:r w:rsidRPr="00F238FE">
        <w:t>All Ancestral remains are Declared Australian Protected Material.</w:t>
      </w:r>
    </w:p>
    <w:p w14:paraId="22CA9354" w14:textId="77777777" w:rsidR="003B4493" w:rsidRPr="00B3624C" w:rsidRDefault="003B4493" w:rsidP="00E5299D">
      <w:pPr>
        <w:pStyle w:val="List2"/>
        <w:numPr>
          <w:ilvl w:val="4"/>
          <w:numId w:val="182"/>
        </w:numPr>
        <w:ind w:left="1134" w:hanging="567"/>
      </w:pPr>
      <w:r w:rsidRPr="00F238FE">
        <w:t>No permit will be issued for the temporary or permanent export of Ancestral remains without consultation with and consent of any identifiable kin of the deceased or Traditional Owners, communities or representatives.</w:t>
      </w:r>
    </w:p>
    <w:p w14:paraId="5082C2D3" w14:textId="77777777" w:rsidR="003B4493" w:rsidRPr="00B3624C" w:rsidRDefault="003B4493" w:rsidP="00E5299D">
      <w:pPr>
        <w:pStyle w:val="List"/>
        <w:numPr>
          <w:ilvl w:val="3"/>
          <w:numId w:val="182"/>
        </w:numPr>
        <w:ind w:left="567" w:hanging="567"/>
      </w:pPr>
      <w:r w:rsidRPr="00B3624C">
        <w:lastRenderedPageBreak/>
        <w:t>Aboriginal or Torres Strait Islander Material is Australian Protected Material if it is Australian Heritage Material and:</w:t>
      </w:r>
    </w:p>
    <w:p w14:paraId="2E64967E" w14:textId="77777777" w:rsidR="00AA7153" w:rsidRDefault="003B4493" w:rsidP="00E5299D">
      <w:pPr>
        <w:pStyle w:val="List2"/>
        <w:numPr>
          <w:ilvl w:val="4"/>
          <w:numId w:val="182"/>
        </w:numPr>
        <w:ind w:left="1134" w:hanging="567"/>
      </w:pPr>
      <w:r w:rsidRPr="00B3624C">
        <w:t>is permitted to leave the country on the basis of a temporary export permit; or</w:t>
      </w:r>
    </w:p>
    <w:p w14:paraId="12157C49" w14:textId="29654DC0" w:rsidR="003B4493" w:rsidRDefault="003B4493" w:rsidP="00E5299D">
      <w:pPr>
        <w:pStyle w:val="List2"/>
        <w:numPr>
          <w:ilvl w:val="4"/>
          <w:numId w:val="182"/>
        </w:numPr>
        <w:ind w:left="1134" w:hanging="567"/>
      </w:pPr>
      <w:r w:rsidRPr="00B3624C">
        <w:t xml:space="preserve">has been formally assessed and found to be significant and not adequately represented in </w:t>
      </w:r>
      <w:r>
        <w:t xml:space="preserve">Australian </w:t>
      </w:r>
      <w:r w:rsidRPr="00B3624C">
        <w:t>public collections</w:t>
      </w:r>
      <w:r>
        <w:t>; or</w:t>
      </w:r>
    </w:p>
    <w:p w14:paraId="5D4DB0D1" w14:textId="77777777" w:rsidR="003B4493" w:rsidRPr="00B3624C" w:rsidRDefault="003B4493" w:rsidP="00E5299D">
      <w:pPr>
        <w:pStyle w:val="List2"/>
        <w:numPr>
          <w:ilvl w:val="4"/>
          <w:numId w:val="182"/>
        </w:numPr>
        <w:ind w:left="1134" w:hanging="567"/>
      </w:pPr>
      <w:proofErr w:type="gramStart"/>
      <w:r w:rsidRPr="00B3624C">
        <w:t>irrespective</w:t>
      </w:r>
      <w:proofErr w:type="gramEnd"/>
      <w:r w:rsidRPr="00B3624C">
        <w:t xml:space="preserve"> of the age </w:t>
      </w:r>
      <w:r>
        <w:t>criteria,</w:t>
      </w:r>
      <w:r w:rsidRPr="00B3624C">
        <w:t xml:space="preserve"> </w:t>
      </w:r>
      <w:r w:rsidRPr="00F238FE">
        <w:t>is declared by the Minister to be Australian Protected Material</w:t>
      </w:r>
      <w:r w:rsidRPr="00B3624C">
        <w:t>.</w:t>
      </w:r>
    </w:p>
    <w:p w14:paraId="088539E4" w14:textId="77777777" w:rsidR="003B4493" w:rsidRDefault="003B4493" w:rsidP="00E5299D">
      <w:pPr>
        <w:pStyle w:val="List"/>
        <w:numPr>
          <w:ilvl w:val="3"/>
          <w:numId w:val="182"/>
        </w:numPr>
      </w:pPr>
      <w:r w:rsidRPr="00F238FE">
        <w:t>Ancestral remains</w:t>
      </w:r>
      <w:r>
        <w:t xml:space="preserve"> are </w:t>
      </w:r>
      <w:r w:rsidRPr="00B3624C">
        <w:t>Declared Australian Protected Material</w:t>
      </w:r>
      <w:r>
        <w:t>.</w:t>
      </w:r>
    </w:p>
    <w:p w14:paraId="7A0A8BE2" w14:textId="77777777" w:rsidR="003B4493" w:rsidRPr="00B3624C" w:rsidRDefault="003B4493" w:rsidP="00E5299D">
      <w:pPr>
        <w:pStyle w:val="List"/>
        <w:numPr>
          <w:ilvl w:val="3"/>
          <w:numId w:val="182"/>
        </w:numPr>
      </w:pPr>
      <w:r w:rsidRPr="00B3624C">
        <w:t>Aboriginal and Torres Strait Islander Material is Declared Australian Protected Material if it is:</w:t>
      </w:r>
    </w:p>
    <w:p w14:paraId="01A555D1" w14:textId="77777777" w:rsidR="003B4493" w:rsidRPr="00F238FE" w:rsidRDefault="003B4493" w:rsidP="00E5299D">
      <w:pPr>
        <w:pStyle w:val="List2"/>
        <w:numPr>
          <w:ilvl w:val="4"/>
          <w:numId w:val="182"/>
        </w:numPr>
        <w:ind w:left="1134" w:hanging="567"/>
      </w:pPr>
      <w:r w:rsidRPr="00F238FE">
        <w:t>secret/sacred ritual objects;</w:t>
      </w:r>
    </w:p>
    <w:p w14:paraId="3ED9D804" w14:textId="77777777" w:rsidR="003B4493" w:rsidRPr="00F238FE" w:rsidRDefault="003B4493" w:rsidP="00E5299D">
      <w:pPr>
        <w:pStyle w:val="List2"/>
        <w:numPr>
          <w:ilvl w:val="4"/>
          <w:numId w:val="182"/>
        </w:numPr>
        <w:ind w:left="1134" w:hanging="567"/>
      </w:pPr>
      <w:r w:rsidRPr="00F238FE">
        <w:t>rock art;</w:t>
      </w:r>
    </w:p>
    <w:p w14:paraId="4640E7EC" w14:textId="77777777" w:rsidR="003B4493" w:rsidRPr="00F238FE" w:rsidRDefault="003B4493" w:rsidP="00E5299D">
      <w:pPr>
        <w:pStyle w:val="List2"/>
        <w:numPr>
          <w:ilvl w:val="4"/>
          <w:numId w:val="182"/>
        </w:numPr>
        <w:ind w:left="1134" w:hanging="567"/>
      </w:pPr>
      <w:proofErr w:type="spellStart"/>
      <w:r w:rsidRPr="00F238FE">
        <w:t>dendroglyphs</w:t>
      </w:r>
      <w:proofErr w:type="spellEnd"/>
      <w:r w:rsidRPr="00F238FE">
        <w:t xml:space="preserve"> (carved trees);</w:t>
      </w:r>
    </w:p>
    <w:p w14:paraId="430E1F34" w14:textId="77777777" w:rsidR="003B4493" w:rsidRPr="00F238FE" w:rsidRDefault="003B4493" w:rsidP="00E5299D">
      <w:pPr>
        <w:pStyle w:val="List2"/>
        <w:numPr>
          <w:ilvl w:val="4"/>
          <w:numId w:val="182"/>
        </w:numPr>
        <w:ind w:left="1134" w:hanging="567"/>
      </w:pPr>
      <w:r w:rsidRPr="00F238FE">
        <w:t>petroglyphs</w:t>
      </w:r>
      <w:r>
        <w:t xml:space="preserve"> (</w:t>
      </w:r>
      <w:r w:rsidRPr="00723270">
        <w:t>carved rocks);</w:t>
      </w:r>
    </w:p>
    <w:p w14:paraId="0FCFD8E6" w14:textId="77777777" w:rsidR="003B4493" w:rsidRPr="00F238FE" w:rsidRDefault="003B4493" w:rsidP="00E5299D">
      <w:pPr>
        <w:pStyle w:val="List2"/>
        <w:numPr>
          <w:ilvl w:val="4"/>
          <w:numId w:val="182"/>
        </w:numPr>
        <w:ind w:left="1134" w:hanging="567"/>
      </w:pPr>
      <w:r w:rsidRPr="00F238FE">
        <w:t>possum skin cloaks;</w:t>
      </w:r>
    </w:p>
    <w:p w14:paraId="33C09C37" w14:textId="77777777" w:rsidR="003B4493" w:rsidRPr="00F238FE" w:rsidRDefault="003B4493" w:rsidP="00E5299D">
      <w:pPr>
        <w:pStyle w:val="List2"/>
        <w:numPr>
          <w:ilvl w:val="4"/>
          <w:numId w:val="182"/>
        </w:numPr>
        <w:ind w:left="1134" w:hanging="567"/>
      </w:pPr>
      <w:r w:rsidRPr="00F238FE">
        <w:t>bark and hollow log coffins and other items used as customary burial objects;</w:t>
      </w:r>
    </w:p>
    <w:p w14:paraId="7F35A758" w14:textId="77777777" w:rsidR="003B4493" w:rsidRPr="00F238FE" w:rsidRDefault="003B4493" w:rsidP="00E5299D">
      <w:pPr>
        <w:pStyle w:val="List2"/>
        <w:numPr>
          <w:ilvl w:val="4"/>
          <w:numId w:val="182"/>
        </w:numPr>
        <w:ind w:left="1134" w:hanging="567"/>
      </w:pPr>
      <w:r w:rsidRPr="00F238FE">
        <w:t>pre-contact artefacts;</w:t>
      </w:r>
    </w:p>
    <w:p w14:paraId="4861D21B" w14:textId="77777777" w:rsidR="003B4493" w:rsidRPr="00F238FE" w:rsidRDefault="003B4493" w:rsidP="00E5299D">
      <w:pPr>
        <w:pStyle w:val="List2"/>
        <w:numPr>
          <w:ilvl w:val="4"/>
          <w:numId w:val="182"/>
        </w:numPr>
        <w:ind w:left="1134" w:hanging="567"/>
      </w:pPr>
      <w:r w:rsidRPr="00F238FE">
        <w:t>western brass breastplates;</w:t>
      </w:r>
    </w:p>
    <w:p w14:paraId="6BC6284D" w14:textId="08E12BDB" w:rsidR="003B4493" w:rsidRPr="00F238FE" w:rsidRDefault="003B4493" w:rsidP="00E5299D">
      <w:pPr>
        <w:pStyle w:val="List2"/>
        <w:numPr>
          <w:ilvl w:val="4"/>
          <w:numId w:val="182"/>
        </w:numPr>
        <w:ind w:left="1134" w:hanging="567"/>
      </w:pPr>
      <w:r w:rsidRPr="00F238FE">
        <w:t>artworks in the Indigenous tradition identified as having secret</w:t>
      </w:r>
      <w:r w:rsidR="00220B45">
        <w:t>/</w:t>
      </w:r>
      <w:r w:rsidRPr="00F238FE">
        <w:t xml:space="preserve">sacred significance for Aboriginal or Torres Strait Islander </w:t>
      </w:r>
      <w:r w:rsidR="00B04D5D">
        <w:t>people</w:t>
      </w:r>
      <w:r w:rsidRPr="00F238FE">
        <w:t>;</w:t>
      </w:r>
    </w:p>
    <w:p w14:paraId="2C0511A7" w14:textId="77777777" w:rsidR="003B4493" w:rsidRPr="00F238FE" w:rsidRDefault="003B4493" w:rsidP="00E5299D">
      <w:pPr>
        <w:pStyle w:val="List2"/>
        <w:numPr>
          <w:ilvl w:val="4"/>
          <w:numId w:val="182"/>
        </w:numPr>
        <w:ind w:left="1134" w:hanging="567"/>
      </w:pPr>
      <w:r w:rsidRPr="00F238FE">
        <w:t>documentation and audio-visual material embodying secret/sacred images or ceremonies; or</w:t>
      </w:r>
    </w:p>
    <w:p w14:paraId="5982FAEC" w14:textId="77777777" w:rsidR="003B4493" w:rsidRPr="00F238FE" w:rsidRDefault="003B4493" w:rsidP="00E5299D">
      <w:pPr>
        <w:pStyle w:val="List2"/>
        <w:numPr>
          <w:ilvl w:val="4"/>
          <w:numId w:val="182"/>
        </w:numPr>
        <w:ind w:left="1134" w:hanging="567"/>
      </w:pPr>
      <w:r w:rsidRPr="00B3624C">
        <w:t xml:space="preserve">irrespective of the </w:t>
      </w:r>
      <w:r>
        <w:t xml:space="preserve">age </w:t>
      </w:r>
      <w:r w:rsidRPr="00B3624C">
        <w:t>criteria</w:t>
      </w:r>
      <w:r>
        <w:t>,</w:t>
      </w:r>
      <w:r w:rsidRPr="00F238FE">
        <w:t xml:space="preserve"> declared by the Minister to be </w:t>
      </w:r>
      <w:r>
        <w:t xml:space="preserve">Declared </w:t>
      </w:r>
      <w:r w:rsidRPr="00F238FE">
        <w:t>Australian Protected Material; or</w:t>
      </w:r>
    </w:p>
    <w:p w14:paraId="436D417E" w14:textId="77777777" w:rsidR="00AA7153" w:rsidRDefault="003B4493" w:rsidP="00E5299D">
      <w:pPr>
        <w:pStyle w:val="List2"/>
        <w:numPr>
          <w:ilvl w:val="4"/>
          <w:numId w:val="182"/>
        </w:numPr>
        <w:ind w:left="1134" w:hanging="567"/>
      </w:pPr>
      <w:proofErr w:type="gramStart"/>
      <w:r w:rsidRPr="00F238FE">
        <w:t>denied</w:t>
      </w:r>
      <w:proofErr w:type="gramEnd"/>
      <w:r w:rsidRPr="00F238FE">
        <w:t xml:space="preserve"> permanent export permission under the Act.</w:t>
      </w:r>
    </w:p>
    <w:p w14:paraId="54F398C1" w14:textId="248AA6CF" w:rsidR="003B4493" w:rsidRPr="00B3624C" w:rsidRDefault="003B4493" w:rsidP="00E5299D">
      <w:pPr>
        <w:pStyle w:val="List"/>
        <w:numPr>
          <w:ilvl w:val="3"/>
          <w:numId w:val="182"/>
        </w:numPr>
      </w:pPr>
      <w:r w:rsidRPr="00B3624C">
        <w:t>In determining whether works have secret/sacred significance:</w:t>
      </w:r>
    </w:p>
    <w:p w14:paraId="203813AF" w14:textId="77777777" w:rsidR="003B4493" w:rsidRPr="00B3624C" w:rsidRDefault="003B4493" w:rsidP="00E5299D">
      <w:pPr>
        <w:pStyle w:val="List2"/>
        <w:numPr>
          <w:ilvl w:val="4"/>
          <w:numId w:val="182"/>
        </w:numPr>
        <w:ind w:left="1134" w:hanging="567"/>
      </w:pPr>
      <w:r w:rsidRPr="00B3624C">
        <w:lastRenderedPageBreak/>
        <w:t>any material originating from a recognised Australian sacred site</w:t>
      </w:r>
      <w:r>
        <w:rPr>
          <w:rStyle w:val="FootnoteReference"/>
        </w:rPr>
        <w:footnoteReference w:id="183"/>
      </w:r>
      <w:r w:rsidRPr="00B3624C">
        <w:t xml:space="preserve"> shall be presumed secret/sacred;</w:t>
      </w:r>
    </w:p>
    <w:p w14:paraId="46A214A5" w14:textId="77777777" w:rsidR="00AA7153" w:rsidRDefault="003B4493" w:rsidP="00E5299D">
      <w:pPr>
        <w:pStyle w:val="List2"/>
        <w:numPr>
          <w:ilvl w:val="4"/>
          <w:numId w:val="182"/>
        </w:numPr>
        <w:ind w:left="1134" w:hanging="567"/>
      </w:pPr>
      <w:r w:rsidRPr="00B3624C">
        <w:t>material or objects made for sale are prima facie presumed not secret/sacred in content; and</w:t>
      </w:r>
    </w:p>
    <w:p w14:paraId="211809BF" w14:textId="7E71EEF8" w:rsidR="003B4493" w:rsidRPr="00B3624C" w:rsidRDefault="003B4493" w:rsidP="00E5299D">
      <w:pPr>
        <w:pStyle w:val="List2"/>
        <w:numPr>
          <w:ilvl w:val="4"/>
          <w:numId w:val="182"/>
        </w:numPr>
        <w:ind w:left="1134" w:hanging="567"/>
      </w:pPr>
      <w:proofErr w:type="gramStart"/>
      <w:r w:rsidRPr="00B3624C">
        <w:t>notwithstanding</w:t>
      </w:r>
      <w:proofErr w:type="gramEnd"/>
      <w:r w:rsidRPr="00B3624C">
        <w:t xml:space="preserve"> (b), </w:t>
      </w:r>
      <w:r>
        <w:t xml:space="preserve">pre-1974 </w:t>
      </w:r>
      <w:r w:rsidRPr="00B3624C">
        <w:t>Papunya Tula boards containing explicit de</w:t>
      </w:r>
      <w:r w:rsidR="00220B45">
        <w:t>piction of ceremonial poles and/</w:t>
      </w:r>
      <w:r w:rsidRPr="00B3624C">
        <w:t xml:space="preserve">or </w:t>
      </w:r>
      <w:proofErr w:type="spellStart"/>
      <w:r w:rsidRPr="00723270">
        <w:t>tjuringa</w:t>
      </w:r>
      <w:proofErr w:type="spellEnd"/>
      <w:r w:rsidRPr="00B3624C">
        <w:t xml:space="preserve"> bullroarers are presumed secret/sacred.</w:t>
      </w:r>
    </w:p>
    <w:p w14:paraId="323AAC2B" w14:textId="77777777" w:rsidR="003B4493" w:rsidRPr="00B3624C" w:rsidRDefault="003B4493" w:rsidP="00E5299D">
      <w:pPr>
        <w:pStyle w:val="List"/>
        <w:numPr>
          <w:ilvl w:val="3"/>
          <w:numId w:val="182"/>
        </w:numPr>
      </w:pPr>
      <w:r w:rsidRPr="00B3624C">
        <w:t xml:space="preserve">Except for the Papunya Tula boards described in </w:t>
      </w:r>
      <w:r>
        <w:t>(11</w:t>
      </w:r>
      <w:proofErr w:type="gramStart"/>
      <w:r>
        <w:t>)</w:t>
      </w:r>
      <w:r w:rsidRPr="00B3624C">
        <w:t>(</w:t>
      </w:r>
      <w:proofErr w:type="gramEnd"/>
      <w:r w:rsidRPr="00B3624C">
        <w:t>c) above, Part 1 does not apply to any work of visual art, craft or design made with the intention of sale.</w:t>
      </w:r>
    </w:p>
    <w:p w14:paraId="13CE9AAB" w14:textId="73E99B6C" w:rsidR="00AA7153" w:rsidRDefault="003B4493" w:rsidP="00E5299D">
      <w:pPr>
        <w:pStyle w:val="List"/>
        <w:numPr>
          <w:ilvl w:val="3"/>
          <w:numId w:val="182"/>
        </w:numPr>
      </w:pPr>
      <w:r w:rsidRPr="00B3624C">
        <w:t>Aboriginal and Torres Strait Islander material, whether it is Australian Heritage Material</w:t>
      </w:r>
      <w:r>
        <w:t xml:space="preserve">, Australian Protected Material or </w:t>
      </w:r>
      <w:r w:rsidRPr="00B3624C">
        <w:t xml:space="preserve">Declared Australian Protected Material, may be temporarily exported without </w:t>
      </w:r>
      <w:r w:rsidR="00220B45">
        <w:t xml:space="preserve">a </w:t>
      </w:r>
      <w:r w:rsidRPr="00B3624C">
        <w:t>permit if it is being accompanied by its Traditional Owner</w:t>
      </w:r>
      <w:r w:rsidR="004B7746">
        <w:t>s</w:t>
      </w:r>
      <w:r w:rsidRPr="00B3624C">
        <w:t xml:space="preserve"> in accordance with Aboriginal or Torres Strait Islander customs and traditions. </w:t>
      </w:r>
    </w:p>
    <w:p w14:paraId="1A67A0ED" w14:textId="52FECB6B" w:rsidR="004D4297" w:rsidRDefault="004D4297" w:rsidP="004D4297">
      <w:pPr>
        <w:pStyle w:val="Subtitle"/>
      </w:pPr>
      <w:r w:rsidRPr="004B7746">
        <w:t>Material denied permanent export permission under the Act</w:t>
      </w:r>
    </w:p>
    <w:p w14:paraId="14955567" w14:textId="77777777" w:rsidR="004D4297" w:rsidRPr="00F238FE" w:rsidRDefault="004D4297" w:rsidP="00C66090">
      <w:pPr>
        <w:pStyle w:val="List4"/>
        <w:numPr>
          <w:ilvl w:val="6"/>
          <w:numId w:val="85"/>
        </w:numPr>
        <w:ind w:left="567" w:hanging="567"/>
      </w:pPr>
      <w:r w:rsidRPr="00F238FE">
        <w:t>Torres Strait Arrowhead;</w:t>
      </w:r>
    </w:p>
    <w:p w14:paraId="3FFA17D3" w14:textId="77777777" w:rsidR="004D4297" w:rsidRPr="00F238FE" w:rsidRDefault="004D4297" w:rsidP="00C66090">
      <w:pPr>
        <w:pStyle w:val="List4"/>
        <w:numPr>
          <w:ilvl w:val="6"/>
          <w:numId w:val="85"/>
        </w:numPr>
        <w:ind w:left="567" w:hanging="567"/>
      </w:pPr>
      <w:r w:rsidRPr="00F238FE">
        <w:t xml:space="preserve">two Queensland </w:t>
      </w:r>
      <w:proofErr w:type="spellStart"/>
      <w:r w:rsidRPr="00F238FE">
        <w:t>Gulmari</w:t>
      </w:r>
      <w:proofErr w:type="spellEnd"/>
      <w:r w:rsidRPr="00F238FE">
        <w:t xml:space="preserve"> Shields, c.1880s;</w:t>
      </w:r>
    </w:p>
    <w:p w14:paraId="7870D776" w14:textId="77777777" w:rsidR="004D4297" w:rsidRPr="00F238FE" w:rsidRDefault="004D4297" w:rsidP="00C66090">
      <w:pPr>
        <w:pStyle w:val="List4"/>
        <w:numPr>
          <w:ilvl w:val="6"/>
          <w:numId w:val="85"/>
        </w:numPr>
        <w:ind w:left="567" w:hanging="567"/>
      </w:pPr>
      <w:r w:rsidRPr="00F238FE">
        <w:t>28.29 gram specimen of Uluru (Ayers Rock);</w:t>
      </w:r>
    </w:p>
    <w:p w14:paraId="2764010D" w14:textId="77777777" w:rsidR="00AA7153" w:rsidRDefault="004D4297" w:rsidP="00C66090">
      <w:pPr>
        <w:pStyle w:val="List4"/>
        <w:numPr>
          <w:ilvl w:val="6"/>
          <w:numId w:val="85"/>
        </w:numPr>
        <w:ind w:left="567" w:hanging="567"/>
      </w:pPr>
      <w:r w:rsidRPr="00F238FE">
        <w:t xml:space="preserve">Honey Ant Travelling Dreaming (1971) by </w:t>
      </w:r>
      <w:proofErr w:type="spellStart"/>
      <w:r w:rsidRPr="00F238FE">
        <w:t>Kaapa</w:t>
      </w:r>
      <w:proofErr w:type="spellEnd"/>
      <w:r w:rsidRPr="00F238FE">
        <w:t xml:space="preserve"> </w:t>
      </w:r>
      <w:proofErr w:type="spellStart"/>
      <w:r w:rsidRPr="00F238FE">
        <w:t>Mbitjana</w:t>
      </w:r>
      <w:proofErr w:type="spellEnd"/>
      <w:r w:rsidRPr="00F238FE">
        <w:t xml:space="preserve"> Tjampitjinpa;</w:t>
      </w:r>
    </w:p>
    <w:p w14:paraId="48248D15" w14:textId="781060F1" w:rsidR="004D4297" w:rsidRPr="00F238FE" w:rsidRDefault="004D4297" w:rsidP="00C66090">
      <w:pPr>
        <w:pStyle w:val="List4"/>
        <w:numPr>
          <w:ilvl w:val="6"/>
          <w:numId w:val="85"/>
        </w:numPr>
        <w:ind w:left="567" w:hanging="567"/>
      </w:pPr>
      <w:r w:rsidRPr="00F238FE">
        <w:t>Water Dreaming (1972) by Old Walter Tjampitjinpa;</w:t>
      </w:r>
    </w:p>
    <w:p w14:paraId="3D4547AE" w14:textId="77777777" w:rsidR="004D4297" w:rsidRPr="00F238FE" w:rsidRDefault="004D4297" w:rsidP="00C66090">
      <w:pPr>
        <w:pStyle w:val="List4"/>
        <w:numPr>
          <w:ilvl w:val="6"/>
          <w:numId w:val="85"/>
        </w:numPr>
        <w:ind w:left="567" w:hanging="567"/>
      </w:pPr>
      <w:proofErr w:type="spellStart"/>
      <w:r w:rsidRPr="00F238FE">
        <w:t>Womens</w:t>
      </w:r>
      <w:proofErr w:type="spellEnd"/>
      <w:r w:rsidRPr="00F238FE">
        <w:t xml:space="preserve">' Dreaming (1972) by </w:t>
      </w:r>
      <w:proofErr w:type="spellStart"/>
      <w:r w:rsidRPr="00F238FE">
        <w:t>Uta</w:t>
      </w:r>
      <w:proofErr w:type="spellEnd"/>
      <w:r w:rsidRPr="00F238FE">
        <w:t xml:space="preserve"> </w:t>
      </w:r>
      <w:proofErr w:type="spellStart"/>
      <w:r w:rsidRPr="00F238FE">
        <w:t>Uta</w:t>
      </w:r>
      <w:proofErr w:type="spellEnd"/>
      <w:r w:rsidRPr="00F238FE">
        <w:t xml:space="preserve"> </w:t>
      </w:r>
      <w:proofErr w:type="spellStart"/>
      <w:r w:rsidRPr="00F238FE">
        <w:t>Tjangala</w:t>
      </w:r>
      <w:proofErr w:type="spellEnd"/>
      <w:r w:rsidRPr="00F238FE">
        <w:t>;</w:t>
      </w:r>
    </w:p>
    <w:p w14:paraId="21CA5979" w14:textId="77777777" w:rsidR="00AA7153" w:rsidRDefault="004D4297" w:rsidP="00C66090">
      <w:pPr>
        <w:pStyle w:val="List4"/>
        <w:numPr>
          <w:ilvl w:val="6"/>
          <w:numId w:val="85"/>
        </w:numPr>
        <w:ind w:left="567" w:hanging="567"/>
      </w:pPr>
      <w:r w:rsidRPr="00F238FE">
        <w:t>Rain Dreaming with Ceremonial Man (c1971) by Johnny Warangkula Tjupurrula;</w:t>
      </w:r>
    </w:p>
    <w:p w14:paraId="5BA074B4" w14:textId="77777777" w:rsidR="00AA7153" w:rsidRDefault="004D4297" w:rsidP="00C66090">
      <w:pPr>
        <w:pStyle w:val="List4"/>
        <w:numPr>
          <w:ilvl w:val="6"/>
          <w:numId w:val="85"/>
        </w:numPr>
        <w:ind w:left="567" w:hanging="567"/>
      </w:pPr>
      <w:r w:rsidRPr="00F238FE">
        <w:t xml:space="preserve">Porcupine, Danger Men Only (1973) by </w:t>
      </w:r>
      <w:proofErr w:type="spellStart"/>
      <w:r w:rsidRPr="00F238FE">
        <w:t>Anatjari</w:t>
      </w:r>
      <w:proofErr w:type="spellEnd"/>
      <w:r w:rsidRPr="00F238FE">
        <w:t xml:space="preserve"> Tjakamarra;</w:t>
      </w:r>
    </w:p>
    <w:p w14:paraId="6510AF1B" w14:textId="6AD72B2E" w:rsidR="004D4297" w:rsidRPr="00F238FE" w:rsidRDefault="004D4297" w:rsidP="00C66090">
      <w:pPr>
        <w:pStyle w:val="List4"/>
        <w:numPr>
          <w:ilvl w:val="6"/>
          <w:numId w:val="85"/>
        </w:numPr>
        <w:ind w:left="567" w:hanging="567"/>
      </w:pPr>
      <w:r w:rsidRPr="00F238FE">
        <w:t>Untitled (1972) by Ronnie Tjampitjinpa;</w:t>
      </w:r>
    </w:p>
    <w:p w14:paraId="4C1A78A6" w14:textId="77777777" w:rsidR="004D4297" w:rsidRPr="00F238FE" w:rsidRDefault="004D4297" w:rsidP="00C66090">
      <w:pPr>
        <w:pStyle w:val="List4"/>
        <w:numPr>
          <w:ilvl w:val="6"/>
          <w:numId w:val="85"/>
        </w:numPr>
        <w:ind w:left="567" w:hanging="567"/>
      </w:pPr>
      <w:r w:rsidRPr="00F238FE">
        <w:t xml:space="preserve">Budgerigar Dreaming (1972) by </w:t>
      </w:r>
      <w:proofErr w:type="spellStart"/>
      <w:r w:rsidRPr="00F238FE">
        <w:t>Kaapa</w:t>
      </w:r>
      <w:proofErr w:type="spellEnd"/>
      <w:r w:rsidRPr="00F238FE">
        <w:t xml:space="preserve"> </w:t>
      </w:r>
      <w:proofErr w:type="spellStart"/>
      <w:r w:rsidRPr="00F238FE">
        <w:t>Mbitjana</w:t>
      </w:r>
      <w:proofErr w:type="spellEnd"/>
      <w:r w:rsidRPr="00F238FE">
        <w:t xml:space="preserve"> Tjampitjinpa;</w:t>
      </w:r>
    </w:p>
    <w:p w14:paraId="2E9349FA" w14:textId="77777777" w:rsidR="004D4297" w:rsidRPr="00F238FE" w:rsidRDefault="004D4297" w:rsidP="00C66090">
      <w:pPr>
        <w:pStyle w:val="List4"/>
        <w:numPr>
          <w:ilvl w:val="6"/>
          <w:numId w:val="85"/>
        </w:numPr>
        <w:ind w:left="567" w:hanging="567"/>
      </w:pPr>
      <w:r w:rsidRPr="00F238FE">
        <w:t>Untitled (Ceremonial Designs) (1971/72) by Mick Namarari Tjapaltjarri;</w:t>
      </w:r>
    </w:p>
    <w:p w14:paraId="6389D535" w14:textId="77777777" w:rsidR="004D4297" w:rsidRPr="00F238FE" w:rsidRDefault="004D4297" w:rsidP="00C66090">
      <w:pPr>
        <w:pStyle w:val="List4"/>
        <w:numPr>
          <w:ilvl w:val="6"/>
          <w:numId w:val="85"/>
        </w:numPr>
        <w:ind w:left="567" w:hanging="567"/>
      </w:pPr>
      <w:proofErr w:type="spellStart"/>
      <w:r w:rsidRPr="00F238FE">
        <w:lastRenderedPageBreak/>
        <w:t>Djulpan</w:t>
      </w:r>
      <w:proofErr w:type="spellEnd"/>
      <w:r w:rsidRPr="00F238FE">
        <w:t xml:space="preserve">, the constellation of Orion and the Pleiades (c1958) by </w:t>
      </w:r>
      <w:proofErr w:type="spellStart"/>
      <w:r w:rsidRPr="00F238FE">
        <w:t>Mungarrawuy</w:t>
      </w:r>
      <w:proofErr w:type="spellEnd"/>
      <w:r w:rsidRPr="00F238FE">
        <w:t xml:space="preserve"> </w:t>
      </w:r>
      <w:proofErr w:type="spellStart"/>
      <w:r w:rsidRPr="00F238FE">
        <w:t>Yunupingu</w:t>
      </w:r>
      <w:proofErr w:type="spellEnd"/>
      <w:r w:rsidRPr="00F238FE">
        <w:t>;</w:t>
      </w:r>
    </w:p>
    <w:p w14:paraId="39C546D8" w14:textId="77777777" w:rsidR="004D4297" w:rsidRPr="00F238FE" w:rsidRDefault="004D4297" w:rsidP="00C66090">
      <w:pPr>
        <w:pStyle w:val="List4"/>
        <w:numPr>
          <w:ilvl w:val="6"/>
          <w:numId w:val="85"/>
        </w:numPr>
        <w:ind w:left="567" w:hanging="567"/>
      </w:pPr>
      <w:r w:rsidRPr="00F238FE">
        <w:t xml:space="preserve">Hunting (1971) by Long Jack </w:t>
      </w:r>
      <w:proofErr w:type="spellStart"/>
      <w:r w:rsidRPr="00F238FE">
        <w:t>Phillipus</w:t>
      </w:r>
      <w:proofErr w:type="spellEnd"/>
      <w:r w:rsidRPr="00F238FE">
        <w:t xml:space="preserve"> Tjakamarra;</w:t>
      </w:r>
    </w:p>
    <w:p w14:paraId="603B9838" w14:textId="77777777" w:rsidR="004D4297" w:rsidRPr="00F238FE" w:rsidRDefault="004D4297" w:rsidP="00C66090">
      <w:pPr>
        <w:pStyle w:val="List4"/>
        <w:numPr>
          <w:ilvl w:val="6"/>
          <w:numId w:val="85"/>
        </w:numPr>
        <w:ind w:left="567" w:hanging="567"/>
      </w:pPr>
      <w:r w:rsidRPr="00F238FE">
        <w:t xml:space="preserve">Corroboree for Young Men (1972) by Long Jack </w:t>
      </w:r>
      <w:proofErr w:type="spellStart"/>
      <w:r w:rsidRPr="00F238FE">
        <w:t>Phillipus</w:t>
      </w:r>
      <w:proofErr w:type="spellEnd"/>
      <w:r w:rsidRPr="00F238FE">
        <w:t xml:space="preserve"> Tjakamarra;</w:t>
      </w:r>
    </w:p>
    <w:p w14:paraId="694B8EAF" w14:textId="77777777" w:rsidR="004D4297" w:rsidRPr="00F238FE" w:rsidRDefault="004D4297" w:rsidP="00C66090">
      <w:pPr>
        <w:pStyle w:val="List4"/>
        <w:numPr>
          <w:ilvl w:val="6"/>
          <w:numId w:val="85"/>
        </w:numPr>
        <w:ind w:left="567" w:hanging="567"/>
      </w:pPr>
      <w:r w:rsidRPr="00F238FE">
        <w:t>Wild Potato Dreaming (1972) by David Corby Tjapaltjarri;</w:t>
      </w:r>
    </w:p>
    <w:p w14:paraId="12ADB076" w14:textId="77777777" w:rsidR="004D4297" w:rsidRDefault="004D4297" w:rsidP="00C66090">
      <w:pPr>
        <w:pStyle w:val="List4"/>
        <w:numPr>
          <w:ilvl w:val="6"/>
          <w:numId w:val="85"/>
        </w:numPr>
        <w:ind w:left="567" w:hanging="567"/>
      </w:pPr>
      <w:r w:rsidRPr="00F238FE">
        <w:t xml:space="preserve">Men's Corroboree Dreaming in a Cave (1974) by </w:t>
      </w:r>
      <w:proofErr w:type="spellStart"/>
      <w:r w:rsidRPr="00F238FE">
        <w:t>Anatjari</w:t>
      </w:r>
      <w:proofErr w:type="spellEnd"/>
      <w:r w:rsidRPr="00F238FE">
        <w:t xml:space="preserve"> III Tjakamarra; and</w:t>
      </w:r>
    </w:p>
    <w:p w14:paraId="2C574D06" w14:textId="77777777" w:rsidR="004D4297" w:rsidRDefault="004D4297" w:rsidP="00C66090">
      <w:pPr>
        <w:pStyle w:val="List4"/>
        <w:numPr>
          <w:ilvl w:val="6"/>
          <w:numId w:val="85"/>
        </w:numPr>
        <w:ind w:left="567" w:hanging="567"/>
      </w:pPr>
      <w:r w:rsidRPr="00F238FE">
        <w:t>Woman's Dreaming (1972) by Tommy Lowry Tjapaltjarri.</w:t>
      </w:r>
    </w:p>
    <w:p w14:paraId="53FFE9CB" w14:textId="77777777" w:rsidR="00AA7153" w:rsidRDefault="003B4493" w:rsidP="00525F38">
      <w:pPr>
        <w:pStyle w:val="Heading3"/>
      </w:pPr>
      <w:r w:rsidRPr="00B3624C">
        <w:t>Part 2: Natural Science Material</w:t>
      </w:r>
    </w:p>
    <w:p w14:paraId="1CE6C1DE" w14:textId="35A9F3EF" w:rsidR="003B4493" w:rsidRPr="00B3624C" w:rsidRDefault="003B4493" w:rsidP="00E5299D">
      <w:pPr>
        <w:pStyle w:val="List"/>
        <w:numPr>
          <w:ilvl w:val="3"/>
          <w:numId w:val="109"/>
        </w:numPr>
      </w:pPr>
      <w:r w:rsidRPr="00B3624C">
        <w:t>Natural Science Material is Australian Heritage Material if it is:</w:t>
      </w:r>
    </w:p>
    <w:p w14:paraId="5BA8321F" w14:textId="77777777" w:rsidR="003B4493" w:rsidRPr="00F238FE" w:rsidRDefault="003B4493" w:rsidP="00E5299D">
      <w:pPr>
        <w:pStyle w:val="List2"/>
        <w:numPr>
          <w:ilvl w:val="4"/>
          <w:numId w:val="109"/>
        </w:numPr>
        <w:ind w:left="1134" w:hanging="567"/>
      </w:pPr>
      <w:r w:rsidRPr="00F238FE">
        <w:t>Australia-related; and is either</w:t>
      </w:r>
    </w:p>
    <w:p w14:paraId="5E97AC3F" w14:textId="77777777" w:rsidR="003B4493" w:rsidRPr="00F238FE" w:rsidRDefault="003B4493" w:rsidP="00E5299D">
      <w:pPr>
        <w:pStyle w:val="List2"/>
        <w:numPr>
          <w:ilvl w:val="4"/>
          <w:numId w:val="109"/>
        </w:numPr>
        <w:ind w:left="1134" w:hanging="567"/>
      </w:pPr>
      <w:r w:rsidRPr="00F238FE">
        <w:t>a paleontological object; or</w:t>
      </w:r>
    </w:p>
    <w:p w14:paraId="7BB7D6AF" w14:textId="77777777" w:rsidR="003B4493" w:rsidRPr="00F238FE" w:rsidRDefault="003B4493" w:rsidP="00E5299D">
      <w:pPr>
        <w:pStyle w:val="List2"/>
        <w:numPr>
          <w:ilvl w:val="4"/>
          <w:numId w:val="109"/>
        </w:numPr>
        <w:ind w:left="1134" w:hanging="567"/>
      </w:pPr>
      <w:r w:rsidRPr="00F238FE">
        <w:t>a meteorite; or</w:t>
      </w:r>
    </w:p>
    <w:p w14:paraId="24285ED5" w14:textId="77777777" w:rsidR="00AA7153" w:rsidRDefault="003B4493" w:rsidP="00E5299D">
      <w:pPr>
        <w:pStyle w:val="List2"/>
        <w:numPr>
          <w:ilvl w:val="4"/>
          <w:numId w:val="109"/>
        </w:numPr>
        <w:ind w:left="1134" w:hanging="567"/>
      </w:pPr>
      <w:r w:rsidRPr="00F238FE">
        <w:t xml:space="preserve">a primary type specimen of </w:t>
      </w:r>
      <w:r>
        <w:t>biological material (</w:t>
      </w:r>
      <w:r w:rsidRPr="00F238FE">
        <w:t>present-day flora or fauna</w:t>
      </w:r>
      <w:r>
        <w:t>)</w:t>
      </w:r>
      <w:r w:rsidRPr="00F238FE">
        <w:t xml:space="preserve"> or mineral if a permit or authority under the</w:t>
      </w:r>
      <w:r w:rsidRPr="00436A8F">
        <w:rPr>
          <w:i/>
        </w:rPr>
        <w:t xml:space="preserve"> Environment Protection and Biodiversity Conservation Act 1999</w:t>
      </w:r>
      <w:r w:rsidRPr="00F238FE">
        <w:t xml:space="preserve"> is not in force for the type specimen; or</w:t>
      </w:r>
    </w:p>
    <w:p w14:paraId="4E3301B3" w14:textId="1BB90603" w:rsidR="003B4493" w:rsidRPr="00F238FE" w:rsidRDefault="003B4493" w:rsidP="00E5299D">
      <w:pPr>
        <w:pStyle w:val="List2"/>
        <w:numPr>
          <w:ilvl w:val="4"/>
          <w:numId w:val="109"/>
        </w:numPr>
        <w:ind w:left="1134" w:hanging="567"/>
      </w:pPr>
      <w:r w:rsidRPr="00F238FE">
        <w:t>one of the following objects having a current market value greater than the amount set out below:</w:t>
      </w:r>
    </w:p>
    <w:p w14:paraId="70CBAABD" w14:textId="6E7A74DC" w:rsidR="00AA7153" w:rsidRDefault="003B4493" w:rsidP="00E5299D">
      <w:pPr>
        <w:pStyle w:val="List2"/>
        <w:numPr>
          <w:ilvl w:val="5"/>
          <w:numId w:val="109"/>
        </w:numPr>
      </w:pPr>
      <w:r w:rsidRPr="00F238FE">
        <w:t xml:space="preserve">any mineral object not otherwise mentioned in this item, </w:t>
      </w:r>
      <w:r w:rsidR="00220B45">
        <w:t xml:space="preserve">having a current market value </w:t>
      </w:r>
      <w:r w:rsidRPr="00F238FE">
        <w:t>of at least $10,000;</w:t>
      </w:r>
    </w:p>
    <w:p w14:paraId="5DFAF1B4" w14:textId="77777777" w:rsidR="00AA7153" w:rsidRDefault="003B4493" w:rsidP="00E5299D">
      <w:pPr>
        <w:pStyle w:val="List2"/>
        <w:numPr>
          <w:ilvl w:val="5"/>
          <w:numId w:val="109"/>
        </w:numPr>
      </w:pPr>
      <w:r w:rsidRPr="00F238FE">
        <w:t xml:space="preserve">any gold nugget having a current market value of at least $250,000 based on </w:t>
      </w:r>
      <w:r w:rsidR="00B04D5D">
        <w:t xml:space="preserve">its </w:t>
      </w:r>
      <w:r w:rsidRPr="00F238FE">
        <w:t>value as an object, not weight;</w:t>
      </w:r>
    </w:p>
    <w:p w14:paraId="402F5975" w14:textId="77777777" w:rsidR="00AA7153" w:rsidRDefault="003B4493" w:rsidP="00E5299D">
      <w:pPr>
        <w:pStyle w:val="List2"/>
        <w:numPr>
          <w:ilvl w:val="5"/>
          <w:numId w:val="109"/>
        </w:numPr>
      </w:pPr>
      <w:r w:rsidRPr="00F238FE">
        <w:t>any diamond or sapphire having a current market value of at least $250,000;</w:t>
      </w:r>
    </w:p>
    <w:p w14:paraId="77C348AD" w14:textId="6E438C6F" w:rsidR="003B4493" w:rsidRPr="00F238FE" w:rsidRDefault="003B4493" w:rsidP="00E5299D">
      <w:pPr>
        <w:pStyle w:val="List2"/>
        <w:numPr>
          <w:ilvl w:val="5"/>
          <w:numId w:val="109"/>
        </w:numPr>
      </w:pPr>
      <w:r>
        <w:t xml:space="preserve">any opal having a current market value of at least $100,000; </w:t>
      </w:r>
      <w:r w:rsidRPr="00F238FE">
        <w:t>or</w:t>
      </w:r>
    </w:p>
    <w:p w14:paraId="3885FD29" w14:textId="7ED98F51" w:rsidR="00AA7153" w:rsidRDefault="003B4493" w:rsidP="00E5299D">
      <w:pPr>
        <w:pStyle w:val="List2"/>
        <w:numPr>
          <w:ilvl w:val="5"/>
          <w:numId w:val="109"/>
        </w:numPr>
      </w:pPr>
      <w:proofErr w:type="gramStart"/>
      <w:r w:rsidRPr="00F238FE">
        <w:t>any</w:t>
      </w:r>
      <w:proofErr w:type="gramEnd"/>
      <w:r w:rsidRPr="00F238FE">
        <w:t xml:space="preserve"> other gemstone having a current market value of at least $25,000</w:t>
      </w:r>
      <w:r w:rsidR="00220B45">
        <w:t>.</w:t>
      </w:r>
    </w:p>
    <w:p w14:paraId="2955A27F" w14:textId="7387B70A" w:rsidR="003B4493" w:rsidRPr="00B3624C" w:rsidRDefault="003B4493" w:rsidP="00E5299D">
      <w:pPr>
        <w:pStyle w:val="List"/>
        <w:numPr>
          <w:ilvl w:val="3"/>
          <w:numId w:val="109"/>
        </w:numPr>
      </w:pPr>
      <w:r w:rsidRPr="00B3624C">
        <w:t>Natural Science Material is Australian Protected Material if it is Australian Heritage Material and:</w:t>
      </w:r>
    </w:p>
    <w:p w14:paraId="4F674F82" w14:textId="77777777" w:rsidR="00AA7153" w:rsidRDefault="003B4493" w:rsidP="00E5299D">
      <w:pPr>
        <w:pStyle w:val="List2"/>
        <w:numPr>
          <w:ilvl w:val="4"/>
          <w:numId w:val="109"/>
        </w:numPr>
      </w:pPr>
      <w:r w:rsidRPr="00F238FE">
        <w:t>is permitted to leave the country on the basis of a temporary export permit; or</w:t>
      </w:r>
    </w:p>
    <w:p w14:paraId="372C4F3C" w14:textId="074DD169" w:rsidR="003B4493" w:rsidRDefault="003B4493" w:rsidP="00E5299D">
      <w:pPr>
        <w:pStyle w:val="List2"/>
        <w:numPr>
          <w:ilvl w:val="4"/>
          <w:numId w:val="109"/>
        </w:numPr>
      </w:pPr>
      <w:r w:rsidRPr="00F238FE">
        <w:t>has been formally assessed and found to be significant and not adequately represented</w:t>
      </w:r>
      <w:r>
        <w:t xml:space="preserve"> </w:t>
      </w:r>
      <w:r w:rsidRPr="00B3624C">
        <w:t xml:space="preserve">in </w:t>
      </w:r>
      <w:r>
        <w:t xml:space="preserve">Australian </w:t>
      </w:r>
      <w:r w:rsidRPr="00B3624C">
        <w:t>public collections</w:t>
      </w:r>
      <w:r>
        <w:t>; or</w:t>
      </w:r>
    </w:p>
    <w:p w14:paraId="39E86F4A" w14:textId="77777777" w:rsidR="003B4493" w:rsidRPr="00B3624C" w:rsidRDefault="003B4493" w:rsidP="00E5299D">
      <w:pPr>
        <w:pStyle w:val="List2"/>
        <w:numPr>
          <w:ilvl w:val="4"/>
          <w:numId w:val="109"/>
        </w:numPr>
      </w:pPr>
      <w:proofErr w:type="gramStart"/>
      <w:r w:rsidRPr="00B3624C">
        <w:lastRenderedPageBreak/>
        <w:t>irrespective</w:t>
      </w:r>
      <w:proofErr w:type="gramEnd"/>
      <w:r w:rsidRPr="00B3624C">
        <w:t xml:space="preserve"> of </w:t>
      </w:r>
      <w:r>
        <w:t>the value</w:t>
      </w:r>
      <w:r w:rsidRPr="00B3624C">
        <w:t xml:space="preserve"> </w:t>
      </w:r>
      <w:r>
        <w:t>criterion,</w:t>
      </w:r>
      <w:r w:rsidRPr="00F238FE">
        <w:t xml:space="preserve"> </w:t>
      </w:r>
      <w:r>
        <w:t xml:space="preserve">is </w:t>
      </w:r>
      <w:r w:rsidRPr="00B3624C">
        <w:t>declared by the Minister to be Australian Protected Material</w:t>
      </w:r>
      <w:r w:rsidRPr="00F238FE">
        <w:t>.</w:t>
      </w:r>
    </w:p>
    <w:p w14:paraId="25023018" w14:textId="77777777" w:rsidR="003B4493" w:rsidRPr="00B3624C" w:rsidRDefault="003B4493" w:rsidP="00E5299D">
      <w:pPr>
        <w:pStyle w:val="List"/>
        <w:numPr>
          <w:ilvl w:val="3"/>
          <w:numId w:val="109"/>
        </w:numPr>
      </w:pPr>
      <w:r w:rsidRPr="00B3624C">
        <w:t>Natural Science Material is Declared Australian Protected Material if it is:</w:t>
      </w:r>
    </w:p>
    <w:p w14:paraId="5FFBC3C3" w14:textId="77777777" w:rsidR="003B4493" w:rsidRDefault="003B4493" w:rsidP="00E5299D">
      <w:pPr>
        <w:pStyle w:val="List2"/>
        <w:numPr>
          <w:ilvl w:val="4"/>
          <w:numId w:val="109"/>
        </w:numPr>
      </w:pPr>
      <w:r w:rsidRPr="00B3624C">
        <w:t>denied permanent export permission under the Act</w:t>
      </w:r>
      <w:r>
        <w:t>; or</w:t>
      </w:r>
    </w:p>
    <w:p w14:paraId="5891EEC6" w14:textId="77777777" w:rsidR="003B4493" w:rsidRDefault="003B4493" w:rsidP="00E5299D">
      <w:pPr>
        <w:pStyle w:val="List2"/>
        <w:numPr>
          <w:ilvl w:val="4"/>
          <w:numId w:val="109"/>
        </w:numPr>
      </w:pPr>
      <w:proofErr w:type="gramStart"/>
      <w:r w:rsidRPr="00B3624C">
        <w:t>irrespective</w:t>
      </w:r>
      <w:proofErr w:type="gramEnd"/>
      <w:r w:rsidRPr="00B3624C">
        <w:t xml:space="preserve"> of the </w:t>
      </w:r>
      <w:r>
        <w:t>value</w:t>
      </w:r>
      <w:r w:rsidRPr="00B3624C">
        <w:t xml:space="preserve"> </w:t>
      </w:r>
      <w:r>
        <w:t>criterion,</w:t>
      </w:r>
      <w:r w:rsidRPr="00F238FE">
        <w:t xml:space="preserve"> </w:t>
      </w:r>
      <w:r w:rsidRPr="00B3624C">
        <w:t xml:space="preserve">declared by the Minister to be </w:t>
      </w:r>
      <w:r>
        <w:t xml:space="preserve">Declared </w:t>
      </w:r>
      <w:r w:rsidRPr="00B3624C">
        <w:t>Australian Protected Material</w:t>
      </w:r>
      <w:r>
        <w:t>.</w:t>
      </w:r>
    </w:p>
    <w:p w14:paraId="2B4F8C5D" w14:textId="77777777" w:rsidR="004C4A19" w:rsidRDefault="004C4A19" w:rsidP="004C4A19">
      <w:pPr>
        <w:pStyle w:val="Subtitle"/>
      </w:pPr>
      <w:r w:rsidRPr="004B7746">
        <w:t>Material denied permanent export permission under the Act</w:t>
      </w:r>
    </w:p>
    <w:p w14:paraId="1DC03A36" w14:textId="77777777" w:rsidR="004C4A19" w:rsidRPr="003637C2" w:rsidRDefault="004C4A19" w:rsidP="00E5299D">
      <w:pPr>
        <w:pStyle w:val="ListParagraph"/>
        <w:numPr>
          <w:ilvl w:val="0"/>
          <w:numId w:val="166"/>
        </w:numPr>
        <w:ind w:left="567" w:hanging="567"/>
        <w:rPr>
          <w:rFonts w:cs="Arial"/>
          <w:szCs w:val="24"/>
        </w:rPr>
      </w:pPr>
      <w:r>
        <w:t>Main mass of the Miles meteorite;</w:t>
      </w:r>
    </w:p>
    <w:p w14:paraId="7285FD4F" w14:textId="77777777" w:rsidR="004C4A19" w:rsidRPr="003637C2" w:rsidRDefault="004C4A19" w:rsidP="00E5299D">
      <w:pPr>
        <w:pStyle w:val="ListParagraph"/>
        <w:numPr>
          <w:ilvl w:val="0"/>
          <w:numId w:val="166"/>
        </w:numPr>
        <w:ind w:left="567" w:hanging="567"/>
        <w:rPr>
          <w:rFonts w:cs="Arial"/>
          <w:szCs w:val="24"/>
        </w:rPr>
      </w:pPr>
      <w:r>
        <w:t>'King of the West' gold nugget (now known as the 'Normandy Nugget');</w:t>
      </w:r>
    </w:p>
    <w:p w14:paraId="1953BBC8" w14:textId="77777777" w:rsidR="004C4A19" w:rsidRPr="004B7746" w:rsidRDefault="004C4A19" w:rsidP="00E5299D">
      <w:pPr>
        <w:pStyle w:val="ListParagraph"/>
        <w:numPr>
          <w:ilvl w:val="0"/>
          <w:numId w:val="166"/>
        </w:numPr>
        <w:ind w:left="567" w:hanging="567"/>
        <w:rPr>
          <w:rFonts w:cs="Arial"/>
          <w:szCs w:val="24"/>
        </w:rPr>
      </w:pPr>
      <w:r w:rsidRPr="005C4803">
        <w:t>Binya Meteorite</w:t>
      </w:r>
      <w:r>
        <w:t>; and</w:t>
      </w:r>
    </w:p>
    <w:p w14:paraId="3C57B9B4" w14:textId="77777777" w:rsidR="004C4A19" w:rsidRPr="004B7746" w:rsidRDefault="004C4A19" w:rsidP="00E5299D">
      <w:pPr>
        <w:pStyle w:val="ListParagraph"/>
        <w:numPr>
          <w:ilvl w:val="0"/>
          <w:numId w:val="166"/>
        </w:numPr>
        <w:ind w:left="567" w:hanging="567"/>
        <w:rPr>
          <w:rFonts w:cs="Arial"/>
          <w:szCs w:val="24"/>
        </w:rPr>
      </w:pPr>
      <w:r w:rsidRPr="00C67913">
        <w:t xml:space="preserve">Fossil: </w:t>
      </w:r>
      <w:proofErr w:type="spellStart"/>
      <w:r w:rsidRPr="00C67913">
        <w:t>Phyllolepis</w:t>
      </w:r>
      <w:proofErr w:type="spellEnd"/>
      <w:r w:rsidRPr="00C67913">
        <w:t xml:space="preserve">, Devonian, </w:t>
      </w:r>
      <w:proofErr w:type="spellStart"/>
      <w:r w:rsidRPr="00C67913">
        <w:t>Merringowry</w:t>
      </w:r>
      <w:proofErr w:type="spellEnd"/>
      <w:r w:rsidRPr="00C67913">
        <w:t>, undescribed</w:t>
      </w:r>
      <w:r>
        <w:t>.</w:t>
      </w:r>
    </w:p>
    <w:p w14:paraId="0C7C0443" w14:textId="77777777" w:rsidR="004C4A19" w:rsidRDefault="004C4A19" w:rsidP="004B7746">
      <w:pPr>
        <w:pStyle w:val="List2"/>
        <w:ind w:left="432" w:firstLine="0"/>
      </w:pPr>
    </w:p>
    <w:p w14:paraId="1D2C1D8D" w14:textId="77777777" w:rsidR="004B7746" w:rsidRPr="00B3624C" w:rsidRDefault="004B7746" w:rsidP="004B7746">
      <w:pPr>
        <w:pStyle w:val="List2"/>
        <w:ind w:firstLine="0"/>
      </w:pPr>
    </w:p>
    <w:p w14:paraId="7389D97F" w14:textId="77777777" w:rsidR="004B7746" w:rsidRDefault="004B7746">
      <w:pPr>
        <w:spacing w:line="276" w:lineRule="auto"/>
        <w:rPr>
          <w:rFonts w:asciiTheme="majorHAnsi" w:eastAsiaTheme="majorEastAsia" w:hAnsiTheme="majorHAnsi" w:cstheme="majorBidi"/>
          <w:b/>
          <w:bCs/>
          <w:color w:val="1F7377"/>
        </w:rPr>
      </w:pPr>
      <w:r>
        <w:br w:type="page"/>
      </w:r>
    </w:p>
    <w:p w14:paraId="71820116" w14:textId="23865579" w:rsidR="003B4493" w:rsidRPr="00B3624C" w:rsidRDefault="003B4493" w:rsidP="00525F38">
      <w:pPr>
        <w:pStyle w:val="Heading3"/>
      </w:pPr>
      <w:r w:rsidRPr="00B3624C">
        <w:lastRenderedPageBreak/>
        <w:t>Part 3: Visual Arts, Craft and Design Material</w:t>
      </w:r>
    </w:p>
    <w:p w14:paraId="50DC45D9" w14:textId="77777777" w:rsidR="00AA7153" w:rsidRDefault="003B4493" w:rsidP="00E5299D">
      <w:pPr>
        <w:pStyle w:val="List"/>
        <w:numPr>
          <w:ilvl w:val="3"/>
          <w:numId w:val="110"/>
        </w:numPr>
      </w:pPr>
      <w:r w:rsidRPr="00B3624C">
        <w:t>Visual Arts, Craft and Design Material is Australian Heritage Material if it:</w:t>
      </w:r>
    </w:p>
    <w:p w14:paraId="4D67ABEF" w14:textId="77777777" w:rsidR="00AA7153" w:rsidRDefault="003B4493" w:rsidP="00E5299D">
      <w:pPr>
        <w:pStyle w:val="List2"/>
        <w:numPr>
          <w:ilvl w:val="4"/>
          <w:numId w:val="110"/>
        </w:numPr>
        <w:ind w:left="1134" w:hanging="567"/>
      </w:pPr>
      <w:r w:rsidRPr="00B3624C">
        <w:t>is Australia-related; and</w:t>
      </w:r>
    </w:p>
    <w:p w14:paraId="43F52CB7" w14:textId="2D706F39" w:rsidR="003B4493" w:rsidRPr="00B3624C" w:rsidRDefault="003B4493" w:rsidP="00E5299D">
      <w:pPr>
        <w:pStyle w:val="List2"/>
        <w:numPr>
          <w:ilvl w:val="4"/>
          <w:numId w:val="110"/>
        </w:numPr>
        <w:ind w:left="1134" w:hanging="567"/>
      </w:pPr>
      <w:r w:rsidRPr="00B3624C">
        <w:t xml:space="preserve">is more than </w:t>
      </w:r>
      <w:r>
        <w:t>3</w:t>
      </w:r>
      <w:r w:rsidRPr="00B3624C">
        <w:t>0 years old; and</w:t>
      </w:r>
    </w:p>
    <w:p w14:paraId="1797E8BF" w14:textId="7B5C1AF8" w:rsidR="00AA7153" w:rsidRDefault="003B4493" w:rsidP="00E5299D">
      <w:pPr>
        <w:pStyle w:val="List2"/>
        <w:numPr>
          <w:ilvl w:val="4"/>
          <w:numId w:val="110"/>
        </w:numPr>
        <w:ind w:left="1134" w:hanging="567"/>
      </w:pPr>
      <w:r w:rsidRPr="00B3624C">
        <w:t xml:space="preserve">has a current market value </w:t>
      </w:r>
      <w:r w:rsidR="00220B45">
        <w:t xml:space="preserve">greater than those </w:t>
      </w:r>
      <w:r w:rsidRPr="00B3624C">
        <w:t>set out below:</w:t>
      </w:r>
    </w:p>
    <w:p w14:paraId="242594F2" w14:textId="1D3BBB94" w:rsidR="003B4493" w:rsidRDefault="003B4493" w:rsidP="00C66090">
      <w:pPr>
        <w:pStyle w:val="List4"/>
        <w:numPr>
          <w:ilvl w:val="6"/>
          <w:numId w:val="85"/>
        </w:numPr>
        <w:ind w:left="1701" w:hanging="567"/>
      </w:pPr>
      <w:r w:rsidRPr="00F238FE">
        <w:t>watercolours, pastels, drawings, sketches and other similar works having a current market value of at least $40,000;</w:t>
      </w:r>
    </w:p>
    <w:p w14:paraId="50CFD0D2" w14:textId="77777777" w:rsidR="003B4493" w:rsidRDefault="003B4493" w:rsidP="00C66090">
      <w:pPr>
        <w:pStyle w:val="List4"/>
        <w:numPr>
          <w:ilvl w:val="6"/>
          <w:numId w:val="85"/>
        </w:numPr>
        <w:ind w:left="1701" w:hanging="567"/>
      </w:pPr>
      <w:r>
        <w:t>Aboriginal desert paintings having a current market value of at least $100,000;</w:t>
      </w:r>
      <w:r>
        <w:rPr>
          <w:rStyle w:val="FootnoteReference"/>
        </w:rPr>
        <w:footnoteReference w:id="184"/>
      </w:r>
    </w:p>
    <w:p w14:paraId="4F8AD803" w14:textId="77777777" w:rsidR="003B4493" w:rsidRDefault="003B4493" w:rsidP="00C66090">
      <w:pPr>
        <w:pStyle w:val="List4"/>
        <w:numPr>
          <w:ilvl w:val="6"/>
          <w:numId w:val="85"/>
        </w:numPr>
        <w:ind w:left="1701" w:hanging="567"/>
      </w:pPr>
      <w:r>
        <w:t>Aboriginal Kimberley paintings on canvas having a current market value of at least $100,000;</w:t>
      </w:r>
    </w:p>
    <w:p w14:paraId="1C8DCF1F" w14:textId="77777777" w:rsidR="003B4493" w:rsidRDefault="003B4493" w:rsidP="00C66090">
      <w:pPr>
        <w:pStyle w:val="List4"/>
        <w:numPr>
          <w:ilvl w:val="6"/>
          <w:numId w:val="85"/>
        </w:numPr>
        <w:ind w:left="1701" w:hanging="567"/>
      </w:pPr>
      <w:r>
        <w:t xml:space="preserve">All other </w:t>
      </w:r>
      <w:r w:rsidRPr="00F238FE">
        <w:t>oil and acrylic paintings</w:t>
      </w:r>
      <w:r>
        <w:t xml:space="preserve"> (not mentioned above)</w:t>
      </w:r>
      <w:r w:rsidRPr="00F238FE">
        <w:t>, having a current market value of at least $300,000;</w:t>
      </w:r>
    </w:p>
    <w:p w14:paraId="074F9E8C" w14:textId="77777777" w:rsidR="003B4493" w:rsidRPr="00F238FE" w:rsidRDefault="003B4493" w:rsidP="00C66090">
      <w:pPr>
        <w:pStyle w:val="List4"/>
        <w:numPr>
          <w:ilvl w:val="6"/>
          <w:numId w:val="85"/>
        </w:numPr>
        <w:ind w:left="1701" w:hanging="567"/>
      </w:pPr>
      <w:r>
        <w:t xml:space="preserve">Aboriginal or Torres Strait Islander </w:t>
      </w:r>
      <w:r w:rsidRPr="00F238FE">
        <w:t>ochre paintings on bark</w:t>
      </w:r>
      <w:r>
        <w:t>, composition board, wood, cardboard, stone</w:t>
      </w:r>
      <w:r w:rsidRPr="00F238FE">
        <w:t xml:space="preserve"> and other similar </w:t>
      </w:r>
      <w:r>
        <w:t>supports (from regions such as Arnhem Land, Kakadu, Groote Eylandt, Tiwi Islands, Wadeye, Mornington Island, Kimberley and Far North Queensland)</w:t>
      </w:r>
      <w:r w:rsidRPr="00F238FE">
        <w:t xml:space="preserve"> having a current market value of at least $</w:t>
      </w:r>
      <w:r>
        <w:t>20,000</w:t>
      </w:r>
      <w:r w:rsidRPr="00F238FE">
        <w:t>;</w:t>
      </w:r>
    </w:p>
    <w:p w14:paraId="148222E0" w14:textId="77777777" w:rsidR="003B4493" w:rsidRPr="00F238FE" w:rsidRDefault="003B4493" w:rsidP="00C66090">
      <w:pPr>
        <w:pStyle w:val="List4"/>
        <w:numPr>
          <w:ilvl w:val="6"/>
          <w:numId w:val="85"/>
        </w:numPr>
        <w:ind w:left="1701" w:hanging="567"/>
      </w:pPr>
      <w:r w:rsidRPr="00F238FE">
        <w:t>prints, posters, photographs or similar works of art with potential for multiple production having a current market value of at least $10,000;</w:t>
      </w:r>
    </w:p>
    <w:p w14:paraId="5F809FD3" w14:textId="0EC45636" w:rsidR="003B4493" w:rsidRPr="00F238FE" w:rsidRDefault="004B7746" w:rsidP="00C66090">
      <w:pPr>
        <w:pStyle w:val="List4"/>
        <w:numPr>
          <w:ilvl w:val="6"/>
          <w:numId w:val="85"/>
        </w:numPr>
        <w:ind w:left="1701" w:hanging="567"/>
      </w:pPr>
      <w:r>
        <w:t>textiles, including</w:t>
      </w:r>
      <w:r w:rsidR="003B4493" w:rsidRPr="00F238FE">
        <w:t xml:space="preserve"> tapestries</w:t>
      </w:r>
      <w:r w:rsidR="003B4493">
        <w:t xml:space="preserve">, </w:t>
      </w:r>
      <w:r w:rsidR="003B4493" w:rsidRPr="00F238FE">
        <w:t xml:space="preserve">carpets </w:t>
      </w:r>
      <w:r w:rsidR="003B4493">
        <w:t xml:space="preserve">and batiks </w:t>
      </w:r>
      <w:r w:rsidR="003B4493" w:rsidRPr="00F238FE">
        <w:t>having a current market value of at least $10,000;</w:t>
      </w:r>
    </w:p>
    <w:p w14:paraId="6480412F" w14:textId="77777777" w:rsidR="003B4493" w:rsidRPr="00F238FE" w:rsidRDefault="003B4493" w:rsidP="00C66090">
      <w:pPr>
        <w:pStyle w:val="List4"/>
        <w:numPr>
          <w:ilvl w:val="6"/>
          <w:numId w:val="85"/>
        </w:numPr>
        <w:ind w:left="1701" w:hanging="567"/>
      </w:pPr>
      <w:r w:rsidRPr="00F238FE">
        <w:t>sculptures having a current market value of at least $30,000;</w:t>
      </w:r>
    </w:p>
    <w:p w14:paraId="2751989E" w14:textId="77777777" w:rsidR="003B4493" w:rsidRPr="00F238FE" w:rsidRDefault="003B4493" w:rsidP="00C66090">
      <w:pPr>
        <w:pStyle w:val="List4"/>
        <w:numPr>
          <w:ilvl w:val="6"/>
          <w:numId w:val="85"/>
        </w:numPr>
        <w:ind w:left="1701" w:hanging="567"/>
      </w:pPr>
      <w:r w:rsidRPr="00F238FE">
        <w:t>furniture having a current market value of at least $30,000;</w:t>
      </w:r>
    </w:p>
    <w:p w14:paraId="0058B880" w14:textId="77777777" w:rsidR="003B4493" w:rsidRPr="00F238FE" w:rsidRDefault="003B4493" w:rsidP="00C66090">
      <w:pPr>
        <w:pStyle w:val="List4"/>
        <w:numPr>
          <w:ilvl w:val="6"/>
          <w:numId w:val="85"/>
        </w:numPr>
        <w:ind w:left="1701" w:hanging="567"/>
      </w:pPr>
      <w:r w:rsidRPr="00F238FE">
        <w:t>jewellery having a current market value of at least $40,000;</w:t>
      </w:r>
    </w:p>
    <w:p w14:paraId="66AAA478" w14:textId="77777777" w:rsidR="003B4493" w:rsidRPr="00F238FE" w:rsidRDefault="003B4493" w:rsidP="00C66090">
      <w:pPr>
        <w:pStyle w:val="List4"/>
        <w:numPr>
          <w:ilvl w:val="6"/>
          <w:numId w:val="85"/>
        </w:numPr>
        <w:ind w:left="1701" w:hanging="567"/>
      </w:pPr>
      <w:r w:rsidRPr="00F238FE">
        <w:t>clocks and watches having a current market value of at least $40,000;</w:t>
      </w:r>
    </w:p>
    <w:p w14:paraId="3B74829C" w14:textId="77777777" w:rsidR="003B4493" w:rsidRPr="00F238FE" w:rsidRDefault="003B4493" w:rsidP="00C66090">
      <w:pPr>
        <w:pStyle w:val="List4"/>
        <w:numPr>
          <w:ilvl w:val="6"/>
          <w:numId w:val="85"/>
        </w:numPr>
        <w:ind w:left="1701" w:hanging="567"/>
      </w:pPr>
      <w:r w:rsidRPr="00F238FE">
        <w:t>musical instruments having a current market value of at least $10,000;</w:t>
      </w:r>
    </w:p>
    <w:p w14:paraId="7FC37BED" w14:textId="77777777" w:rsidR="003B4493" w:rsidRPr="00F238FE" w:rsidRDefault="003B4493" w:rsidP="00C66090">
      <w:pPr>
        <w:pStyle w:val="List4"/>
        <w:numPr>
          <w:ilvl w:val="6"/>
          <w:numId w:val="85"/>
        </w:numPr>
        <w:ind w:left="1701" w:hanging="567"/>
      </w:pPr>
      <w:r w:rsidRPr="00F238FE">
        <w:t>architectural fittings and decoration and interior decoration having a current market value of at least $15,000;</w:t>
      </w:r>
    </w:p>
    <w:p w14:paraId="09762A76" w14:textId="77777777" w:rsidR="003B4493" w:rsidRPr="00F238FE" w:rsidRDefault="003B4493" w:rsidP="00C66090">
      <w:pPr>
        <w:pStyle w:val="List4"/>
        <w:numPr>
          <w:ilvl w:val="6"/>
          <w:numId w:val="85"/>
        </w:numPr>
        <w:ind w:left="1701" w:hanging="567"/>
      </w:pPr>
      <w:r w:rsidRPr="00F238FE">
        <w:lastRenderedPageBreak/>
        <w:t>objects made from precious metals having a current market value of at least $25,000; or</w:t>
      </w:r>
    </w:p>
    <w:p w14:paraId="1547B1FC" w14:textId="77777777" w:rsidR="003B4493" w:rsidRDefault="003B4493" w:rsidP="00C66090">
      <w:pPr>
        <w:pStyle w:val="List4"/>
        <w:numPr>
          <w:ilvl w:val="6"/>
          <w:numId w:val="85"/>
        </w:numPr>
        <w:ind w:left="1701" w:hanging="567"/>
      </w:pPr>
      <w:r w:rsidRPr="00F238FE">
        <w:t>works, designed with aesthetic intent that are not otherwise mentioned in this table having a current market value of at least $</w:t>
      </w:r>
      <w:r>
        <w:t>10</w:t>
      </w:r>
      <w:r w:rsidRPr="00F238FE">
        <w:t>,000</w:t>
      </w:r>
      <w:r>
        <w:t>; or</w:t>
      </w:r>
    </w:p>
    <w:p w14:paraId="7A83BE1A" w14:textId="77777777" w:rsidR="003B4493" w:rsidRPr="00B3624C" w:rsidRDefault="003B4493" w:rsidP="00E5299D">
      <w:pPr>
        <w:pStyle w:val="List2"/>
        <w:numPr>
          <w:ilvl w:val="4"/>
          <w:numId w:val="184"/>
        </w:numPr>
      </w:pPr>
      <w:proofErr w:type="gramStart"/>
      <w:r w:rsidRPr="00B3624C">
        <w:t>irrespective</w:t>
      </w:r>
      <w:proofErr w:type="gramEnd"/>
      <w:r w:rsidRPr="00B3624C">
        <w:t xml:space="preserve"> of </w:t>
      </w:r>
      <w:r>
        <w:t>age or value</w:t>
      </w:r>
      <w:r w:rsidRPr="00B3624C">
        <w:t xml:space="preserve"> </w:t>
      </w:r>
      <w:r>
        <w:t>criteria,</w:t>
      </w:r>
      <w:r w:rsidRPr="00F238FE">
        <w:t xml:space="preserve"> </w:t>
      </w:r>
      <w:r>
        <w:t xml:space="preserve">is </w:t>
      </w:r>
      <w:r w:rsidRPr="00B3624C">
        <w:t xml:space="preserve">declared by the Minister to be Australian </w:t>
      </w:r>
      <w:r>
        <w:t>Heritage</w:t>
      </w:r>
      <w:r w:rsidRPr="00B3624C">
        <w:t xml:space="preserve"> Material</w:t>
      </w:r>
      <w:r>
        <w:t>.</w:t>
      </w:r>
    </w:p>
    <w:p w14:paraId="60F815CC" w14:textId="03564281" w:rsidR="00AA7153" w:rsidRPr="00220B45" w:rsidRDefault="003B4493" w:rsidP="00E5299D">
      <w:pPr>
        <w:pStyle w:val="List"/>
        <w:numPr>
          <w:ilvl w:val="3"/>
          <w:numId w:val="110"/>
        </w:numPr>
        <w:rPr>
          <w:szCs w:val="24"/>
        </w:rPr>
      </w:pPr>
      <w:r w:rsidRPr="00AC6B0D">
        <w:rPr>
          <w:szCs w:val="24"/>
        </w:rPr>
        <w:t>Visual Arts, Craft and Design Material is Australian Protected Material</w:t>
      </w:r>
      <w:r>
        <w:rPr>
          <w:szCs w:val="24"/>
        </w:rPr>
        <w:t xml:space="preserve"> if</w:t>
      </w:r>
      <w:r w:rsidR="00220B45">
        <w:rPr>
          <w:szCs w:val="24"/>
        </w:rPr>
        <w:t xml:space="preserve"> </w:t>
      </w:r>
      <w:r w:rsidRPr="00220B45">
        <w:rPr>
          <w:szCs w:val="24"/>
        </w:rPr>
        <w:t xml:space="preserve">it is </w:t>
      </w:r>
      <w:r w:rsidRPr="00F238FE">
        <w:t>Australian Heritage Material and</w:t>
      </w:r>
      <w:r w:rsidR="00220B45">
        <w:t>:</w:t>
      </w:r>
    </w:p>
    <w:p w14:paraId="66415CF9" w14:textId="77777777" w:rsidR="00AA7153" w:rsidRDefault="003B4493" w:rsidP="00E5299D">
      <w:pPr>
        <w:pStyle w:val="List2"/>
        <w:numPr>
          <w:ilvl w:val="4"/>
          <w:numId w:val="110"/>
        </w:numPr>
        <w:rPr>
          <w:szCs w:val="24"/>
        </w:rPr>
      </w:pPr>
      <w:r>
        <w:rPr>
          <w:szCs w:val="24"/>
        </w:rPr>
        <w:t>is permitted to leave the country on the basis of a temporary export permit; or</w:t>
      </w:r>
    </w:p>
    <w:p w14:paraId="2029B557" w14:textId="28692F1E" w:rsidR="003B4493" w:rsidRDefault="003B4493" w:rsidP="00E5299D">
      <w:pPr>
        <w:pStyle w:val="List2"/>
        <w:numPr>
          <w:ilvl w:val="4"/>
          <w:numId w:val="110"/>
        </w:numPr>
        <w:rPr>
          <w:szCs w:val="24"/>
        </w:rPr>
      </w:pPr>
      <w:r w:rsidRPr="00622169">
        <w:rPr>
          <w:szCs w:val="24"/>
        </w:rPr>
        <w:t xml:space="preserve">has been formally assessed and found to be significant and not adequately represented </w:t>
      </w:r>
      <w:r w:rsidRPr="00B3624C">
        <w:t xml:space="preserve">in </w:t>
      </w:r>
      <w:r>
        <w:t xml:space="preserve">Australian </w:t>
      </w:r>
      <w:r w:rsidRPr="00B3624C">
        <w:t>public collections</w:t>
      </w:r>
      <w:r>
        <w:rPr>
          <w:szCs w:val="24"/>
        </w:rPr>
        <w:t>; or</w:t>
      </w:r>
    </w:p>
    <w:p w14:paraId="7B1E8127" w14:textId="77777777" w:rsidR="003B4493" w:rsidRPr="00622169" w:rsidRDefault="003B4493" w:rsidP="00E5299D">
      <w:pPr>
        <w:pStyle w:val="List2"/>
        <w:numPr>
          <w:ilvl w:val="4"/>
          <w:numId w:val="110"/>
        </w:numPr>
        <w:rPr>
          <w:szCs w:val="24"/>
        </w:rPr>
      </w:pPr>
      <w:proofErr w:type="gramStart"/>
      <w:r w:rsidRPr="00B3624C">
        <w:t>irrespective</w:t>
      </w:r>
      <w:proofErr w:type="gramEnd"/>
      <w:r w:rsidRPr="00B3624C">
        <w:t xml:space="preserve"> of </w:t>
      </w:r>
      <w:r>
        <w:t>age or value</w:t>
      </w:r>
      <w:r w:rsidRPr="00B3624C">
        <w:t xml:space="preserve"> </w:t>
      </w:r>
      <w:r>
        <w:t>criteria,</w:t>
      </w:r>
      <w:r w:rsidRPr="00F238FE">
        <w:t xml:space="preserve"> </w:t>
      </w:r>
      <w:r>
        <w:t xml:space="preserve">is </w:t>
      </w:r>
      <w:r w:rsidRPr="00B3624C">
        <w:t>declared by the Minister to be Australian Protected Material</w:t>
      </w:r>
      <w:r w:rsidRPr="00622169">
        <w:rPr>
          <w:szCs w:val="24"/>
        </w:rPr>
        <w:t>.</w:t>
      </w:r>
    </w:p>
    <w:p w14:paraId="5C4DA662" w14:textId="3AD9C736" w:rsidR="003B4493" w:rsidRPr="00B3624C" w:rsidRDefault="003B4493" w:rsidP="00E5299D">
      <w:pPr>
        <w:pStyle w:val="List"/>
        <w:numPr>
          <w:ilvl w:val="3"/>
          <w:numId w:val="110"/>
        </w:numPr>
      </w:pPr>
      <w:r w:rsidRPr="00B3624C">
        <w:t>Visual Arts, Craft and Design Material is not Australian Heritage Material if the maker of the object is still alive</w:t>
      </w:r>
      <w:r w:rsidR="00801A32">
        <w:t>—</w:t>
      </w:r>
      <w:r w:rsidRPr="00B3624C">
        <w:t>or where the object was made by more than one person, where any of them is still alive.</w:t>
      </w:r>
    </w:p>
    <w:p w14:paraId="29F4E920" w14:textId="77777777" w:rsidR="003B4493" w:rsidRPr="00B3624C" w:rsidRDefault="003B4493" w:rsidP="00E5299D">
      <w:pPr>
        <w:pStyle w:val="List"/>
        <w:numPr>
          <w:ilvl w:val="3"/>
          <w:numId w:val="110"/>
        </w:numPr>
      </w:pPr>
      <w:r w:rsidRPr="00B3624C">
        <w:t>Visual Arts, Craft and Design Material is Declared Australian Protected Material if it is:</w:t>
      </w:r>
    </w:p>
    <w:p w14:paraId="33A03D34" w14:textId="13B2DD17" w:rsidR="003B4493" w:rsidRPr="0025348B" w:rsidRDefault="00220B45" w:rsidP="00E5299D">
      <w:pPr>
        <w:pStyle w:val="List2"/>
        <w:numPr>
          <w:ilvl w:val="4"/>
          <w:numId w:val="110"/>
        </w:numPr>
        <w:ind w:left="1134" w:hanging="567"/>
      </w:pPr>
      <w:r>
        <w:t>p</w:t>
      </w:r>
      <w:r w:rsidR="0025348B" w:rsidRPr="0025348B">
        <w:t>re</w:t>
      </w:r>
      <w:r>
        <w:t>-</w:t>
      </w:r>
      <w:r w:rsidR="0025348B" w:rsidRPr="0025348B">
        <w:t>1901</w:t>
      </w:r>
      <w:r w:rsidR="003B4493" w:rsidRPr="0025348B">
        <w:t xml:space="preserve"> Aboriginal or Torres Strait Islander artwork valued at more than $25,000; or</w:t>
      </w:r>
    </w:p>
    <w:p w14:paraId="5B17AF71" w14:textId="270D96D0" w:rsidR="0025348B" w:rsidRPr="0025348B" w:rsidRDefault="0025348B" w:rsidP="00E5299D">
      <w:pPr>
        <w:pStyle w:val="List2"/>
        <w:numPr>
          <w:ilvl w:val="4"/>
          <w:numId w:val="110"/>
        </w:numPr>
        <w:ind w:left="1134" w:hanging="567"/>
      </w:pPr>
      <w:r w:rsidRPr="0025348B">
        <w:t xml:space="preserve">Aboriginal </w:t>
      </w:r>
      <w:r w:rsidR="00220B45">
        <w:t>or</w:t>
      </w:r>
      <w:r w:rsidRPr="0025348B">
        <w:t xml:space="preserve"> Torres Strait Islander bark painting</w:t>
      </w:r>
      <w:r w:rsidR="00220B45">
        <w:t xml:space="preserve"> and sculpture, pre-</w:t>
      </w:r>
      <w:r w:rsidRPr="0025348B">
        <w:t>1960, valued at more than $25,000;</w:t>
      </w:r>
    </w:p>
    <w:p w14:paraId="2558BFCC" w14:textId="77777777" w:rsidR="003B4493" w:rsidRPr="00B3624C" w:rsidRDefault="003B4493" w:rsidP="00E5299D">
      <w:pPr>
        <w:pStyle w:val="List2"/>
        <w:numPr>
          <w:ilvl w:val="4"/>
          <w:numId w:val="110"/>
        </w:numPr>
        <w:ind w:left="1134" w:hanging="567"/>
      </w:pPr>
      <w:r w:rsidRPr="0025348B">
        <w:t>irrespective of age or value</w:t>
      </w:r>
      <w:r w:rsidRPr="00B3624C">
        <w:t xml:space="preserve"> </w:t>
      </w:r>
      <w:r>
        <w:t xml:space="preserve">criteria, </w:t>
      </w:r>
      <w:r w:rsidRPr="00B3624C">
        <w:t xml:space="preserve">declared by the Minister to be </w:t>
      </w:r>
      <w:r>
        <w:t xml:space="preserve">Declared </w:t>
      </w:r>
      <w:r w:rsidRPr="00B3624C">
        <w:t>Australian Protected Material; or</w:t>
      </w:r>
    </w:p>
    <w:p w14:paraId="229030CF" w14:textId="77777777" w:rsidR="00AA7153" w:rsidRDefault="003B4493" w:rsidP="00E5299D">
      <w:pPr>
        <w:pStyle w:val="List2"/>
        <w:numPr>
          <w:ilvl w:val="4"/>
          <w:numId w:val="110"/>
        </w:numPr>
        <w:ind w:left="1134" w:hanging="567"/>
      </w:pPr>
      <w:proofErr w:type="gramStart"/>
      <w:r w:rsidRPr="00B3624C">
        <w:t>denied</w:t>
      </w:r>
      <w:proofErr w:type="gramEnd"/>
      <w:r w:rsidRPr="00B3624C">
        <w:t xml:space="preserve"> permanent export permission under the Act.</w:t>
      </w:r>
    </w:p>
    <w:p w14:paraId="313EAB54" w14:textId="7498BCCE" w:rsidR="004B7746" w:rsidRDefault="004B7746">
      <w:pPr>
        <w:spacing w:line="276" w:lineRule="auto"/>
      </w:pPr>
      <w:r>
        <w:br w:type="page"/>
      </w:r>
    </w:p>
    <w:p w14:paraId="7D909C8F" w14:textId="77777777" w:rsidR="004C4A19" w:rsidRDefault="004C4A19" w:rsidP="004C4A19">
      <w:pPr>
        <w:pStyle w:val="Subtitle"/>
      </w:pPr>
      <w:r w:rsidRPr="004B7746">
        <w:lastRenderedPageBreak/>
        <w:t>Material denied permanent export permission under the Act</w:t>
      </w:r>
    </w:p>
    <w:p w14:paraId="4FF8636A" w14:textId="77777777" w:rsidR="004C4A19" w:rsidRPr="00B3624C" w:rsidRDefault="004C4A19" w:rsidP="004C1192">
      <w:pPr>
        <w:pStyle w:val="List4"/>
        <w:numPr>
          <w:ilvl w:val="6"/>
          <w:numId w:val="85"/>
        </w:numPr>
        <w:ind w:left="600" w:hanging="600"/>
      </w:pPr>
      <w:r w:rsidRPr="00B3624C">
        <w:t xml:space="preserve">a brooch, gold and boulder opal, made by John or Ernesto </w:t>
      </w:r>
      <w:proofErr w:type="spellStart"/>
      <w:r w:rsidRPr="00B3624C">
        <w:t>Priora</w:t>
      </w:r>
      <w:proofErr w:type="spellEnd"/>
      <w:r w:rsidRPr="00B3624C">
        <w:t>;</w:t>
      </w:r>
    </w:p>
    <w:p w14:paraId="070AC2B6" w14:textId="4F5F82F4" w:rsidR="004C4A19" w:rsidRPr="00B3624C" w:rsidRDefault="004C4A19" w:rsidP="004C1192">
      <w:pPr>
        <w:pStyle w:val="List4"/>
        <w:numPr>
          <w:ilvl w:val="6"/>
          <w:numId w:val="85"/>
        </w:numPr>
        <w:ind w:left="600" w:hanging="600"/>
      </w:pPr>
      <w:r w:rsidRPr="00B3624C">
        <w:t xml:space="preserve">a bracelet, gold, attributed to Hogarth, </w:t>
      </w:r>
      <w:proofErr w:type="spellStart"/>
      <w:r w:rsidRPr="00B3624C">
        <w:t>Erichsen</w:t>
      </w:r>
      <w:proofErr w:type="spellEnd"/>
      <w:r w:rsidRPr="00B3624C">
        <w:t xml:space="preserve"> and Company, Sydney, New South Wales</w:t>
      </w:r>
      <w:r w:rsidR="00220B45">
        <w:t>,</w:t>
      </w:r>
      <w:r w:rsidRPr="00B3624C">
        <w:t xml:space="preserve"> Australia about 1858;</w:t>
      </w:r>
    </w:p>
    <w:p w14:paraId="42DC747E" w14:textId="77777777" w:rsidR="004C4A19" w:rsidRPr="00F238FE" w:rsidRDefault="004C4A19" w:rsidP="004C1192">
      <w:pPr>
        <w:pStyle w:val="List4"/>
        <w:numPr>
          <w:ilvl w:val="6"/>
          <w:numId w:val="85"/>
        </w:numPr>
        <w:ind w:left="600" w:hanging="600"/>
      </w:pPr>
      <w:r w:rsidRPr="00F238FE">
        <w:t>an Australian made decorative photo frame in gold, diamonds and opals attributed to Percy Marks, Sydney c1927–35;</w:t>
      </w:r>
    </w:p>
    <w:p w14:paraId="1E6DDE57" w14:textId="77777777" w:rsidR="004C4A19" w:rsidRPr="00F238FE" w:rsidRDefault="004C4A19" w:rsidP="004C1192">
      <w:pPr>
        <w:pStyle w:val="List4"/>
        <w:numPr>
          <w:ilvl w:val="6"/>
          <w:numId w:val="85"/>
        </w:numPr>
        <w:ind w:left="600" w:hanging="600"/>
      </w:pPr>
      <w:r w:rsidRPr="00F238FE">
        <w:t>eight nugget linked bracelet, maker Unknown, Australia, about 1855–65;</w:t>
      </w:r>
    </w:p>
    <w:p w14:paraId="77F77DE7" w14:textId="77777777" w:rsidR="004C4A19" w:rsidRPr="00F238FE" w:rsidRDefault="004C4A19" w:rsidP="004C1192">
      <w:pPr>
        <w:pStyle w:val="List4"/>
        <w:numPr>
          <w:ilvl w:val="6"/>
          <w:numId w:val="85"/>
        </w:numPr>
        <w:ind w:left="600" w:hanging="600"/>
      </w:pPr>
      <w:r w:rsidRPr="00F238FE">
        <w:t>nine nugget linked bracelet, maker unknown, Australia about 1855–62;</w:t>
      </w:r>
    </w:p>
    <w:p w14:paraId="6CA60000" w14:textId="77777777" w:rsidR="004C4A19" w:rsidRPr="00F238FE" w:rsidRDefault="004C4A19" w:rsidP="004C1192">
      <w:pPr>
        <w:pStyle w:val="List4"/>
        <w:numPr>
          <w:ilvl w:val="6"/>
          <w:numId w:val="85"/>
        </w:numPr>
        <w:ind w:left="600" w:hanging="600"/>
      </w:pPr>
      <w:r w:rsidRPr="00F238FE">
        <w:t>The Bath of Diana, Van Diemen's Land (1837) by John Glover;</w:t>
      </w:r>
    </w:p>
    <w:p w14:paraId="6270934E" w14:textId="77777777" w:rsidR="00AA7153" w:rsidRDefault="004C4A19" w:rsidP="004C1192">
      <w:pPr>
        <w:pStyle w:val="List4"/>
        <w:numPr>
          <w:ilvl w:val="6"/>
          <w:numId w:val="85"/>
        </w:numPr>
        <w:ind w:left="600" w:hanging="600"/>
      </w:pPr>
      <w:r w:rsidRPr="00F238FE">
        <w:t>View of the Town of Sydney, artist unknown;</w:t>
      </w:r>
    </w:p>
    <w:p w14:paraId="3671BBAD" w14:textId="0173FCAF" w:rsidR="004C4A19" w:rsidRPr="00F238FE" w:rsidRDefault="004C4A19" w:rsidP="004C1192">
      <w:pPr>
        <w:pStyle w:val="List4"/>
        <w:numPr>
          <w:ilvl w:val="6"/>
          <w:numId w:val="85"/>
        </w:numPr>
        <w:ind w:left="600" w:hanging="600"/>
      </w:pPr>
      <w:r w:rsidRPr="00F238FE">
        <w:t xml:space="preserve">Table 1880s, Australian made with blackwood base, Italian marble and </w:t>
      </w:r>
      <w:proofErr w:type="spellStart"/>
      <w:r w:rsidRPr="00F238FE">
        <w:t>micromosaic</w:t>
      </w:r>
      <w:proofErr w:type="spellEnd"/>
      <w:r w:rsidRPr="00F238FE">
        <w:t xml:space="preserve"> top</w:t>
      </w:r>
      <w:r w:rsidR="00801A32">
        <w:t>—</w:t>
      </w:r>
      <w:r w:rsidRPr="00F238FE">
        <w:t>awarded as a prize by the Ballarat Agricultural and Pastoral Society in 1885;</w:t>
      </w:r>
    </w:p>
    <w:p w14:paraId="4439B3D0" w14:textId="77777777" w:rsidR="004C4A19" w:rsidRPr="00F238FE" w:rsidRDefault="004C4A19" w:rsidP="004C1192">
      <w:pPr>
        <w:pStyle w:val="List4"/>
        <w:numPr>
          <w:ilvl w:val="6"/>
          <w:numId w:val="85"/>
        </w:numPr>
        <w:ind w:left="600" w:hanging="600"/>
      </w:pPr>
      <w:r w:rsidRPr="00F238FE">
        <w:t>Love Story (1972) by Clifford Possum Tjapaltjarri;</w:t>
      </w:r>
    </w:p>
    <w:p w14:paraId="74B415D7" w14:textId="77777777" w:rsidR="004C4A19" w:rsidRPr="00F238FE" w:rsidRDefault="004C4A19" w:rsidP="004C1192">
      <w:pPr>
        <w:pStyle w:val="List4"/>
        <w:numPr>
          <w:ilvl w:val="6"/>
          <w:numId w:val="85"/>
        </w:numPr>
        <w:ind w:left="600" w:hanging="600"/>
      </w:pPr>
      <w:r w:rsidRPr="00F238FE">
        <w:t xml:space="preserve">Ceremonial Dreaming Journey (1971) by </w:t>
      </w:r>
      <w:proofErr w:type="spellStart"/>
      <w:r w:rsidRPr="00F238FE">
        <w:t>Payungka</w:t>
      </w:r>
      <w:proofErr w:type="spellEnd"/>
      <w:r w:rsidRPr="00F238FE">
        <w:t xml:space="preserve"> </w:t>
      </w:r>
      <w:proofErr w:type="spellStart"/>
      <w:r w:rsidRPr="00F238FE">
        <w:t>Tjapangarti</w:t>
      </w:r>
      <w:proofErr w:type="spellEnd"/>
      <w:r w:rsidRPr="00F238FE">
        <w:t>;</w:t>
      </w:r>
    </w:p>
    <w:p w14:paraId="3BB6CCCC" w14:textId="77777777" w:rsidR="004C4A19" w:rsidRPr="00F238FE" w:rsidRDefault="004C4A19" w:rsidP="004C1192">
      <w:pPr>
        <w:pStyle w:val="List4"/>
        <w:numPr>
          <w:ilvl w:val="6"/>
          <w:numId w:val="85"/>
        </w:numPr>
        <w:ind w:left="600" w:hanging="600"/>
      </w:pPr>
      <w:r w:rsidRPr="00F238FE">
        <w:t xml:space="preserve">One Old Man's Dreaming (1971) by Old </w:t>
      </w:r>
      <w:proofErr w:type="spellStart"/>
      <w:r w:rsidRPr="00F238FE">
        <w:t>Tutuma</w:t>
      </w:r>
      <w:proofErr w:type="spellEnd"/>
      <w:r w:rsidRPr="00F238FE">
        <w:t xml:space="preserve"> </w:t>
      </w:r>
      <w:proofErr w:type="spellStart"/>
      <w:r w:rsidRPr="00F238FE">
        <w:t>Tjapangati</w:t>
      </w:r>
      <w:proofErr w:type="spellEnd"/>
      <w:r w:rsidRPr="00F238FE">
        <w:t>;</w:t>
      </w:r>
    </w:p>
    <w:p w14:paraId="6EDB72F7" w14:textId="77777777" w:rsidR="004C4A19" w:rsidRPr="00F238FE" w:rsidRDefault="004C4A19" w:rsidP="004C1192">
      <w:pPr>
        <w:pStyle w:val="List4"/>
        <w:numPr>
          <w:ilvl w:val="6"/>
          <w:numId w:val="85"/>
        </w:numPr>
        <w:ind w:left="600" w:hanging="600"/>
      </w:pPr>
      <w:r w:rsidRPr="00F238FE">
        <w:t>Ceremonial Dreaming (1972) by Ronnie Tjampitjinpa;</w:t>
      </w:r>
    </w:p>
    <w:p w14:paraId="73D66B28" w14:textId="77777777" w:rsidR="004C4A19" w:rsidRPr="00F238FE" w:rsidRDefault="004C4A19" w:rsidP="004C1192">
      <w:pPr>
        <w:pStyle w:val="List4"/>
        <w:numPr>
          <w:ilvl w:val="6"/>
          <w:numId w:val="85"/>
        </w:numPr>
        <w:ind w:left="600" w:hanging="600"/>
      </w:pPr>
      <w:r w:rsidRPr="00F238FE">
        <w:t xml:space="preserve">Corroboree (1972) by Timmy </w:t>
      </w:r>
      <w:proofErr w:type="spellStart"/>
      <w:r w:rsidRPr="00F238FE">
        <w:t>Payungka</w:t>
      </w:r>
      <w:proofErr w:type="spellEnd"/>
      <w:r w:rsidRPr="00F238FE">
        <w:t xml:space="preserve"> </w:t>
      </w:r>
      <w:proofErr w:type="spellStart"/>
      <w:r w:rsidRPr="00F238FE">
        <w:t>Tjapangarti</w:t>
      </w:r>
      <w:proofErr w:type="spellEnd"/>
      <w:r w:rsidRPr="00F238FE">
        <w:t>;</w:t>
      </w:r>
    </w:p>
    <w:p w14:paraId="03D9E049" w14:textId="77777777" w:rsidR="004C4A19" w:rsidRPr="00F238FE" w:rsidRDefault="004C4A19" w:rsidP="004C1192">
      <w:pPr>
        <w:pStyle w:val="List4"/>
        <w:numPr>
          <w:ilvl w:val="6"/>
          <w:numId w:val="85"/>
        </w:numPr>
        <w:ind w:left="600" w:hanging="600"/>
      </w:pPr>
      <w:r w:rsidRPr="00F238FE">
        <w:t>Yam Dreaming (Version 1)(1972) by Tim Leura Tjapaltjarri;</w:t>
      </w:r>
    </w:p>
    <w:p w14:paraId="587E02A5" w14:textId="77777777" w:rsidR="004C4A19" w:rsidRPr="00F238FE" w:rsidRDefault="004C4A19" w:rsidP="004C1192">
      <w:pPr>
        <w:pStyle w:val="List4"/>
        <w:numPr>
          <w:ilvl w:val="6"/>
          <w:numId w:val="85"/>
        </w:numPr>
        <w:ind w:left="600" w:hanging="600"/>
      </w:pPr>
      <w:r w:rsidRPr="00F238FE">
        <w:t>Ceremonial Medicine Story (1971) by Mick Namarari;</w:t>
      </w:r>
    </w:p>
    <w:p w14:paraId="753861A2" w14:textId="77777777" w:rsidR="004C4A19" w:rsidRPr="00F238FE" w:rsidRDefault="004C4A19" w:rsidP="004C1192">
      <w:pPr>
        <w:pStyle w:val="List4"/>
        <w:numPr>
          <w:ilvl w:val="6"/>
          <w:numId w:val="85"/>
        </w:numPr>
        <w:ind w:left="600" w:hanging="600"/>
      </w:pPr>
      <w:proofErr w:type="spellStart"/>
      <w:r w:rsidRPr="00F238FE">
        <w:t>Pintupi</w:t>
      </w:r>
      <w:proofErr w:type="spellEnd"/>
      <w:r w:rsidRPr="00F238FE">
        <w:t xml:space="preserve"> Travelling Water Dreaming (1972) by Old Walter Tjampitjinpa;</w:t>
      </w:r>
    </w:p>
    <w:p w14:paraId="0F06810F" w14:textId="77777777" w:rsidR="004C4A19" w:rsidRPr="00F238FE" w:rsidRDefault="004C4A19" w:rsidP="004C1192">
      <w:pPr>
        <w:pStyle w:val="List4"/>
        <w:numPr>
          <w:ilvl w:val="6"/>
          <w:numId w:val="85"/>
        </w:numPr>
        <w:ind w:left="600" w:hanging="600"/>
      </w:pPr>
      <w:r w:rsidRPr="00F238FE">
        <w:t>Travelling Water Dreaming with Lightning (1971) by Johnny Warangkula Tjupurrula;</w:t>
      </w:r>
    </w:p>
    <w:p w14:paraId="0791E402" w14:textId="77777777" w:rsidR="004C4A19" w:rsidRPr="00F238FE" w:rsidRDefault="004C4A19" w:rsidP="004C1192">
      <w:pPr>
        <w:pStyle w:val="List4"/>
        <w:numPr>
          <w:ilvl w:val="6"/>
          <w:numId w:val="85"/>
        </w:numPr>
        <w:ind w:left="600" w:hanging="600"/>
      </w:pPr>
      <w:r w:rsidRPr="00F238FE">
        <w:t xml:space="preserve">Water Dreaming (1972) by Walter </w:t>
      </w:r>
      <w:proofErr w:type="spellStart"/>
      <w:r w:rsidRPr="00F238FE">
        <w:t>Jambajimba</w:t>
      </w:r>
      <w:proofErr w:type="spellEnd"/>
      <w:r w:rsidRPr="00F238FE">
        <w:t>;</w:t>
      </w:r>
    </w:p>
    <w:p w14:paraId="02E4E61D" w14:textId="77777777" w:rsidR="004C4A19" w:rsidRPr="00F238FE" w:rsidRDefault="004C4A19" w:rsidP="004C1192">
      <w:pPr>
        <w:pStyle w:val="List4"/>
        <w:numPr>
          <w:ilvl w:val="6"/>
          <w:numId w:val="85"/>
        </w:numPr>
        <w:ind w:left="600" w:hanging="600"/>
      </w:pPr>
      <w:r w:rsidRPr="00F238FE">
        <w:t>Untitled (Ceremony) (c1900) by William Barak;</w:t>
      </w:r>
    </w:p>
    <w:p w14:paraId="225CA1A8" w14:textId="77777777" w:rsidR="004C4A19" w:rsidRPr="00F238FE" w:rsidRDefault="004C4A19" w:rsidP="004C1192">
      <w:pPr>
        <w:pStyle w:val="List4"/>
        <w:numPr>
          <w:ilvl w:val="6"/>
          <w:numId w:val="85"/>
        </w:numPr>
        <w:ind w:left="600" w:hanging="600"/>
      </w:pPr>
      <w:r w:rsidRPr="00F238FE">
        <w:t xml:space="preserve">Fear (1971) by Charlie </w:t>
      </w:r>
      <w:proofErr w:type="spellStart"/>
      <w:r w:rsidRPr="00F238FE">
        <w:t>Tararu</w:t>
      </w:r>
      <w:proofErr w:type="spellEnd"/>
      <w:r w:rsidRPr="00F238FE">
        <w:t xml:space="preserve"> </w:t>
      </w:r>
      <w:proofErr w:type="spellStart"/>
      <w:r w:rsidRPr="00F238FE">
        <w:t>Tjungurrayi</w:t>
      </w:r>
      <w:proofErr w:type="spellEnd"/>
      <w:r w:rsidRPr="00F238FE">
        <w:t>;</w:t>
      </w:r>
    </w:p>
    <w:p w14:paraId="56B26992" w14:textId="77777777" w:rsidR="004C4A19" w:rsidRPr="00F238FE" w:rsidRDefault="004C4A19" w:rsidP="004C1192">
      <w:pPr>
        <w:pStyle w:val="List4"/>
        <w:numPr>
          <w:ilvl w:val="6"/>
          <w:numId w:val="85"/>
        </w:numPr>
        <w:ind w:left="600" w:hanging="600"/>
      </w:pPr>
      <w:r w:rsidRPr="00F238FE">
        <w:t>Water Ceremony (1972) by Johnny Warangkula Tjupurrula;</w:t>
      </w:r>
    </w:p>
    <w:p w14:paraId="2DF93F47" w14:textId="77777777" w:rsidR="00AA7153" w:rsidRDefault="004C4A19" w:rsidP="004C1192">
      <w:pPr>
        <w:pStyle w:val="List4"/>
        <w:numPr>
          <w:ilvl w:val="6"/>
          <w:numId w:val="85"/>
        </w:numPr>
        <w:ind w:left="600" w:hanging="600"/>
      </w:pPr>
      <w:r w:rsidRPr="00F238FE">
        <w:t xml:space="preserve">Water Dreaming at </w:t>
      </w:r>
      <w:proofErr w:type="spellStart"/>
      <w:r w:rsidRPr="00F238FE">
        <w:t>Kalipinypa</w:t>
      </w:r>
      <w:proofErr w:type="spellEnd"/>
      <w:r w:rsidRPr="00F238FE">
        <w:t xml:space="preserve"> (1972) by Johnny Warangkula Tjupurrula;</w:t>
      </w:r>
    </w:p>
    <w:p w14:paraId="42A202A3" w14:textId="13D00269" w:rsidR="004C4A19" w:rsidRPr="00F238FE" w:rsidRDefault="004C4A19" w:rsidP="004C1192">
      <w:pPr>
        <w:pStyle w:val="List4"/>
        <w:numPr>
          <w:ilvl w:val="6"/>
          <w:numId w:val="85"/>
        </w:numPr>
        <w:ind w:left="600" w:hanging="600"/>
      </w:pPr>
      <w:proofErr w:type="spellStart"/>
      <w:r w:rsidRPr="00F238FE">
        <w:t>Moorool</w:t>
      </w:r>
      <w:proofErr w:type="spellEnd"/>
      <w:r w:rsidRPr="00F238FE">
        <w:t xml:space="preserve"> the Dreaming Man (c1950) by </w:t>
      </w:r>
      <w:proofErr w:type="spellStart"/>
      <w:r w:rsidRPr="00F238FE">
        <w:t>Nym</w:t>
      </w:r>
      <w:proofErr w:type="spellEnd"/>
      <w:r w:rsidRPr="00F238FE">
        <w:t xml:space="preserve"> </w:t>
      </w:r>
      <w:proofErr w:type="spellStart"/>
      <w:r w:rsidRPr="00F238FE">
        <w:t>Djimurrgurr</w:t>
      </w:r>
      <w:proofErr w:type="spellEnd"/>
      <w:r w:rsidRPr="00F238FE">
        <w:t>;</w:t>
      </w:r>
    </w:p>
    <w:p w14:paraId="5C4C0C37" w14:textId="77777777" w:rsidR="004C4A19" w:rsidRPr="00F238FE" w:rsidRDefault="004C4A19" w:rsidP="004C1192">
      <w:pPr>
        <w:pStyle w:val="List4"/>
        <w:numPr>
          <w:ilvl w:val="6"/>
          <w:numId w:val="85"/>
        </w:numPr>
        <w:ind w:left="600" w:hanging="600"/>
      </w:pPr>
      <w:r w:rsidRPr="00F238FE">
        <w:t xml:space="preserve">Two Men Dreaming at </w:t>
      </w:r>
      <w:proofErr w:type="spellStart"/>
      <w:r w:rsidRPr="00F238FE">
        <w:t>Kuluntjarranya</w:t>
      </w:r>
      <w:proofErr w:type="spellEnd"/>
      <w:r w:rsidRPr="00F238FE">
        <w:t xml:space="preserve"> (1984) by Tommy Lowry Tjapaltjarri;</w:t>
      </w:r>
    </w:p>
    <w:p w14:paraId="6C7D947C" w14:textId="77777777" w:rsidR="004C4A19" w:rsidRPr="00F238FE" w:rsidRDefault="004C4A19" w:rsidP="004C1192">
      <w:pPr>
        <w:pStyle w:val="List4"/>
        <w:numPr>
          <w:ilvl w:val="6"/>
          <w:numId w:val="85"/>
        </w:numPr>
        <w:ind w:left="600" w:hanging="600"/>
      </w:pPr>
      <w:r w:rsidRPr="00F238FE">
        <w:t>Ruby Plains Massacre (1985) by Rover Thomas;</w:t>
      </w:r>
    </w:p>
    <w:p w14:paraId="084F281E" w14:textId="77777777" w:rsidR="00AA7153" w:rsidRDefault="004C4A19" w:rsidP="004C1192">
      <w:pPr>
        <w:pStyle w:val="List4"/>
        <w:numPr>
          <w:ilvl w:val="6"/>
          <w:numId w:val="85"/>
        </w:numPr>
        <w:ind w:left="600" w:hanging="600"/>
      </w:pPr>
      <w:r w:rsidRPr="00F238FE">
        <w:lastRenderedPageBreak/>
        <w:t xml:space="preserve">Untitled (Water Dreaming at </w:t>
      </w:r>
      <w:proofErr w:type="spellStart"/>
      <w:r w:rsidRPr="00F238FE">
        <w:t>Kalipinypa</w:t>
      </w:r>
      <w:proofErr w:type="spellEnd"/>
      <w:r w:rsidRPr="00F238FE">
        <w:t>) (1971) by Johnny Warangkula Tjupurrula;</w:t>
      </w:r>
    </w:p>
    <w:p w14:paraId="7670DF15" w14:textId="4DFD450F" w:rsidR="004C4A19" w:rsidRPr="00F238FE" w:rsidRDefault="004C4A19" w:rsidP="004C1192">
      <w:pPr>
        <w:pStyle w:val="List4"/>
        <w:numPr>
          <w:ilvl w:val="6"/>
          <w:numId w:val="85"/>
        </w:numPr>
        <w:ind w:left="600" w:hanging="600"/>
      </w:pPr>
      <w:r w:rsidRPr="00F238FE">
        <w:t xml:space="preserve">Untitled (Ceremony) (1970) by Charles </w:t>
      </w:r>
      <w:proofErr w:type="spellStart"/>
      <w:r w:rsidRPr="00F238FE">
        <w:t>Mardigan</w:t>
      </w:r>
      <w:proofErr w:type="spellEnd"/>
      <w:r w:rsidRPr="00F238FE">
        <w:t>;</w:t>
      </w:r>
    </w:p>
    <w:p w14:paraId="632B271B" w14:textId="77777777" w:rsidR="004C4A19" w:rsidRPr="00F238FE" w:rsidRDefault="004C4A19" w:rsidP="004C1192">
      <w:pPr>
        <w:pStyle w:val="List4"/>
        <w:numPr>
          <w:ilvl w:val="6"/>
          <w:numId w:val="85"/>
        </w:numPr>
        <w:ind w:left="600" w:hanging="600"/>
      </w:pPr>
      <w:r w:rsidRPr="00F238FE">
        <w:t xml:space="preserve">Untitled (1972) by </w:t>
      </w:r>
      <w:proofErr w:type="spellStart"/>
      <w:r w:rsidRPr="00F238FE">
        <w:t>Kaapa</w:t>
      </w:r>
      <w:proofErr w:type="spellEnd"/>
      <w:r w:rsidRPr="00F238FE">
        <w:t xml:space="preserve"> Tjampitjinpa; and</w:t>
      </w:r>
    </w:p>
    <w:p w14:paraId="09882807" w14:textId="77777777" w:rsidR="004C4A19" w:rsidRDefault="004C4A19" w:rsidP="004C1192">
      <w:pPr>
        <w:pStyle w:val="List4"/>
        <w:numPr>
          <w:ilvl w:val="6"/>
          <w:numId w:val="85"/>
        </w:numPr>
        <w:ind w:left="600" w:hanging="600"/>
      </w:pPr>
      <w:r w:rsidRPr="00F238FE">
        <w:t>Water Dreaming with Lightning (1971) by Johnny Warangkula Tjupurrula.</w:t>
      </w:r>
    </w:p>
    <w:p w14:paraId="76B0C365" w14:textId="77777777" w:rsidR="003B4493" w:rsidRPr="00B3624C" w:rsidRDefault="003B4493" w:rsidP="00525F38">
      <w:pPr>
        <w:pStyle w:val="Heading3"/>
      </w:pPr>
      <w:r w:rsidRPr="00B3624C">
        <w:t>New Part 4: Historically Significant Material</w:t>
      </w:r>
    </w:p>
    <w:p w14:paraId="7644EF8D" w14:textId="77777777" w:rsidR="003B4493" w:rsidRPr="00B3624C" w:rsidRDefault="003B4493" w:rsidP="00E5299D">
      <w:pPr>
        <w:pStyle w:val="List"/>
        <w:numPr>
          <w:ilvl w:val="3"/>
          <w:numId w:val="111"/>
        </w:numPr>
      </w:pPr>
      <w:r w:rsidRPr="00B3624C">
        <w:t xml:space="preserve">This large category is broken down into </w:t>
      </w:r>
      <w:r>
        <w:t>S</w:t>
      </w:r>
      <w:r w:rsidRPr="00B3624C">
        <w:t>ub-</w:t>
      </w:r>
      <w:r>
        <w:t>Parts</w:t>
      </w:r>
      <w:r w:rsidRPr="00B3624C">
        <w:t>:</w:t>
      </w:r>
    </w:p>
    <w:p w14:paraId="4DA6E9C9" w14:textId="77777777" w:rsidR="003B4493" w:rsidRPr="00B3624C" w:rsidRDefault="003B4493" w:rsidP="0035682E">
      <w:pPr>
        <w:pStyle w:val="ListParagraph"/>
        <w:numPr>
          <w:ilvl w:val="0"/>
          <w:numId w:val="21"/>
        </w:numPr>
        <w:tabs>
          <w:tab w:val="left" w:pos="993"/>
        </w:tabs>
        <w:ind w:left="2127" w:hanging="1418"/>
        <w:rPr>
          <w:rFonts w:cs="Arial"/>
          <w:szCs w:val="24"/>
        </w:rPr>
      </w:pPr>
      <w:r w:rsidRPr="00B3624C">
        <w:rPr>
          <w:rFonts w:cs="Arial"/>
          <w:szCs w:val="24"/>
        </w:rPr>
        <w:t xml:space="preserve">Part 4.1: </w:t>
      </w:r>
      <w:r w:rsidRPr="00B3624C">
        <w:rPr>
          <w:rFonts w:cs="Arial"/>
          <w:szCs w:val="24"/>
        </w:rPr>
        <w:tab/>
        <w:t>Archaeological Material</w:t>
      </w:r>
    </w:p>
    <w:p w14:paraId="17639DB6" w14:textId="77777777" w:rsidR="003B4493" w:rsidRPr="00B3624C" w:rsidRDefault="003B4493" w:rsidP="0035682E">
      <w:pPr>
        <w:pStyle w:val="ListParagraph"/>
        <w:numPr>
          <w:ilvl w:val="0"/>
          <w:numId w:val="21"/>
        </w:numPr>
        <w:tabs>
          <w:tab w:val="left" w:pos="993"/>
        </w:tabs>
        <w:ind w:left="2127" w:hanging="1418"/>
        <w:rPr>
          <w:rFonts w:cs="Arial"/>
          <w:szCs w:val="24"/>
        </w:rPr>
      </w:pPr>
      <w:r w:rsidRPr="00B3624C">
        <w:rPr>
          <w:rFonts w:cs="Arial"/>
          <w:szCs w:val="24"/>
        </w:rPr>
        <w:t xml:space="preserve">Part 4.2: </w:t>
      </w:r>
      <w:r w:rsidRPr="00B3624C">
        <w:rPr>
          <w:rFonts w:cs="Arial"/>
          <w:szCs w:val="24"/>
        </w:rPr>
        <w:tab/>
        <w:t>Documentary Heritage Material</w:t>
      </w:r>
    </w:p>
    <w:p w14:paraId="63A612DA" w14:textId="77777777" w:rsidR="003B4493" w:rsidRPr="00B3624C" w:rsidRDefault="003B4493" w:rsidP="0035682E">
      <w:pPr>
        <w:pStyle w:val="ListParagraph"/>
        <w:numPr>
          <w:ilvl w:val="0"/>
          <w:numId w:val="21"/>
        </w:numPr>
        <w:tabs>
          <w:tab w:val="left" w:pos="993"/>
        </w:tabs>
        <w:ind w:left="2127" w:hanging="1418"/>
        <w:rPr>
          <w:rFonts w:cs="Arial"/>
          <w:szCs w:val="24"/>
        </w:rPr>
      </w:pPr>
      <w:r w:rsidRPr="00B3624C">
        <w:rPr>
          <w:rFonts w:cs="Arial"/>
          <w:szCs w:val="24"/>
        </w:rPr>
        <w:t xml:space="preserve">Part 4.3: </w:t>
      </w:r>
      <w:r w:rsidRPr="00B3624C">
        <w:rPr>
          <w:rFonts w:cs="Arial"/>
          <w:szCs w:val="24"/>
        </w:rPr>
        <w:tab/>
        <w:t>Applied Science and Technology Material</w:t>
      </w:r>
    </w:p>
    <w:p w14:paraId="752E16D3" w14:textId="77777777" w:rsidR="003B4493" w:rsidRPr="00B3624C" w:rsidRDefault="003B4493" w:rsidP="0035682E">
      <w:pPr>
        <w:pStyle w:val="ListParagraph"/>
        <w:numPr>
          <w:ilvl w:val="0"/>
          <w:numId w:val="21"/>
        </w:numPr>
        <w:tabs>
          <w:tab w:val="left" w:pos="993"/>
        </w:tabs>
        <w:ind w:left="2127" w:hanging="1418"/>
        <w:rPr>
          <w:rFonts w:cs="Arial"/>
          <w:szCs w:val="24"/>
        </w:rPr>
      </w:pPr>
      <w:r w:rsidRPr="00B3624C">
        <w:rPr>
          <w:rFonts w:cs="Arial"/>
          <w:szCs w:val="24"/>
        </w:rPr>
        <w:t xml:space="preserve">Part 4.4: </w:t>
      </w:r>
      <w:r w:rsidRPr="00B3624C">
        <w:rPr>
          <w:rFonts w:cs="Arial"/>
          <w:szCs w:val="24"/>
        </w:rPr>
        <w:tab/>
        <w:t>Numismatic Material</w:t>
      </w:r>
    </w:p>
    <w:p w14:paraId="042E907F" w14:textId="77777777" w:rsidR="003B4493" w:rsidRPr="00B3624C" w:rsidRDefault="003B4493" w:rsidP="0035682E">
      <w:pPr>
        <w:pStyle w:val="ListParagraph"/>
        <w:numPr>
          <w:ilvl w:val="0"/>
          <w:numId w:val="21"/>
        </w:numPr>
        <w:tabs>
          <w:tab w:val="left" w:pos="993"/>
        </w:tabs>
        <w:ind w:left="2127" w:hanging="1418"/>
        <w:rPr>
          <w:rFonts w:cs="Arial"/>
          <w:szCs w:val="24"/>
        </w:rPr>
      </w:pPr>
      <w:r w:rsidRPr="00B3624C">
        <w:rPr>
          <w:rFonts w:cs="Arial"/>
          <w:szCs w:val="24"/>
        </w:rPr>
        <w:t xml:space="preserve">Part 4.5: </w:t>
      </w:r>
      <w:r w:rsidRPr="00B3624C">
        <w:rPr>
          <w:rFonts w:cs="Arial"/>
          <w:szCs w:val="24"/>
        </w:rPr>
        <w:tab/>
        <w:t>Philatelic Material</w:t>
      </w:r>
    </w:p>
    <w:p w14:paraId="3B7097B5" w14:textId="232F0AC7" w:rsidR="008B0DDE" w:rsidRPr="004B7746" w:rsidRDefault="003B4493" w:rsidP="0035682E">
      <w:pPr>
        <w:pStyle w:val="ListParagraph"/>
        <w:numPr>
          <w:ilvl w:val="0"/>
          <w:numId w:val="21"/>
        </w:numPr>
        <w:tabs>
          <w:tab w:val="left" w:pos="993"/>
        </w:tabs>
        <w:ind w:left="2127" w:hanging="1418"/>
        <w:rPr>
          <w:rFonts w:cs="Arial"/>
          <w:szCs w:val="24"/>
          <w:lang w:eastAsia="en-AU"/>
        </w:rPr>
      </w:pPr>
      <w:r w:rsidRPr="00B3624C">
        <w:rPr>
          <w:rFonts w:cs="Arial"/>
          <w:szCs w:val="24"/>
        </w:rPr>
        <w:t xml:space="preserve">Part 4.6: </w:t>
      </w:r>
      <w:r w:rsidRPr="00B3624C">
        <w:rPr>
          <w:rFonts w:cs="Arial"/>
          <w:szCs w:val="24"/>
        </w:rPr>
        <w:tab/>
        <w:t>Social, Cultural, Spiritual, Sporting, Political</w:t>
      </w:r>
      <w:r>
        <w:rPr>
          <w:rFonts w:cs="Arial"/>
          <w:szCs w:val="24"/>
        </w:rPr>
        <w:t>,</w:t>
      </w:r>
      <w:r w:rsidRPr="00B3624C">
        <w:rPr>
          <w:rFonts w:cs="Arial"/>
          <w:szCs w:val="24"/>
        </w:rPr>
        <w:t xml:space="preserve"> Military History </w:t>
      </w:r>
      <w:r w:rsidR="004B7746">
        <w:rPr>
          <w:rFonts w:cs="Arial"/>
          <w:szCs w:val="24"/>
        </w:rPr>
        <w:t>and O</w:t>
      </w:r>
      <w:r>
        <w:rPr>
          <w:rFonts w:cs="Arial"/>
          <w:szCs w:val="24"/>
        </w:rPr>
        <w:t>ther Material</w:t>
      </w:r>
    </w:p>
    <w:p w14:paraId="433E23DD" w14:textId="4FC7B4D1" w:rsidR="003B4493" w:rsidRPr="00F238FE" w:rsidRDefault="003B4493" w:rsidP="00525F38">
      <w:pPr>
        <w:pStyle w:val="Heading4"/>
      </w:pPr>
      <w:r w:rsidRPr="00F238FE">
        <w:t>New Part 4.1: Archaeological Material</w:t>
      </w:r>
    </w:p>
    <w:p w14:paraId="41F2B26C" w14:textId="77777777" w:rsidR="003B4493" w:rsidRPr="00B3624C" w:rsidRDefault="003B4493" w:rsidP="00E5299D">
      <w:pPr>
        <w:pStyle w:val="List"/>
        <w:numPr>
          <w:ilvl w:val="3"/>
          <w:numId w:val="112"/>
        </w:numPr>
      </w:pPr>
      <w:r w:rsidRPr="00B3624C">
        <w:t>Archaeological Material is material that has been recovered from</w:t>
      </w:r>
      <w:r w:rsidRPr="00591061">
        <w:t xml:space="preserve"> </w:t>
      </w:r>
      <w:r>
        <w:t xml:space="preserve">above or </w:t>
      </w:r>
      <w:r w:rsidRPr="00B3624C">
        <w:t>below:</w:t>
      </w:r>
    </w:p>
    <w:p w14:paraId="16B3AA9C" w14:textId="77777777" w:rsidR="003B4493" w:rsidRPr="0025348B" w:rsidRDefault="003B4493" w:rsidP="00E5299D">
      <w:pPr>
        <w:pStyle w:val="List2"/>
        <w:numPr>
          <w:ilvl w:val="4"/>
          <w:numId w:val="112"/>
        </w:numPr>
      </w:pPr>
      <w:r w:rsidRPr="0025348B">
        <w:t>the land or inland waters of Australia;</w:t>
      </w:r>
    </w:p>
    <w:p w14:paraId="4F716425" w14:textId="77777777" w:rsidR="00AA7153" w:rsidRDefault="003B4493" w:rsidP="00E5299D">
      <w:pPr>
        <w:pStyle w:val="List2"/>
        <w:numPr>
          <w:ilvl w:val="4"/>
          <w:numId w:val="112"/>
        </w:numPr>
      </w:pPr>
      <w:proofErr w:type="gramStart"/>
      <w:r w:rsidRPr="0025348B">
        <w:t>the</w:t>
      </w:r>
      <w:proofErr w:type="gramEnd"/>
      <w:r w:rsidRPr="0025348B">
        <w:t xml:space="preserve"> waters, seabed or subsoil of the territorial sea or Exclusive Economic Zone of Australia.</w:t>
      </w:r>
    </w:p>
    <w:p w14:paraId="1DFB5094" w14:textId="5FC2CE4E" w:rsidR="004B7746" w:rsidRDefault="003B4493" w:rsidP="00E5299D">
      <w:pPr>
        <w:pStyle w:val="List"/>
        <w:numPr>
          <w:ilvl w:val="3"/>
          <w:numId w:val="112"/>
        </w:numPr>
      </w:pPr>
      <w:r w:rsidRPr="00B3624C">
        <w:t>All Archaeological Material that had remained for at least 50 years in the place from which it was removed is Australian Heritage Material.</w:t>
      </w:r>
    </w:p>
    <w:p w14:paraId="33902C0F" w14:textId="5EBD448A" w:rsidR="003B4493" w:rsidRPr="00B3624C" w:rsidRDefault="003B4493" w:rsidP="00E5299D">
      <w:pPr>
        <w:pStyle w:val="List"/>
        <w:numPr>
          <w:ilvl w:val="3"/>
          <w:numId w:val="112"/>
        </w:numPr>
      </w:pPr>
      <w:r w:rsidRPr="00B3624C">
        <w:t>Archaeological Material is Australian Protected Material if it is Australian Heritage Material and:</w:t>
      </w:r>
    </w:p>
    <w:p w14:paraId="61013569" w14:textId="77777777" w:rsidR="00AA7153" w:rsidRDefault="003B4493" w:rsidP="00E5299D">
      <w:pPr>
        <w:pStyle w:val="List2"/>
        <w:numPr>
          <w:ilvl w:val="4"/>
          <w:numId w:val="112"/>
        </w:numPr>
      </w:pPr>
      <w:r w:rsidRPr="00B3624C">
        <w:t>is permitted to leave the country on the basis of a temporary export permit; or</w:t>
      </w:r>
    </w:p>
    <w:p w14:paraId="6E01292A" w14:textId="4C1BC92A" w:rsidR="003B4493" w:rsidRDefault="003B4493" w:rsidP="00E5299D">
      <w:pPr>
        <w:pStyle w:val="List2"/>
        <w:numPr>
          <w:ilvl w:val="4"/>
          <w:numId w:val="112"/>
        </w:numPr>
      </w:pPr>
      <w:r w:rsidRPr="00B3624C">
        <w:t xml:space="preserve">has been formally assessed and found to be significant and not adequately represented in </w:t>
      </w:r>
      <w:r>
        <w:t xml:space="preserve">Australian </w:t>
      </w:r>
      <w:r w:rsidRPr="00B3624C">
        <w:t>public collections</w:t>
      </w:r>
      <w:r>
        <w:t>;</w:t>
      </w:r>
    </w:p>
    <w:p w14:paraId="3D9523A6" w14:textId="77777777" w:rsidR="003B4493" w:rsidRPr="00B3624C" w:rsidRDefault="003B4493" w:rsidP="00E5299D">
      <w:pPr>
        <w:pStyle w:val="List2"/>
        <w:numPr>
          <w:ilvl w:val="4"/>
          <w:numId w:val="112"/>
        </w:numPr>
      </w:pPr>
      <w:proofErr w:type="gramStart"/>
      <w:r w:rsidRPr="00B3624C">
        <w:t>irrespective</w:t>
      </w:r>
      <w:proofErr w:type="gramEnd"/>
      <w:r w:rsidRPr="00B3624C">
        <w:t xml:space="preserve"> of </w:t>
      </w:r>
      <w:r>
        <w:t>age or value</w:t>
      </w:r>
      <w:r w:rsidRPr="00B3624C">
        <w:t xml:space="preserve"> </w:t>
      </w:r>
      <w:r>
        <w:t xml:space="preserve">criteria, is </w:t>
      </w:r>
      <w:r w:rsidRPr="00B3624C">
        <w:t>declared by the Minister to be Australian Protected Material.</w:t>
      </w:r>
    </w:p>
    <w:p w14:paraId="1D8566A8" w14:textId="77777777" w:rsidR="003B4493" w:rsidRPr="00B3624C" w:rsidRDefault="003B4493" w:rsidP="00E5299D">
      <w:pPr>
        <w:pStyle w:val="List"/>
        <w:numPr>
          <w:ilvl w:val="3"/>
          <w:numId w:val="112"/>
        </w:numPr>
      </w:pPr>
      <w:r w:rsidRPr="00B3624C">
        <w:lastRenderedPageBreak/>
        <w:t>Archaeological Material is Declared Australian Protected Material if it is:</w:t>
      </w:r>
    </w:p>
    <w:p w14:paraId="21BFFC39" w14:textId="4D4F0D90" w:rsidR="003B4493" w:rsidRDefault="003B4493" w:rsidP="00E5299D">
      <w:pPr>
        <w:pStyle w:val="List2"/>
        <w:numPr>
          <w:ilvl w:val="4"/>
          <w:numId w:val="112"/>
        </w:numPr>
      </w:pPr>
      <w:r w:rsidRPr="00B3624C">
        <w:t xml:space="preserve">irrespective of </w:t>
      </w:r>
      <w:r>
        <w:t>age or value</w:t>
      </w:r>
      <w:r w:rsidRPr="00B3624C">
        <w:t xml:space="preserve"> </w:t>
      </w:r>
      <w:r>
        <w:t>criteria,</w:t>
      </w:r>
      <w:r w:rsidRPr="00B3624C">
        <w:t xml:space="preserve"> declared by the Minister to be </w:t>
      </w:r>
      <w:r>
        <w:t xml:space="preserve">Declared </w:t>
      </w:r>
      <w:r w:rsidRPr="00B3624C">
        <w:t xml:space="preserve">Australian Protected Material; </w:t>
      </w:r>
      <w:r w:rsidR="004B7746">
        <w:t>or</w:t>
      </w:r>
    </w:p>
    <w:p w14:paraId="5D3BCB3B" w14:textId="77777777" w:rsidR="003B4493" w:rsidRPr="00B3624C" w:rsidRDefault="003B4493" w:rsidP="00E5299D">
      <w:pPr>
        <w:pStyle w:val="List2"/>
        <w:numPr>
          <w:ilvl w:val="4"/>
          <w:numId w:val="112"/>
        </w:numPr>
      </w:pPr>
      <w:proofErr w:type="spellStart"/>
      <w:r>
        <w:t>Macassan</w:t>
      </w:r>
      <w:proofErr w:type="spellEnd"/>
      <w:r>
        <w:t xml:space="preserve"> material; </w:t>
      </w:r>
      <w:r w:rsidRPr="00B3624C">
        <w:t>or</w:t>
      </w:r>
    </w:p>
    <w:p w14:paraId="59F07CEF" w14:textId="77777777" w:rsidR="003B4493" w:rsidRPr="00B3624C" w:rsidRDefault="003B4493" w:rsidP="00E5299D">
      <w:pPr>
        <w:pStyle w:val="List2"/>
        <w:numPr>
          <w:ilvl w:val="4"/>
          <w:numId w:val="112"/>
        </w:numPr>
      </w:pPr>
      <w:proofErr w:type="gramStart"/>
      <w:r w:rsidRPr="00B3624C">
        <w:t>denied</w:t>
      </w:r>
      <w:proofErr w:type="gramEnd"/>
      <w:r w:rsidRPr="00B3624C">
        <w:t xml:space="preserve"> permanent export permission under the Act.</w:t>
      </w:r>
    </w:p>
    <w:p w14:paraId="79F5C93E" w14:textId="06A64E9C" w:rsidR="003B4493" w:rsidRPr="00837778" w:rsidRDefault="003B4493" w:rsidP="00525F38">
      <w:pPr>
        <w:pStyle w:val="Heading4"/>
      </w:pPr>
      <w:r w:rsidRPr="00837778">
        <w:t>New Part 4.2</w:t>
      </w:r>
      <w:r w:rsidR="00801A32">
        <w:t>—</w:t>
      </w:r>
      <w:r w:rsidRPr="00837778">
        <w:t>Documentary Heritage Material</w:t>
      </w:r>
    </w:p>
    <w:p w14:paraId="6536495B" w14:textId="0FCE6366" w:rsidR="003B4493" w:rsidRPr="00B3624C" w:rsidRDefault="003B4493" w:rsidP="00E5299D">
      <w:pPr>
        <w:pStyle w:val="List"/>
        <w:numPr>
          <w:ilvl w:val="3"/>
          <w:numId w:val="167"/>
        </w:numPr>
      </w:pPr>
      <w:r w:rsidRPr="00B3624C">
        <w:t>Documentary Heritage Material is a Document or collectio</w:t>
      </w:r>
      <w:r w:rsidR="00220B45">
        <w:t>n of Documents.</w:t>
      </w:r>
      <w:r w:rsidR="00220B45">
        <w:tab/>
        <w:t xml:space="preserve"> In the d</w:t>
      </w:r>
      <w:r w:rsidRPr="00B3624C">
        <w:t>efinitions section, ‘Document’ is defined as follows:</w:t>
      </w:r>
    </w:p>
    <w:p w14:paraId="6EA90F3B" w14:textId="7BC7FA92" w:rsidR="003B4493" w:rsidRPr="00837778" w:rsidRDefault="003B4493" w:rsidP="003B4493">
      <w:pPr>
        <w:ind w:left="720" w:right="686"/>
        <w:rPr>
          <w:rFonts w:cs="Arial"/>
          <w:szCs w:val="24"/>
        </w:rPr>
      </w:pPr>
      <w:r w:rsidRPr="00837778">
        <w:rPr>
          <w:rFonts w:cs="Arial"/>
          <w:bCs/>
          <w:iCs/>
          <w:szCs w:val="24"/>
          <w:lang w:val="en-US"/>
        </w:rPr>
        <w:t>‘</w:t>
      </w:r>
      <w:r w:rsidRPr="00100BE6">
        <w:rPr>
          <w:rFonts w:cs="Arial"/>
          <w:b/>
          <w:bCs/>
          <w:iCs/>
          <w:szCs w:val="24"/>
          <w:lang w:val="en-US"/>
        </w:rPr>
        <w:t>Document’</w:t>
      </w:r>
      <w:r w:rsidRPr="00837778">
        <w:rPr>
          <w:rFonts w:cs="Arial"/>
          <w:szCs w:val="24"/>
          <w:lang w:val="en-US"/>
        </w:rPr>
        <w:t xml:space="preserve"> means any written or printed material in any media, or any article on which information has been stored or recorded irrespective of the technology by which this is done. It includes:</w:t>
      </w:r>
    </w:p>
    <w:p w14:paraId="4D0284FE" w14:textId="77777777" w:rsidR="00AA7153" w:rsidRDefault="003B4493" w:rsidP="003B4493">
      <w:pPr>
        <w:widowControl w:val="0"/>
        <w:autoSpaceDE w:val="0"/>
        <w:autoSpaceDN w:val="0"/>
        <w:adjustRightInd w:val="0"/>
        <w:spacing w:before="60"/>
        <w:ind w:left="1287" w:right="686" w:hanging="567"/>
        <w:rPr>
          <w:rFonts w:cs="Arial"/>
          <w:szCs w:val="24"/>
          <w:lang w:val="en-US"/>
        </w:rPr>
      </w:pPr>
      <w:r w:rsidRPr="00837778">
        <w:rPr>
          <w:rFonts w:cs="Arial"/>
          <w:szCs w:val="24"/>
          <w:lang w:val="en-US"/>
        </w:rPr>
        <w:t>(a)</w:t>
      </w:r>
      <w:r w:rsidRPr="00837778">
        <w:rPr>
          <w:rFonts w:cs="Arial"/>
          <w:szCs w:val="24"/>
          <w:lang w:val="en-US"/>
        </w:rPr>
        <w:tab/>
      </w:r>
      <w:proofErr w:type="gramStart"/>
      <w:r w:rsidRPr="00837778">
        <w:rPr>
          <w:rFonts w:cs="Arial"/>
          <w:szCs w:val="24"/>
          <w:lang w:val="en-US"/>
        </w:rPr>
        <w:t>a</w:t>
      </w:r>
      <w:proofErr w:type="gramEnd"/>
      <w:r w:rsidRPr="00837778">
        <w:rPr>
          <w:rFonts w:cs="Arial"/>
          <w:szCs w:val="24"/>
          <w:lang w:val="en-US"/>
        </w:rPr>
        <w:t xml:space="preserve"> book, diary, letter, note, ledger, register, pamphlet or similar article;</w:t>
      </w:r>
    </w:p>
    <w:p w14:paraId="5AB6C4D3" w14:textId="77777777" w:rsidR="00AA7153" w:rsidRDefault="003B4493" w:rsidP="003B4493">
      <w:pPr>
        <w:widowControl w:val="0"/>
        <w:autoSpaceDE w:val="0"/>
        <w:autoSpaceDN w:val="0"/>
        <w:adjustRightInd w:val="0"/>
        <w:spacing w:before="60"/>
        <w:ind w:left="1287" w:right="686" w:hanging="567"/>
        <w:rPr>
          <w:rFonts w:cs="Arial"/>
          <w:szCs w:val="24"/>
          <w:lang w:val="en-US"/>
        </w:rPr>
      </w:pPr>
      <w:r w:rsidRPr="00837778">
        <w:rPr>
          <w:rFonts w:cs="Arial"/>
          <w:szCs w:val="24"/>
          <w:lang w:val="en-US"/>
        </w:rPr>
        <w:t>(b)</w:t>
      </w:r>
      <w:r w:rsidRPr="00837778">
        <w:rPr>
          <w:rFonts w:cs="Arial"/>
          <w:szCs w:val="24"/>
          <w:lang w:val="en-US"/>
        </w:rPr>
        <w:tab/>
      </w:r>
      <w:proofErr w:type="gramStart"/>
      <w:r w:rsidRPr="00837778">
        <w:rPr>
          <w:rFonts w:cs="Arial"/>
          <w:szCs w:val="24"/>
          <w:lang w:val="en-US"/>
        </w:rPr>
        <w:t>a</w:t>
      </w:r>
      <w:proofErr w:type="gramEnd"/>
      <w:r w:rsidRPr="00837778">
        <w:rPr>
          <w:rFonts w:cs="Arial"/>
          <w:szCs w:val="24"/>
          <w:lang w:val="en-US"/>
        </w:rPr>
        <w:t xml:space="preserve"> sound recording, a film, television or video production, or any other production that includes moving images or recorded sounds;</w:t>
      </w:r>
    </w:p>
    <w:p w14:paraId="2C97B930" w14:textId="74B4E4B4" w:rsidR="003B4493" w:rsidRPr="00837778" w:rsidRDefault="003B4493" w:rsidP="003B4493">
      <w:pPr>
        <w:widowControl w:val="0"/>
        <w:autoSpaceDE w:val="0"/>
        <w:autoSpaceDN w:val="0"/>
        <w:adjustRightInd w:val="0"/>
        <w:spacing w:before="60"/>
        <w:ind w:left="1287" w:right="686" w:hanging="567"/>
        <w:rPr>
          <w:rFonts w:cs="Arial"/>
          <w:szCs w:val="24"/>
          <w:lang w:val="en-US"/>
        </w:rPr>
      </w:pPr>
      <w:r w:rsidRPr="00837778">
        <w:rPr>
          <w:rFonts w:cs="Arial"/>
          <w:szCs w:val="24"/>
          <w:lang w:val="en-US"/>
        </w:rPr>
        <w:t>(c)</w:t>
      </w:r>
      <w:r w:rsidRPr="00837778">
        <w:rPr>
          <w:rFonts w:cs="Arial"/>
          <w:szCs w:val="24"/>
          <w:lang w:val="en-US"/>
        </w:rPr>
        <w:tab/>
      </w:r>
      <w:proofErr w:type="gramStart"/>
      <w:r w:rsidRPr="00837778">
        <w:rPr>
          <w:rFonts w:cs="Arial"/>
          <w:szCs w:val="24"/>
          <w:lang w:val="en-US"/>
        </w:rPr>
        <w:t>a</w:t>
      </w:r>
      <w:proofErr w:type="gramEnd"/>
      <w:r w:rsidRPr="00837778">
        <w:rPr>
          <w:rFonts w:cs="Arial"/>
          <w:szCs w:val="24"/>
          <w:lang w:val="en-US"/>
        </w:rPr>
        <w:t xml:space="preserve"> map, plan, photograph, drawing or other graphic; and</w:t>
      </w:r>
    </w:p>
    <w:p w14:paraId="7B5ECC02" w14:textId="77777777" w:rsidR="00AA7153" w:rsidRDefault="003B4493" w:rsidP="003B4493">
      <w:pPr>
        <w:widowControl w:val="0"/>
        <w:autoSpaceDE w:val="0"/>
        <w:autoSpaceDN w:val="0"/>
        <w:adjustRightInd w:val="0"/>
        <w:spacing w:before="60"/>
        <w:ind w:left="1287" w:right="686" w:hanging="567"/>
        <w:rPr>
          <w:rFonts w:cs="Arial"/>
          <w:szCs w:val="24"/>
          <w:lang w:val="en-US"/>
        </w:rPr>
      </w:pPr>
      <w:r w:rsidRPr="00837778">
        <w:rPr>
          <w:rFonts w:cs="Arial"/>
          <w:szCs w:val="24"/>
          <w:lang w:val="en-US"/>
        </w:rPr>
        <w:t>(d)</w:t>
      </w:r>
      <w:r w:rsidRPr="00837778">
        <w:rPr>
          <w:rFonts w:cs="Arial"/>
          <w:szCs w:val="24"/>
          <w:lang w:val="en-US"/>
        </w:rPr>
        <w:tab/>
      </w:r>
      <w:proofErr w:type="gramStart"/>
      <w:r w:rsidRPr="00837778">
        <w:rPr>
          <w:rFonts w:cs="Arial"/>
          <w:szCs w:val="24"/>
          <w:lang w:val="en-US"/>
        </w:rPr>
        <w:t>an</w:t>
      </w:r>
      <w:proofErr w:type="gramEnd"/>
      <w:r w:rsidRPr="00837778">
        <w:rPr>
          <w:rFonts w:cs="Arial"/>
          <w:szCs w:val="24"/>
          <w:lang w:val="en-US"/>
        </w:rPr>
        <w:t xml:space="preserve"> article that forms part of records or archives required by a law of the Commonwealth, a State or a Territory to be kept permanently in Australia.</w:t>
      </w:r>
    </w:p>
    <w:p w14:paraId="73C7E1B1" w14:textId="77777777" w:rsidR="00AA7153" w:rsidRDefault="00B51B22" w:rsidP="00E5299D">
      <w:pPr>
        <w:pStyle w:val="List"/>
        <w:numPr>
          <w:ilvl w:val="3"/>
          <w:numId w:val="167"/>
        </w:numPr>
      </w:pPr>
      <w:r w:rsidRPr="00580A0A">
        <w:t>Export decisions made in respect to Documentary material which also meets the criteria of Part 1 of the control list must be assessed under Part 1.</w:t>
      </w:r>
    </w:p>
    <w:p w14:paraId="24CAB334" w14:textId="7EC557D7" w:rsidR="003B4493" w:rsidRPr="00B3624C" w:rsidRDefault="003B4493" w:rsidP="00E5299D">
      <w:pPr>
        <w:pStyle w:val="List"/>
        <w:numPr>
          <w:ilvl w:val="3"/>
          <w:numId w:val="167"/>
        </w:numPr>
      </w:pPr>
      <w:r w:rsidRPr="00B3624C">
        <w:t>Documentary Heritage Material is Australian Heritage Material if it is:</w:t>
      </w:r>
    </w:p>
    <w:p w14:paraId="0F498BAA" w14:textId="77777777" w:rsidR="003B4493" w:rsidRPr="00B3624C" w:rsidRDefault="003B4493" w:rsidP="00E5299D">
      <w:pPr>
        <w:pStyle w:val="List2"/>
        <w:numPr>
          <w:ilvl w:val="4"/>
          <w:numId w:val="167"/>
        </w:numPr>
      </w:pPr>
      <w:r w:rsidRPr="00B3624C">
        <w:t>Australia-related; and</w:t>
      </w:r>
    </w:p>
    <w:p w14:paraId="137FADF6" w14:textId="77777777" w:rsidR="003B4493" w:rsidRDefault="003B4493" w:rsidP="00E5299D">
      <w:pPr>
        <w:pStyle w:val="List2"/>
        <w:numPr>
          <w:ilvl w:val="4"/>
          <w:numId w:val="167"/>
        </w:numPr>
      </w:pPr>
      <w:r w:rsidRPr="00B3624C">
        <w:t>more than 50 years old</w:t>
      </w:r>
      <w:r>
        <w:t>; or</w:t>
      </w:r>
    </w:p>
    <w:p w14:paraId="2441687F" w14:textId="1037FB32" w:rsidR="003B4493" w:rsidRDefault="003B4493" w:rsidP="00E5299D">
      <w:pPr>
        <w:pStyle w:val="List2"/>
        <w:numPr>
          <w:ilvl w:val="4"/>
          <w:numId w:val="167"/>
        </w:numPr>
      </w:pPr>
      <w:proofErr w:type="gramStart"/>
      <w:r w:rsidRPr="00B3624C">
        <w:t>irrespective</w:t>
      </w:r>
      <w:proofErr w:type="gramEnd"/>
      <w:r w:rsidRPr="00B3624C">
        <w:t xml:space="preserve"> of </w:t>
      </w:r>
      <w:r w:rsidR="00580A0A">
        <w:t>the age criteria</w:t>
      </w:r>
      <w:r>
        <w:t xml:space="preserve">, is </w:t>
      </w:r>
      <w:r w:rsidRPr="00B3624C">
        <w:t xml:space="preserve">declared by the Minister to be Australian </w:t>
      </w:r>
      <w:r>
        <w:t>Heritage</w:t>
      </w:r>
      <w:r w:rsidRPr="00B3624C">
        <w:t xml:space="preserve"> Material.</w:t>
      </w:r>
    </w:p>
    <w:p w14:paraId="41E4ADEC" w14:textId="77777777" w:rsidR="00220B45" w:rsidRDefault="00220B45" w:rsidP="00220B45">
      <w:pPr>
        <w:pStyle w:val="List2"/>
      </w:pPr>
    </w:p>
    <w:p w14:paraId="7CF10C60" w14:textId="77777777" w:rsidR="00220B45" w:rsidRPr="00B3624C" w:rsidRDefault="00220B45" w:rsidP="00220B45">
      <w:pPr>
        <w:pStyle w:val="List2"/>
      </w:pPr>
    </w:p>
    <w:p w14:paraId="2C7E13DB" w14:textId="77777777" w:rsidR="00AA7153" w:rsidRDefault="003B4493" w:rsidP="00E5299D">
      <w:pPr>
        <w:pStyle w:val="List"/>
        <w:numPr>
          <w:ilvl w:val="3"/>
          <w:numId w:val="167"/>
        </w:numPr>
      </w:pPr>
      <w:r w:rsidRPr="00B3624C">
        <w:lastRenderedPageBreak/>
        <w:t>Documentary Heritage Material is Australian Protected Material if it is Australian Heritage Material and:</w:t>
      </w:r>
    </w:p>
    <w:p w14:paraId="7010DC22" w14:textId="77777777" w:rsidR="00AA7153" w:rsidRDefault="003B4493" w:rsidP="00E5299D">
      <w:pPr>
        <w:pStyle w:val="List2"/>
        <w:numPr>
          <w:ilvl w:val="4"/>
          <w:numId w:val="167"/>
        </w:numPr>
      </w:pPr>
      <w:r w:rsidRPr="00B3624C">
        <w:t>is permitted to leave the country on the basis of a temporary export permit; or</w:t>
      </w:r>
    </w:p>
    <w:p w14:paraId="47CF693E" w14:textId="7BCC84D5" w:rsidR="003B4493" w:rsidRDefault="003B4493" w:rsidP="00E5299D">
      <w:pPr>
        <w:pStyle w:val="List2"/>
        <w:numPr>
          <w:ilvl w:val="4"/>
          <w:numId w:val="167"/>
        </w:numPr>
      </w:pPr>
      <w:r w:rsidRPr="00B3624C">
        <w:t xml:space="preserve">has been formally assessed and found to be significant and not adequately represented in </w:t>
      </w:r>
      <w:r>
        <w:t xml:space="preserve">Australian </w:t>
      </w:r>
      <w:r w:rsidRPr="00B3624C">
        <w:t>public collections</w:t>
      </w:r>
      <w:r>
        <w:t>; or</w:t>
      </w:r>
    </w:p>
    <w:p w14:paraId="7B055B44" w14:textId="11A618FB" w:rsidR="003B4493" w:rsidRPr="00B3624C" w:rsidRDefault="003B4493" w:rsidP="00E5299D">
      <w:pPr>
        <w:pStyle w:val="List2"/>
        <w:numPr>
          <w:ilvl w:val="4"/>
          <w:numId w:val="167"/>
        </w:numPr>
      </w:pPr>
      <w:proofErr w:type="gramStart"/>
      <w:r w:rsidRPr="00B3624C">
        <w:t>irrespective</w:t>
      </w:r>
      <w:proofErr w:type="gramEnd"/>
      <w:r w:rsidRPr="00B3624C">
        <w:t xml:space="preserve"> of </w:t>
      </w:r>
      <w:r w:rsidR="00580A0A">
        <w:t>the age criteria</w:t>
      </w:r>
      <w:r>
        <w:t xml:space="preserve">, is </w:t>
      </w:r>
      <w:r w:rsidRPr="00B3624C">
        <w:t xml:space="preserve">declared by the Minister to be Australian </w:t>
      </w:r>
      <w:r>
        <w:t>Protected</w:t>
      </w:r>
      <w:r w:rsidRPr="00B3624C">
        <w:t xml:space="preserve"> Material.</w:t>
      </w:r>
    </w:p>
    <w:p w14:paraId="178B478D" w14:textId="77777777" w:rsidR="003B4493" w:rsidRPr="00B3624C" w:rsidRDefault="003B4493" w:rsidP="00E5299D">
      <w:pPr>
        <w:pStyle w:val="List"/>
        <w:numPr>
          <w:ilvl w:val="3"/>
          <w:numId w:val="167"/>
        </w:numPr>
      </w:pPr>
      <w:r w:rsidRPr="00B3624C">
        <w:t>Documentary Heritage Material is Declared Australian Protected Material if it is:</w:t>
      </w:r>
    </w:p>
    <w:p w14:paraId="5544ABD6" w14:textId="781E4956" w:rsidR="003B4493" w:rsidRPr="00B3624C" w:rsidRDefault="003B4493" w:rsidP="00E5299D">
      <w:pPr>
        <w:pStyle w:val="List2"/>
        <w:numPr>
          <w:ilvl w:val="4"/>
          <w:numId w:val="167"/>
        </w:numPr>
      </w:pPr>
      <w:r w:rsidRPr="00B3624C">
        <w:t xml:space="preserve">an item that can be reasonably described as foundation historical material relating to the Australian colonies and </w:t>
      </w:r>
      <w:r w:rsidR="00220B45">
        <w:t>s</w:t>
      </w:r>
      <w:r w:rsidRPr="00B3624C">
        <w:t>tates; or</w:t>
      </w:r>
    </w:p>
    <w:p w14:paraId="468112C0" w14:textId="77777777" w:rsidR="003B4493" w:rsidRPr="00B3624C" w:rsidRDefault="003B4493" w:rsidP="00E5299D">
      <w:pPr>
        <w:pStyle w:val="List2"/>
        <w:numPr>
          <w:ilvl w:val="4"/>
          <w:numId w:val="167"/>
        </w:numPr>
      </w:pPr>
      <w:r w:rsidRPr="00B3624C">
        <w:t>an item that can be reasonably described as foundation historical material relating to the Australian Federation; or</w:t>
      </w:r>
    </w:p>
    <w:p w14:paraId="60B919B4" w14:textId="77777777" w:rsidR="003B4493" w:rsidRPr="00B3624C" w:rsidRDefault="003B4493" w:rsidP="00E5299D">
      <w:pPr>
        <w:pStyle w:val="List2"/>
        <w:numPr>
          <w:ilvl w:val="4"/>
          <w:numId w:val="167"/>
        </w:numPr>
      </w:pPr>
      <w:r w:rsidRPr="00B3624C">
        <w:t>material listed on the UNESCO Memory of the World register; or</w:t>
      </w:r>
    </w:p>
    <w:p w14:paraId="381BF2F2" w14:textId="2B1587E2" w:rsidR="003B4493" w:rsidRPr="00B3624C" w:rsidRDefault="003B4493" w:rsidP="00E5299D">
      <w:pPr>
        <w:pStyle w:val="List2"/>
        <w:numPr>
          <w:ilvl w:val="4"/>
          <w:numId w:val="167"/>
        </w:numPr>
      </w:pPr>
      <w:r w:rsidRPr="00B3624C">
        <w:t xml:space="preserve">irrespective of </w:t>
      </w:r>
      <w:r w:rsidR="00580A0A">
        <w:t>the age criteria</w:t>
      </w:r>
      <w:r>
        <w:t xml:space="preserve">, </w:t>
      </w:r>
      <w:r w:rsidRPr="00B3624C">
        <w:t xml:space="preserve">declared by the Minister to be </w:t>
      </w:r>
      <w:r>
        <w:t xml:space="preserve">Declared </w:t>
      </w:r>
      <w:r w:rsidRPr="00B3624C">
        <w:t>Australian Protected Material; or</w:t>
      </w:r>
    </w:p>
    <w:p w14:paraId="2343FE9D" w14:textId="77777777" w:rsidR="003B4493" w:rsidRPr="00B3624C" w:rsidRDefault="003B4493" w:rsidP="00E5299D">
      <w:pPr>
        <w:pStyle w:val="List2"/>
        <w:numPr>
          <w:ilvl w:val="4"/>
          <w:numId w:val="167"/>
        </w:numPr>
      </w:pPr>
      <w:proofErr w:type="gramStart"/>
      <w:r w:rsidRPr="00B3624C">
        <w:t>denied</w:t>
      </w:r>
      <w:proofErr w:type="gramEnd"/>
      <w:r w:rsidRPr="00B3624C">
        <w:t xml:space="preserve"> permanent export permission under the Act.</w:t>
      </w:r>
    </w:p>
    <w:p w14:paraId="028B9891" w14:textId="03C22BD1" w:rsidR="003B4493" w:rsidRPr="00837778" w:rsidRDefault="003B4493" w:rsidP="00525F38">
      <w:pPr>
        <w:pStyle w:val="Heading4"/>
      </w:pPr>
      <w:r w:rsidRPr="00837778">
        <w:t>New Part 4.3</w:t>
      </w:r>
      <w:r w:rsidR="00801A32">
        <w:t>—</w:t>
      </w:r>
      <w:r w:rsidRPr="00837778">
        <w:t>Applied Science and Technology Material</w:t>
      </w:r>
    </w:p>
    <w:p w14:paraId="0A44F1A3" w14:textId="6C821EFE" w:rsidR="003B4493" w:rsidRPr="00B3624C" w:rsidRDefault="003B4493" w:rsidP="00E5299D">
      <w:pPr>
        <w:pStyle w:val="List"/>
        <w:numPr>
          <w:ilvl w:val="3"/>
          <w:numId w:val="113"/>
        </w:numPr>
      </w:pPr>
      <w:r w:rsidRPr="00B3624C">
        <w:t>Applied Science or Technology Material includes any machine, vehicle, instrument or invention relating to</w:t>
      </w:r>
      <w:r w:rsidR="00220B45">
        <w:t>,</w:t>
      </w:r>
      <w:r w:rsidRPr="00B3624C">
        <w:t xml:space="preserve"> or created by</w:t>
      </w:r>
      <w:r w:rsidR="00220B45">
        <w:t>,</w:t>
      </w:r>
      <w:r w:rsidRPr="00B3624C">
        <w:t xml:space="preserve"> human enterprise and activity and includes any other object produced by, or related to, such object including prototypes, models, patents, spare parts and equipment.</w:t>
      </w:r>
      <w:r w:rsidRPr="00B3624C">
        <w:tab/>
      </w:r>
    </w:p>
    <w:p w14:paraId="5C164706" w14:textId="77777777" w:rsidR="00580A0A" w:rsidRDefault="00580A0A">
      <w:pPr>
        <w:spacing w:line="276" w:lineRule="auto"/>
      </w:pPr>
      <w:r>
        <w:br w:type="page"/>
      </w:r>
    </w:p>
    <w:p w14:paraId="11F6BE41" w14:textId="740AC436" w:rsidR="003B4493" w:rsidRPr="00B3624C" w:rsidRDefault="003B4493" w:rsidP="00E5299D">
      <w:pPr>
        <w:pStyle w:val="List"/>
        <w:numPr>
          <w:ilvl w:val="3"/>
          <w:numId w:val="113"/>
        </w:numPr>
      </w:pPr>
      <w:r w:rsidRPr="00B3624C">
        <w:lastRenderedPageBreak/>
        <w:t>Applied Science or Technology Material is Australian Heritage Material if it</w:t>
      </w:r>
      <w:r>
        <w:t xml:space="preserve"> is</w:t>
      </w:r>
      <w:r w:rsidRPr="00B3624C">
        <w:t>:</w:t>
      </w:r>
    </w:p>
    <w:p w14:paraId="41ED7464" w14:textId="77777777" w:rsidR="003B4493" w:rsidRPr="00B3624C" w:rsidRDefault="003B4493" w:rsidP="00E5299D">
      <w:pPr>
        <w:pStyle w:val="List2"/>
        <w:numPr>
          <w:ilvl w:val="4"/>
          <w:numId w:val="113"/>
        </w:numPr>
      </w:pPr>
      <w:r w:rsidRPr="00B3624C">
        <w:t>Australia-related; and</w:t>
      </w:r>
    </w:p>
    <w:p w14:paraId="4D9703AF" w14:textId="77777777" w:rsidR="003B4493" w:rsidRDefault="003B4493" w:rsidP="00E5299D">
      <w:pPr>
        <w:pStyle w:val="List2"/>
        <w:numPr>
          <w:ilvl w:val="4"/>
          <w:numId w:val="113"/>
        </w:numPr>
      </w:pPr>
      <w:r w:rsidRPr="00B3624C">
        <w:t>more than 50 years old</w:t>
      </w:r>
      <w:r>
        <w:t>; or</w:t>
      </w:r>
    </w:p>
    <w:p w14:paraId="357524DF" w14:textId="4561E4A0" w:rsidR="003B4493" w:rsidRPr="00B3624C" w:rsidRDefault="003B4493" w:rsidP="00E5299D">
      <w:pPr>
        <w:pStyle w:val="List2"/>
        <w:numPr>
          <w:ilvl w:val="4"/>
          <w:numId w:val="113"/>
        </w:numPr>
      </w:pPr>
      <w:proofErr w:type="gramStart"/>
      <w:r w:rsidRPr="00B3624C">
        <w:t>irrespective</w:t>
      </w:r>
      <w:proofErr w:type="gramEnd"/>
      <w:r w:rsidRPr="00B3624C">
        <w:t xml:space="preserve"> of </w:t>
      </w:r>
      <w:r w:rsidR="00F54575">
        <w:t>the age criteria</w:t>
      </w:r>
      <w:r>
        <w:t xml:space="preserve">, is </w:t>
      </w:r>
      <w:r w:rsidRPr="00B3624C">
        <w:t xml:space="preserve">declared by the Minister to be Australian </w:t>
      </w:r>
      <w:r>
        <w:t>Heritage</w:t>
      </w:r>
      <w:r w:rsidRPr="00B3624C">
        <w:t xml:space="preserve"> Material.</w:t>
      </w:r>
    </w:p>
    <w:p w14:paraId="25DE8031" w14:textId="724BFE6B" w:rsidR="003B4493" w:rsidRPr="00B3624C" w:rsidRDefault="003B4493" w:rsidP="00E5299D">
      <w:pPr>
        <w:pStyle w:val="List"/>
        <w:numPr>
          <w:ilvl w:val="3"/>
          <w:numId w:val="113"/>
        </w:numPr>
      </w:pPr>
      <w:r w:rsidRPr="00B3624C">
        <w:t>Applied Science or Technology Material is Aust</w:t>
      </w:r>
      <w:r w:rsidR="00F54575">
        <w:t xml:space="preserve">ralian Protected Material if it </w:t>
      </w:r>
      <w:r w:rsidRPr="00B3624C">
        <w:t>is Australian Heritage Material; and</w:t>
      </w:r>
    </w:p>
    <w:p w14:paraId="30ABF2D7" w14:textId="77777777" w:rsidR="00AA7153" w:rsidRDefault="003B4493" w:rsidP="00E5299D">
      <w:pPr>
        <w:pStyle w:val="List2"/>
        <w:numPr>
          <w:ilvl w:val="4"/>
          <w:numId w:val="113"/>
        </w:numPr>
      </w:pPr>
      <w:r w:rsidRPr="00B3624C">
        <w:t>is permitted to leave the country on the basis of a temporary export permit; or</w:t>
      </w:r>
    </w:p>
    <w:p w14:paraId="70CE53EE" w14:textId="51D9EED3" w:rsidR="003B4493" w:rsidRDefault="003B4493" w:rsidP="00E5299D">
      <w:pPr>
        <w:pStyle w:val="List2"/>
        <w:numPr>
          <w:ilvl w:val="4"/>
          <w:numId w:val="113"/>
        </w:numPr>
      </w:pPr>
      <w:r w:rsidRPr="00B3624C">
        <w:t xml:space="preserve">has been formally assessed and found to be significant and not adequately represented in </w:t>
      </w:r>
      <w:r>
        <w:t xml:space="preserve">Australian </w:t>
      </w:r>
      <w:r w:rsidRPr="00B3624C">
        <w:t>public collections</w:t>
      </w:r>
      <w:r>
        <w:t>; or</w:t>
      </w:r>
    </w:p>
    <w:p w14:paraId="3676BA10" w14:textId="77777777" w:rsidR="003B4493" w:rsidRPr="00B3624C" w:rsidRDefault="003B4493" w:rsidP="00E5299D">
      <w:pPr>
        <w:pStyle w:val="List2"/>
        <w:numPr>
          <w:ilvl w:val="4"/>
          <w:numId w:val="113"/>
        </w:numPr>
      </w:pPr>
      <w:proofErr w:type="gramStart"/>
      <w:r w:rsidRPr="00B3624C">
        <w:t>irrespective</w:t>
      </w:r>
      <w:proofErr w:type="gramEnd"/>
      <w:r w:rsidRPr="00B3624C">
        <w:t xml:space="preserve"> of </w:t>
      </w:r>
      <w:r>
        <w:t>age or value</w:t>
      </w:r>
      <w:r w:rsidRPr="00B3624C">
        <w:t xml:space="preserve"> </w:t>
      </w:r>
      <w:r>
        <w:t xml:space="preserve">criteria, is </w:t>
      </w:r>
      <w:r w:rsidRPr="00B3624C">
        <w:t>declared by the Minister to be Australian Protected Material.</w:t>
      </w:r>
    </w:p>
    <w:p w14:paraId="03CCC12C" w14:textId="77777777" w:rsidR="003B4493" w:rsidRPr="00B3624C" w:rsidRDefault="003B4493" w:rsidP="00E5299D">
      <w:pPr>
        <w:pStyle w:val="List"/>
        <w:numPr>
          <w:ilvl w:val="3"/>
          <w:numId w:val="113"/>
        </w:numPr>
      </w:pPr>
      <w:r w:rsidRPr="00B3624C">
        <w:t>Applied Science or Technology Material is Declared Australian Protected Material if it is:</w:t>
      </w:r>
    </w:p>
    <w:p w14:paraId="7283740C" w14:textId="686C3080" w:rsidR="003B4493" w:rsidRPr="00B3624C" w:rsidRDefault="003B4493" w:rsidP="00E5299D">
      <w:pPr>
        <w:pStyle w:val="List2"/>
        <w:numPr>
          <w:ilvl w:val="4"/>
          <w:numId w:val="113"/>
        </w:numPr>
      </w:pPr>
      <w:r w:rsidRPr="00B3624C">
        <w:t>an agricultural or industrial steam engine</w:t>
      </w:r>
      <w:r>
        <w:t xml:space="preserve"> </w:t>
      </w:r>
      <w:r w:rsidRPr="00B3624C">
        <w:t>(including traction engines, ploughing engines, portable and stationary engines)</w:t>
      </w:r>
      <w:r>
        <w:t xml:space="preserve"> manufactured prior to 1945</w:t>
      </w:r>
      <w:r w:rsidRPr="00B3624C">
        <w:t>;</w:t>
      </w:r>
      <w:r w:rsidR="00F54575">
        <w:t xml:space="preserve"> or</w:t>
      </w:r>
    </w:p>
    <w:p w14:paraId="3807DF41" w14:textId="30C3CCE3" w:rsidR="003B4493" w:rsidRPr="00B3624C" w:rsidRDefault="003B4493" w:rsidP="00E5299D">
      <w:pPr>
        <w:pStyle w:val="List2"/>
        <w:numPr>
          <w:ilvl w:val="4"/>
          <w:numId w:val="113"/>
        </w:numPr>
      </w:pPr>
      <w:r w:rsidRPr="00B3624C">
        <w:t>a steam road vehicle</w:t>
      </w:r>
      <w:r>
        <w:t xml:space="preserve"> </w:t>
      </w:r>
      <w:r w:rsidRPr="00B3624C">
        <w:t>(including road locomotives, steam wagons, road rollers</w:t>
      </w:r>
      <w:r w:rsidR="00220B45">
        <w:t xml:space="preserve"> and</w:t>
      </w:r>
      <w:r w:rsidRPr="00B3624C">
        <w:t xml:space="preserve"> steam cars)</w:t>
      </w:r>
      <w:r w:rsidRPr="0072420A">
        <w:t xml:space="preserve"> </w:t>
      </w:r>
      <w:r>
        <w:t>manufactured prior to 1945</w:t>
      </w:r>
      <w:r w:rsidRPr="00B3624C">
        <w:t xml:space="preserve">; </w:t>
      </w:r>
      <w:r w:rsidR="00F54575">
        <w:t>or</w:t>
      </w:r>
    </w:p>
    <w:p w14:paraId="210C93DC" w14:textId="77777777" w:rsidR="003B4493" w:rsidRPr="00B3624C" w:rsidRDefault="003B4493" w:rsidP="00E5299D">
      <w:pPr>
        <w:pStyle w:val="List2"/>
        <w:numPr>
          <w:ilvl w:val="4"/>
          <w:numId w:val="113"/>
        </w:numPr>
      </w:pPr>
      <w:r w:rsidRPr="00B3624C">
        <w:t>a motor car, motor truck or motor cycle made in Australia prior to 1929;</w:t>
      </w:r>
      <w:r>
        <w:t xml:space="preserve"> or</w:t>
      </w:r>
    </w:p>
    <w:p w14:paraId="5DDBD176" w14:textId="6297F761" w:rsidR="00AA7153" w:rsidRDefault="003B4493" w:rsidP="00E5299D">
      <w:pPr>
        <w:pStyle w:val="List2"/>
        <w:numPr>
          <w:ilvl w:val="4"/>
          <w:numId w:val="113"/>
        </w:numPr>
      </w:pPr>
      <w:r w:rsidRPr="00B3624C">
        <w:t xml:space="preserve">irrespective of </w:t>
      </w:r>
      <w:r>
        <w:t>age or value</w:t>
      </w:r>
      <w:r w:rsidRPr="00B3624C">
        <w:t xml:space="preserve"> </w:t>
      </w:r>
      <w:r>
        <w:t xml:space="preserve">criteria, </w:t>
      </w:r>
      <w:r w:rsidRPr="00B3624C">
        <w:t xml:space="preserve">declared by the Minister to be </w:t>
      </w:r>
      <w:r>
        <w:t xml:space="preserve">Declared </w:t>
      </w:r>
      <w:r w:rsidRPr="00B3624C">
        <w:t>Australian Protected Material;</w:t>
      </w:r>
      <w:r w:rsidR="00220B45">
        <w:t xml:space="preserve"> or</w:t>
      </w:r>
    </w:p>
    <w:p w14:paraId="68D780F7" w14:textId="77777777" w:rsidR="00AA7153" w:rsidRDefault="003B4493" w:rsidP="00E5299D">
      <w:pPr>
        <w:pStyle w:val="List2"/>
        <w:numPr>
          <w:ilvl w:val="4"/>
          <w:numId w:val="113"/>
        </w:numPr>
      </w:pPr>
      <w:proofErr w:type="gramStart"/>
      <w:r w:rsidRPr="00B3624C">
        <w:t>denied</w:t>
      </w:r>
      <w:proofErr w:type="gramEnd"/>
      <w:r w:rsidRPr="00B3624C">
        <w:t xml:space="preserve"> permanent export permission under the Act.</w:t>
      </w:r>
    </w:p>
    <w:p w14:paraId="6736C645" w14:textId="54FF7FD2" w:rsidR="00F54575" w:rsidRDefault="00F54575">
      <w:pPr>
        <w:spacing w:line="276" w:lineRule="auto"/>
      </w:pPr>
      <w:r>
        <w:br w:type="page"/>
      </w:r>
    </w:p>
    <w:p w14:paraId="53877C04" w14:textId="77777777" w:rsidR="004C4A19" w:rsidRPr="00F54575" w:rsidRDefault="004C4A19" w:rsidP="004C4A19">
      <w:pPr>
        <w:pStyle w:val="Subtitle"/>
      </w:pPr>
      <w:r w:rsidRPr="00F54575">
        <w:lastRenderedPageBreak/>
        <w:t>Material denied permanent export permission under the Act</w:t>
      </w:r>
    </w:p>
    <w:p w14:paraId="106EB599" w14:textId="77777777" w:rsidR="004C4A19" w:rsidRPr="00B3624C" w:rsidRDefault="004C4A19" w:rsidP="004C1192">
      <w:pPr>
        <w:pStyle w:val="List4"/>
        <w:numPr>
          <w:ilvl w:val="6"/>
          <w:numId w:val="85"/>
        </w:numPr>
        <w:ind w:left="539" w:hanging="539"/>
      </w:pPr>
      <w:r w:rsidRPr="00B3624C">
        <w:t>John Fowler B6 three speed road locomotive, number 16161;</w:t>
      </w:r>
    </w:p>
    <w:p w14:paraId="023973D2" w14:textId="77777777" w:rsidR="004C4A19" w:rsidRPr="00B3624C" w:rsidRDefault="004C4A19" w:rsidP="004C1192">
      <w:pPr>
        <w:pStyle w:val="List4"/>
        <w:numPr>
          <w:ilvl w:val="6"/>
          <w:numId w:val="85"/>
        </w:numPr>
        <w:ind w:left="539" w:hanging="539"/>
      </w:pPr>
      <w:r w:rsidRPr="00B3624C">
        <w:t xml:space="preserve">Krupp C96 </w:t>
      </w:r>
      <w:proofErr w:type="spellStart"/>
      <w:r w:rsidRPr="00B3624C">
        <w:t>nA</w:t>
      </w:r>
      <w:proofErr w:type="spellEnd"/>
      <w:r w:rsidRPr="00B3624C">
        <w:t xml:space="preserve"> 77mm field gun, serial number NR7207, c1916;</w:t>
      </w:r>
    </w:p>
    <w:p w14:paraId="711CEC78" w14:textId="77777777" w:rsidR="004C4A19" w:rsidRPr="00B3624C" w:rsidRDefault="004C4A19" w:rsidP="004C1192">
      <w:pPr>
        <w:pStyle w:val="List4"/>
        <w:numPr>
          <w:ilvl w:val="6"/>
          <w:numId w:val="85"/>
        </w:numPr>
        <w:ind w:left="539" w:hanging="539"/>
      </w:pPr>
      <w:r w:rsidRPr="00B3624C">
        <w:t>Fowler tank steam locomotive, c1898 builder's number 7607;</w:t>
      </w:r>
    </w:p>
    <w:p w14:paraId="7DA8A5BD" w14:textId="77777777" w:rsidR="004C4A19" w:rsidRPr="00B3624C" w:rsidRDefault="004C4A19" w:rsidP="004C1192">
      <w:pPr>
        <w:pStyle w:val="List4"/>
        <w:numPr>
          <w:ilvl w:val="6"/>
          <w:numId w:val="85"/>
        </w:numPr>
        <w:ind w:left="539" w:hanging="539"/>
      </w:pPr>
      <w:proofErr w:type="spellStart"/>
      <w:r w:rsidRPr="00B3624C">
        <w:t>Decauville</w:t>
      </w:r>
      <w:proofErr w:type="spellEnd"/>
      <w:r w:rsidRPr="00B3624C">
        <w:t xml:space="preserve"> narrow gauge steam locomotive;</w:t>
      </w:r>
    </w:p>
    <w:p w14:paraId="49EB34E0" w14:textId="77777777" w:rsidR="004C4A19" w:rsidRPr="00B3624C" w:rsidRDefault="004C4A19" w:rsidP="004C1192">
      <w:pPr>
        <w:pStyle w:val="List4"/>
        <w:numPr>
          <w:ilvl w:val="6"/>
          <w:numId w:val="85"/>
        </w:numPr>
        <w:ind w:left="539" w:hanging="539"/>
      </w:pPr>
      <w:r w:rsidRPr="00B3624C">
        <w:t>World War II Japanese fighter aeroplane, located off Cape York Peninsula, Queensland;</w:t>
      </w:r>
    </w:p>
    <w:p w14:paraId="5F5860E5" w14:textId="77777777" w:rsidR="004C4A19" w:rsidRPr="00B3624C" w:rsidRDefault="004C4A19" w:rsidP="004C1192">
      <w:pPr>
        <w:pStyle w:val="List4"/>
        <w:numPr>
          <w:ilvl w:val="6"/>
          <w:numId w:val="85"/>
        </w:numPr>
        <w:ind w:left="539" w:hanging="539"/>
      </w:pPr>
      <w:r w:rsidRPr="00B3624C">
        <w:t xml:space="preserve">a pair of wings from a World War II P47 Thunderbolt aircraft located at </w:t>
      </w:r>
      <w:proofErr w:type="spellStart"/>
      <w:r w:rsidRPr="00B3624C">
        <w:t>Duyfken</w:t>
      </w:r>
      <w:proofErr w:type="spellEnd"/>
      <w:r w:rsidRPr="00B3624C">
        <w:t xml:space="preserve"> Point, Queensland;</w:t>
      </w:r>
    </w:p>
    <w:p w14:paraId="5C8A2421" w14:textId="77777777" w:rsidR="004C4A19" w:rsidRPr="00B3624C" w:rsidRDefault="004C4A19" w:rsidP="004C1192">
      <w:pPr>
        <w:pStyle w:val="List4"/>
        <w:numPr>
          <w:ilvl w:val="6"/>
          <w:numId w:val="85"/>
        </w:numPr>
        <w:ind w:left="539" w:hanging="539"/>
      </w:pPr>
      <w:r w:rsidRPr="00B3624C">
        <w:t>Steam-hoisting engine (portable steam winch);</w:t>
      </w:r>
    </w:p>
    <w:p w14:paraId="3A98F841" w14:textId="77777777" w:rsidR="004C4A19" w:rsidRPr="00B3624C" w:rsidRDefault="004C4A19" w:rsidP="004C1192">
      <w:pPr>
        <w:pStyle w:val="List4"/>
        <w:numPr>
          <w:ilvl w:val="6"/>
          <w:numId w:val="85"/>
        </w:numPr>
        <w:ind w:left="539" w:hanging="539"/>
      </w:pPr>
      <w:r w:rsidRPr="00B3624C">
        <w:t>Brown and May portable steam engine, c1890;</w:t>
      </w:r>
    </w:p>
    <w:p w14:paraId="1978AF88" w14:textId="77777777" w:rsidR="004C4A19" w:rsidRPr="00B3624C" w:rsidRDefault="004C4A19" w:rsidP="004C1192">
      <w:pPr>
        <w:pStyle w:val="List4"/>
        <w:numPr>
          <w:ilvl w:val="6"/>
          <w:numId w:val="85"/>
        </w:numPr>
        <w:ind w:left="539" w:hanging="539"/>
      </w:pPr>
      <w:proofErr w:type="spellStart"/>
      <w:r w:rsidRPr="00B3624C">
        <w:t>Frodsham</w:t>
      </w:r>
      <w:proofErr w:type="spellEnd"/>
      <w:r w:rsidRPr="00B3624C">
        <w:t xml:space="preserve"> Regulator No 1062 (Melbourne Observatory);</w:t>
      </w:r>
    </w:p>
    <w:p w14:paraId="45F2A6AF" w14:textId="77777777" w:rsidR="004C4A19" w:rsidRPr="00B3624C" w:rsidRDefault="004C4A19" w:rsidP="004C1192">
      <w:pPr>
        <w:pStyle w:val="List4"/>
        <w:numPr>
          <w:ilvl w:val="6"/>
          <w:numId w:val="85"/>
        </w:numPr>
        <w:ind w:left="539" w:hanging="539"/>
      </w:pPr>
      <w:r w:rsidRPr="00B3624C">
        <w:t>Ruston Proctor steam traction engine number 42028;</w:t>
      </w:r>
    </w:p>
    <w:p w14:paraId="08F15CD9" w14:textId="77777777" w:rsidR="004C4A19" w:rsidRPr="00B3624C" w:rsidRDefault="004C4A19" w:rsidP="004C1192">
      <w:pPr>
        <w:pStyle w:val="List4"/>
        <w:numPr>
          <w:ilvl w:val="6"/>
          <w:numId w:val="85"/>
        </w:numPr>
        <w:ind w:left="539" w:hanging="539"/>
      </w:pPr>
      <w:r w:rsidRPr="00B3624C">
        <w:t>Thomas Walker steam centre engine;</w:t>
      </w:r>
    </w:p>
    <w:p w14:paraId="2E839912" w14:textId="77777777" w:rsidR="004C4A19" w:rsidRPr="00B3624C" w:rsidRDefault="004C4A19" w:rsidP="004C1192">
      <w:pPr>
        <w:pStyle w:val="List4"/>
        <w:numPr>
          <w:ilvl w:val="6"/>
          <w:numId w:val="85"/>
        </w:numPr>
        <w:ind w:left="539" w:hanging="539"/>
      </w:pPr>
      <w:r w:rsidRPr="00B3624C">
        <w:t xml:space="preserve">DAP Mark 21 </w:t>
      </w:r>
      <w:proofErr w:type="spellStart"/>
      <w:r w:rsidRPr="00B3624C">
        <w:t>Beaufighter</w:t>
      </w:r>
      <w:proofErr w:type="spellEnd"/>
      <w:r w:rsidRPr="00B3624C">
        <w:t>;</w:t>
      </w:r>
    </w:p>
    <w:p w14:paraId="09940FC6" w14:textId="77777777" w:rsidR="004C4A19" w:rsidRPr="00B3624C" w:rsidRDefault="004C4A19" w:rsidP="004C1192">
      <w:pPr>
        <w:pStyle w:val="List4"/>
        <w:numPr>
          <w:ilvl w:val="6"/>
          <w:numId w:val="85"/>
        </w:numPr>
        <w:ind w:left="539" w:hanging="539"/>
      </w:pPr>
      <w:r w:rsidRPr="00B3624C">
        <w:t>Marshall Colonial Class C oil tractor, c.1910;</w:t>
      </w:r>
    </w:p>
    <w:p w14:paraId="102DD64E" w14:textId="77777777" w:rsidR="004C4A19" w:rsidRPr="00B3624C" w:rsidRDefault="004C4A19" w:rsidP="004C1192">
      <w:pPr>
        <w:pStyle w:val="List4"/>
        <w:numPr>
          <w:ilvl w:val="6"/>
          <w:numId w:val="85"/>
        </w:numPr>
        <w:ind w:left="539" w:hanging="539"/>
      </w:pPr>
      <w:r w:rsidRPr="00B3624C">
        <w:t>Swan, an 1884 timber hull motor launch;</w:t>
      </w:r>
    </w:p>
    <w:p w14:paraId="49832ABA" w14:textId="77777777" w:rsidR="004C4A19" w:rsidRPr="00B3624C" w:rsidRDefault="004C4A19" w:rsidP="004C1192">
      <w:pPr>
        <w:pStyle w:val="List4"/>
        <w:numPr>
          <w:ilvl w:val="6"/>
          <w:numId w:val="85"/>
        </w:numPr>
        <w:ind w:left="539" w:hanging="539"/>
      </w:pPr>
      <w:r w:rsidRPr="00B3624C">
        <w:t>International Titan tractor, 1912 serial number 2535;</w:t>
      </w:r>
    </w:p>
    <w:p w14:paraId="480B0AD8" w14:textId="77777777" w:rsidR="004C4A19" w:rsidRPr="00B3624C" w:rsidRDefault="004C4A19" w:rsidP="004C1192">
      <w:pPr>
        <w:pStyle w:val="List4"/>
        <w:numPr>
          <w:ilvl w:val="6"/>
          <w:numId w:val="85"/>
        </w:numPr>
        <w:ind w:left="539" w:hanging="539"/>
      </w:pPr>
      <w:r w:rsidRPr="00B3624C">
        <w:t>Fowler steam traction engine, 1884 works number 4841;</w:t>
      </w:r>
    </w:p>
    <w:p w14:paraId="6AABE22C" w14:textId="77777777" w:rsidR="004C4A19" w:rsidRPr="00B3624C" w:rsidRDefault="004C4A19" w:rsidP="004C1192">
      <w:pPr>
        <w:pStyle w:val="List4"/>
        <w:numPr>
          <w:ilvl w:val="6"/>
          <w:numId w:val="85"/>
        </w:numPr>
        <w:ind w:left="539" w:hanging="539"/>
      </w:pPr>
      <w:r w:rsidRPr="00B3624C">
        <w:t>Lockheed Electra airliner, 1937 serial number 1107;</w:t>
      </w:r>
    </w:p>
    <w:p w14:paraId="5F10ACCA" w14:textId="77777777" w:rsidR="004C4A19" w:rsidRPr="00B3624C" w:rsidRDefault="004C4A19" w:rsidP="004C1192">
      <w:pPr>
        <w:pStyle w:val="List4"/>
        <w:numPr>
          <w:ilvl w:val="6"/>
          <w:numId w:val="85"/>
        </w:numPr>
        <w:ind w:left="539" w:hanging="539"/>
      </w:pPr>
      <w:r w:rsidRPr="00B3624C">
        <w:t>Fowler steam traction engine, 1910 number 12263;</w:t>
      </w:r>
    </w:p>
    <w:p w14:paraId="1DC1B66C" w14:textId="77777777" w:rsidR="004C4A19" w:rsidRPr="00B3624C" w:rsidRDefault="004C4A19" w:rsidP="004C1192">
      <w:pPr>
        <w:pStyle w:val="List4"/>
        <w:numPr>
          <w:ilvl w:val="6"/>
          <w:numId w:val="85"/>
        </w:numPr>
        <w:ind w:left="539" w:hanging="539"/>
      </w:pPr>
      <w:r w:rsidRPr="00B3624C">
        <w:t>McLaren steam traction engine, 1905 works number 705;</w:t>
      </w:r>
    </w:p>
    <w:p w14:paraId="2B801C6F" w14:textId="77777777" w:rsidR="004C4A19" w:rsidRPr="00B3624C" w:rsidRDefault="004C4A19" w:rsidP="004C1192">
      <w:pPr>
        <w:pStyle w:val="List4"/>
        <w:numPr>
          <w:ilvl w:val="6"/>
          <w:numId w:val="85"/>
        </w:numPr>
        <w:ind w:left="539" w:hanging="539"/>
      </w:pPr>
      <w:r w:rsidRPr="00B3624C">
        <w:t>Kelly and Lewis stationary motor, c1951 serial number 6477;</w:t>
      </w:r>
    </w:p>
    <w:p w14:paraId="6CCFA7F0" w14:textId="77777777" w:rsidR="004C4A19" w:rsidRPr="00B3624C" w:rsidRDefault="004C4A19" w:rsidP="004C1192">
      <w:pPr>
        <w:pStyle w:val="List4"/>
        <w:numPr>
          <w:ilvl w:val="6"/>
          <w:numId w:val="85"/>
        </w:numPr>
        <w:ind w:left="539" w:hanging="539"/>
      </w:pPr>
      <w:proofErr w:type="spellStart"/>
      <w:r w:rsidRPr="00B3624C">
        <w:t>Foden</w:t>
      </w:r>
      <w:proofErr w:type="spellEnd"/>
      <w:r w:rsidRPr="00B3624C">
        <w:t xml:space="preserve"> steam wagon, 1920 works number 9734;</w:t>
      </w:r>
    </w:p>
    <w:p w14:paraId="756A8551" w14:textId="667DA468" w:rsidR="004C4A19" w:rsidRPr="00B3624C" w:rsidRDefault="004C4A19" w:rsidP="004C1192">
      <w:pPr>
        <w:pStyle w:val="List4"/>
        <w:numPr>
          <w:ilvl w:val="6"/>
          <w:numId w:val="85"/>
        </w:numPr>
        <w:ind w:left="539" w:hanging="539"/>
      </w:pPr>
      <w:r w:rsidRPr="00B3624C">
        <w:t xml:space="preserve">1923 </w:t>
      </w:r>
      <w:proofErr w:type="spellStart"/>
      <w:r w:rsidRPr="00B3624C">
        <w:t>Foden</w:t>
      </w:r>
      <w:proofErr w:type="spellEnd"/>
      <w:r w:rsidRPr="00B3624C">
        <w:t xml:space="preserve"> 'C' type steam wagon</w:t>
      </w:r>
      <w:r w:rsidR="00801A32">
        <w:t>—</w:t>
      </w:r>
      <w:r w:rsidRPr="00B3624C">
        <w:t>six ton, double crank compound; works number 10972;</w:t>
      </w:r>
    </w:p>
    <w:p w14:paraId="12895A42" w14:textId="77777777" w:rsidR="004C4A19" w:rsidRPr="00B3624C" w:rsidRDefault="004C4A19" w:rsidP="004C1192">
      <w:pPr>
        <w:pStyle w:val="List4"/>
        <w:numPr>
          <w:ilvl w:val="6"/>
          <w:numId w:val="85"/>
        </w:numPr>
        <w:ind w:left="539" w:hanging="539"/>
      </w:pPr>
      <w:r w:rsidRPr="00B3624C">
        <w:t>Marshall double-crank-compound, steam road locomotive engine, c1913, serial number 62575;</w:t>
      </w:r>
    </w:p>
    <w:p w14:paraId="3A5843C2" w14:textId="77777777" w:rsidR="004C4A19" w:rsidRPr="00B3624C" w:rsidRDefault="004C4A19" w:rsidP="004C1192">
      <w:pPr>
        <w:pStyle w:val="List4"/>
        <w:numPr>
          <w:ilvl w:val="6"/>
          <w:numId w:val="85"/>
        </w:numPr>
        <w:ind w:left="539" w:hanging="539"/>
      </w:pPr>
      <w:r w:rsidRPr="00B3624C">
        <w:t>Fowler single-cylinder, two-speed, stump puller engine, c1920, serial number 15722;</w:t>
      </w:r>
    </w:p>
    <w:p w14:paraId="672C42A4" w14:textId="77777777" w:rsidR="004C4A19" w:rsidRPr="00B3624C" w:rsidRDefault="004C4A19" w:rsidP="004C1192">
      <w:pPr>
        <w:pStyle w:val="List4"/>
        <w:numPr>
          <w:ilvl w:val="6"/>
          <w:numId w:val="85"/>
        </w:numPr>
        <w:ind w:left="539" w:hanging="539"/>
      </w:pPr>
      <w:r w:rsidRPr="00B3624C">
        <w:t>McLaren double-crank-compound, two-speed, superheated, direct ploughing traction engine, c1917, serial number 1506;</w:t>
      </w:r>
    </w:p>
    <w:p w14:paraId="28056D43" w14:textId="77777777" w:rsidR="004C4A19" w:rsidRPr="00B3624C" w:rsidRDefault="004C4A19" w:rsidP="004C1192">
      <w:pPr>
        <w:pStyle w:val="List4"/>
        <w:numPr>
          <w:ilvl w:val="6"/>
          <w:numId w:val="85"/>
        </w:numPr>
        <w:ind w:left="539" w:hanging="539"/>
      </w:pPr>
      <w:r w:rsidRPr="00B3624C">
        <w:lastRenderedPageBreak/>
        <w:t>Marshall single-cylinder, one-speed, No.1A 'Gainsborough' light traction engine, 1909, serial number 52110;</w:t>
      </w:r>
    </w:p>
    <w:p w14:paraId="733D7B74" w14:textId="77777777" w:rsidR="004C4A19" w:rsidRPr="00B3624C" w:rsidRDefault="004C4A19" w:rsidP="004C1192">
      <w:pPr>
        <w:pStyle w:val="List4"/>
        <w:numPr>
          <w:ilvl w:val="6"/>
          <w:numId w:val="85"/>
        </w:numPr>
        <w:ind w:left="539" w:hanging="539"/>
      </w:pPr>
      <w:r w:rsidRPr="00B3624C">
        <w:t>Marshall double-crank-compound, steam road locomotive engine, 1914, serial number 65715;</w:t>
      </w:r>
    </w:p>
    <w:p w14:paraId="18B6025C" w14:textId="77777777" w:rsidR="004C4A19" w:rsidRPr="00B3624C" w:rsidRDefault="004C4A19" w:rsidP="004C1192">
      <w:pPr>
        <w:pStyle w:val="List4"/>
        <w:numPr>
          <w:ilvl w:val="6"/>
          <w:numId w:val="85"/>
        </w:numPr>
        <w:ind w:left="539" w:hanging="539"/>
      </w:pPr>
      <w:r w:rsidRPr="00B3624C">
        <w:t xml:space="preserve">Single-cylinder semi-portable steam engine, manufactured by J </w:t>
      </w:r>
      <w:proofErr w:type="spellStart"/>
      <w:r w:rsidRPr="00B3624C">
        <w:t>J</w:t>
      </w:r>
      <w:proofErr w:type="spellEnd"/>
      <w:r w:rsidRPr="00B3624C">
        <w:t xml:space="preserve"> </w:t>
      </w:r>
      <w:proofErr w:type="spellStart"/>
      <w:r w:rsidRPr="00B3624C">
        <w:t>Seekings</w:t>
      </w:r>
      <w:proofErr w:type="spellEnd"/>
      <w:r w:rsidRPr="00B3624C">
        <w:t xml:space="preserve"> &amp; Co, Gloucester, England, c1870s;</w:t>
      </w:r>
    </w:p>
    <w:p w14:paraId="19854895" w14:textId="77777777" w:rsidR="004C4A19" w:rsidRPr="00B3624C" w:rsidRDefault="004C4A19" w:rsidP="004C1192">
      <w:pPr>
        <w:pStyle w:val="List4"/>
        <w:numPr>
          <w:ilvl w:val="6"/>
          <w:numId w:val="85"/>
        </w:numPr>
        <w:ind w:left="539" w:hanging="539"/>
      </w:pPr>
      <w:r w:rsidRPr="00B3624C">
        <w:t>Moore Road Machinery diesel locomotive GT-122-DH-1, c1956;</w:t>
      </w:r>
    </w:p>
    <w:p w14:paraId="293E48B5" w14:textId="77777777" w:rsidR="004C4A19" w:rsidRPr="00B3624C" w:rsidRDefault="004C4A19" w:rsidP="004C1192">
      <w:pPr>
        <w:pStyle w:val="List4"/>
        <w:numPr>
          <w:ilvl w:val="6"/>
          <w:numId w:val="85"/>
        </w:numPr>
        <w:ind w:left="539" w:hanging="539"/>
      </w:pPr>
      <w:r w:rsidRPr="00B3624C">
        <w:t>McLaren 8HP steam traction engine, 1887 works number 298.</w:t>
      </w:r>
    </w:p>
    <w:p w14:paraId="05AD59EB" w14:textId="446D53C5" w:rsidR="003B4493" w:rsidRPr="00F238FE" w:rsidRDefault="003B4493" w:rsidP="00525F38">
      <w:pPr>
        <w:pStyle w:val="Heading4"/>
      </w:pPr>
      <w:r w:rsidRPr="00F238FE">
        <w:t>New Part 4.4</w:t>
      </w:r>
      <w:r w:rsidR="00801A32">
        <w:t>—</w:t>
      </w:r>
      <w:r w:rsidRPr="00F238FE">
        <w:t>Numismatic Material</w:t>
      </w:r>
    </w:p>
    <w:p w14:paraId="665F47A3" w14:textId="77777777" w:rsidR="003B4493" w:rsidRPr="00B3624C" w:rsidRDefault="003B4493" w:rsidP="00E5299D">
      <w:pPr>
        <w:pStyle w:val="List"/>
        <w:numPr>
          <w:ilvl w:val="3"/>
          <w:numId w:val="114"/>
        </w:numPr>
      </w:pPr>
      <w:r w:rsidRPr="00F12F22">
        <w:t>Numismatic Material</w:t>
      </w:r>
      <w:r w:rsidRPr="00B3624C">
        <w:t xml:space="preserve"> is:</w:t>
      </w:r>
    </w:p>
    <w:p w14:paraId="704C2C0D" w14:textId="32120BEB" w:rsidR="003B4493" w:rsidRPr="00B3624C" w:rsidRDefault="003B4493" w:rsidP="00E5299D">
      <w:pPr>
        <w:pStyle w:val="List2"/>
        <w:numPr>
          <w:ilvl w:val="4"/>
          <w:numId w:val="114"/>
        </w:numPr>
        <w:ind w:left="1134" w:hanging="567"/>
      </w:pPr>
      <w:r w:rsidRPr="00B3624C">
        <w:t xml:space="preserve">a badge, token, </w:t>
      </w:r>
      <w:r>
        <w:t xml:space="preserve">historical medal, </w:t>
      </w:r>
      <w:r w:rsidRPr="00B3624C">
        <w:t>coin or paper money</w:t>
      </w:r>
      <w:r>
        <w:t xml:space="preserve"> includin</w:t>
      </w:r>
      <w:r w:rsidR="00B04D5D">
        <w:t>g</w:t>
      </w:r>
      <w:r w:rsidRPr="00B3624C">
        <w:t xml:space="preserve"> pattern, proof or specimen striking; and</w:t>
      </w:r>
    </w:p>
    <w:p w14:paraId="3542E7E2" w14:textId="77777777" w:rsidR="003B4493" w:rsidRPr="00B3624C" w:rsidRDefault="003B4493" w:rsidP="00E5299D">
      <w:pPr>
        <w:pStyle w:val="List2"/>
        <w:numPr>
          <w:ilvl w:val="4"/>
          <w:numId w:val="114"/>
        </w:numPr>
        <w:ind w:left="1134" w:hanging="567"/>
      </w:pPr>
      <w:r w:rsidRPr="00B3624C">
        <w:t xml:space="preserve">any </w:t>
      </w:r>
      <w:r>
        <w:t>civil or military medal or other decoration</w:t>
      </w:r>
      <w:r w:rsidRPr="00B3624C">
        <w:t xml:space="preserve"> (other than a campaign medal), awarded to a person:</w:t>
      </w:r>
    </w:p>
    <w:p w14:paraId="62C69800" w14:textId="77777777" w:rsidR="003B4493" w:rsidRPr="00B3624C" w:rsidRDefault="003B4493" w:rsidP="00E5299D">
      <w:pPr>
        <w:pStyle w:val="List3"/>
        <w:numPr>
          <w:ilvl w:val="5"/>
          <w:numId w:val="114"/>
        </w:numPr>
        <w:ind w:left="1701" w:hanging="567"/>
      </w:pPr>
      <w:r w:rsidRPr="00B3624C">
        <w:t>ordinarily resident in Australia at the time of the award; or</w:t>
      </w:r>
    </w:p>
    <w:p w14:paraId="77C21C1A" w14:textId="5D2321CB" w:rsidR="003B4493" w:rsidRPr="00B3624C" w:rsidRDefault="003B4493" w:rsidP="00E5299D">
      <w:pPr>
        <w:pStyle w:val="List3"/>
        <w:numPr>
          <w:ilvl w:val="5"/>
          <w:numId w:val="114"/>
        </w:numPr>
        <w:ind w:left="1701" w:hanging="567"/>
      </w:pPr>
      <w:r w:rsidRPr="00B3624C">
        <w:t>for a posthumous award</w:t>
      </w:r>
      <w:r w:rsidR="00AA7153">
        <w:t>—</w:t>
      </w:r>
      <w:r w:rsidRPr="00B3624C">
        <w:t>ordinarily resident in Australia at the time of the service or circumstance to which the award relates; and</w:t>
      </w:r>
    </w:p>
    <w:p w14:paraId="6CBD050F" w14:textId="77777777" w:rsidR="003B4493" w:rsidRDefault="003B4493" w:rsidP="00E5299D">
      <w:pPr>
        <w:pStyle w:val="List2"/>
        <w:numPr>
          <w:ilvl w:val="4"/>
          <w:numId w:val="114"/>
        </w:numPr>
        <w:ind w:left="1134" w:hanging="567"/>
      </w:pPr>
      <w:proofErr w:type="gramStart"/>
      <w:r w:rsidRPr="00B3624C">
        <w:t>any</w:t>
      </w:r>
      <w:proofErr w:type="gramEnd"/>
      <w:r w:rsidRPr="00B3624C">
        <w:t xml:space="preserve"> citation or other document, or insignia, relating to a medal or decoration mentioned </w:t>
      </w:r>
      <w:r>
        <w:t>in (b) above.</w:t>
      </w:r>
    </w:p>
    <w:p w14:paraId="2A77F4C8" w14:textId="45D2AE7E" w:rsidR="003B4493" w:rsidRPr="00B3624C" w:rsidRDefault="003B4493" w:rsidP="00E5299D">
      <w:pPr>
        <w:pStyle w:val="List"/>
        <w:numPr>
          <w:ilvl w:val="3"/>
          <w:numId w:val="114"/>
        </w:numPr>
      </w:pPr>
      <w:r w:rsidRPr="00B3624C">
        <w:t>Numismatic Material is Australian Heritage Material if it</w:t>
      </w:r>
      <w:r w:rsidR="00F54575">
        <w:t xml:space="preserve"> is</w:t>
      </w:r>
      <w:r w:rsidRPr="00B3624C">
        <w:t>:</w:t>
      </w:r>
    </w:p>
    <w:p w14:paraId="56F65886" w14:textId="77777777" w:rsidR="003B4493" w:rsidRPr="00B3624C" w:rsidRDefault="003B4493" w:rsidP="00E5299D">
      <w:pPr>
        <w:pStyle w:val="List2"/>
        <w:numPr>
          <w:ilvl w:val="4"/>
          <w:numId w:val="114"/>
        </w:numPr>
        <w:ind w:left="1134" w:hanging="567"/>
      </w:pPr>
      <w:r w:rsidRPr="00B3624C">
        <w:t>Australia-related; and</w:t>
      </w:r>
    </w:p>
    <w:p w14:paraId="43AEEB8A" w14:textId="77777777" w:rsidR="003B4493" w:rsidRPr="00B3624C" w:rsidRDefault="003B4493" w:rsidP="00E5299D">
      <w:pPr>
        <w:pStyle w:val="List2"/>
        <w:numPr>
          <w:ilvl w:val="4"/>
          <w:numId w:val="114"/>
        </w:numPr>
        <w:ind w:left="1134" w:hanging="567"/>
      </w:pPr>
      <w:r w:rsidRPr="00B3624C">
        <w:t xml:space="preserve">if it is material within (a) or (b) above, is more than 50 years old </w:t>
      </w:r>
      <w:r>
        <w:t>(t</w:t>
      </w:r>
      <w:r w:rsidRPr="00B3624C">
        <w:t>here is no age criterion for (c)</w:t>
      </w:r>
      <w:r>
        <w:t>)</w:t>
      </w:r>
      <w:r w:rsidRPr="00B3624C">
        <w:t>; and</w:t>
      </w:r>
    </w:p>
    <w:p w14:paraId="288EE553" w14:textId="745BD736" w:rsidR="003B4493" w:rsidRDefault="003B4493" w:rsidP="00E5299D">
      <w:pPr>
        <w:pStyle w:val="List2"/>
        <w:numPr>
          <w:ilvl w:val="4"/>
          <w:numId w:val="114"/>
        </w:numPr>
        <w:ind w:left="1134" w:hanging="567"/>
      </w:pPr>
      <w:r w:rsidRPr="00B3624C">
        <w:t xml:space="preserve">has a current market value of </w:t>
      </w:r>
      <w:r w:rsidR="00220B45">
        <w:t>at least</w:t>
      </w:r>
      <w:r w:rsidRPr="00B3624C">
        <w:t xml:space="preserve"> $15,000</w:t>
      </w:r>
      <w:r>
        <w:t>; or</w:t>
      </w:r>
    </w:p>
    <w:p w14:paraId="55DD54C1" w14:textId="77777777" w:rsidR="000B6292" w:rsidRDefault="003B4493" w:rsidP="00E5299D">
      <w:pPr>
        <w:pStyle w:val="List2"/>
        <w:numPr>
          <w:ilvl w:val="4"/>
          <w:numId w:val="114"/>
        </w:numPr>
        <w:ind w:left="1134" w:hanging="567"/>
      </w:pPr>
      <w:proofErr w:type="gramStart"/>
      <w:r w:rsidRPr="00B3624C">
        <w:t>irrespective</w:t>
      </w:r>
      <w:proofErr w:type="gramEnd"/>
      <w:r w:rsidRPr="00B3624C">
        <w:t xml:space="preserve"> of </w:t>
      </w:r>
      <w:r>
        <w:t>age or value</w:t>
      </w:r>
      <w:r w:rsidRPr="00B3624C">
        <w:t xml:space="preserve"> </w:t>
      </w:r>
      <w:r w:rsidR="00F54575">
        <w:t>criterion</w:t>
      </w:r>
      <w:r>
        <w:t xml:space="preserve">, is </w:t>
      </w:r>
      <w:r w:rsidRPr="00B3624C">
        <w:t xml:space="preserve">declared by the Minister to be Australian </w:t>
      </w:r>
      <w:r>
        <w:t>Heritage</w:t>
      </w:r>
      <w:r w:rsidRPr="00B3624C">
        <w:t xml:space="preserve"> Material.</w:t>
      </w:r>
    </w:p>
    <w:p w14:paraId="4C4021F1" w14:textId="27095C3D" w:rsidR="00AA7153" w:rsidRDefault="003B4493" w:rsidP="00E5299D">
      <w:pPr>
        <w:pStyle w:val="List2"/>
        <w:numPr>
          <w:ilvl w:val="4"/>
          <w:numId w:val="114"/>
        </w:numPr>
        <w:ind w:left="1134" w:hanging="567"/>
      </w:pPr>
      <w:r w:rsidRPr="00B3624C">
        <w:t>Numismatic Material is Australian Protected Material if it is Australian Heritage Material and:</w:t>
      </w:r>
    </w:p>
    <w:p w14:paraId="14FBE0E0" w14:textId="77777777" w:rsidR="00AA7153" w:rsidRDefault="003B4493" w:rsidP="00E5299D">
      <w:pPr>
        <w:pStyle w:val="List2"/>
        <w:numPr>
          <w:ilvl w:val="4"/>
          <w:numId w:val="114"/>
        </w:numPr>
        <w:ind w:left="1134" w:hanging="567"/>
      </w:pPr>
      <w:r w:rsidRPr="00F238FE">
        <w:t>is permitted to leave the country on the basis of a temporary export permit; or</w:t>
      </w:r>
    </w:p>
    <w:p w14:paraId="5DBA8CDD" w14:textId="5362EBC6" w:rsidR="003B4493" w:rsidRDefault="003B4493" w:rsidP="00E5299D">
      <w:pPr>
        <w:pStyle w:val="List2"/>
        <w:numPr>
          <w:ilvl w:val="4"/>
          <w:numId w:val="114"/>
        </w:numPr>
        <w:ind w:left="1134" w:hanging="567"/>
      </w:pPr>
      <w:r w:rsidRPr="00F238FE">
        <w:lastRenderedPageBreak/>
        <w:t xml:space="preserve">has been formally assessed and found to be significant and not adequately represented in </w:t>
      </w:r>
      <w:r>
        <w:t xml:space="preserve">Australian </w:t>
      </w:r>
      <w:r w:rsidRPr="00F238FE">
        <w:t>public collections</w:t>
      </w:r>
      <w:r>
        <w:t>; or</w:t>
      </w:r>
    </w:p>
    <w:p w14:paraId="58BAE595" w14:textId="77777777" w:rsidR="003B4493" w:rsidRPr="00F238FE" w:rsidRDefault="003B4493" w:rsidP="00E5299D">
      <w:pPr>
        <w:pStyle w:val="List2"/>
        <w:numPr>
          <w:ilvl w:val="4"/>
          <w:numId w:val="114"/>
        </w:numPr>
        <w:ind w:left="1134" w:hanging="567"/>
      </w:pPr>
      <w:proofErr w:type="gramStart"/>
      <w:r w:rsidRPr="00B3624C">
        <w:t>irrespective</w:t>
      </w:r>
      <w:proofErr w:type="gramEnd"/>
      <w:r w:rsidRPr="00B3624C">
        <w:t xml:space="preserve"> of </w:t>
      </w:r>
      <w:r>
        <w:t>age or value</w:t>
      </w:r>
      <w:r w:rsidRPr="00B3624C">
        <w:t xml:space="preserve"> </w:t>
      </w:r>
      <w:r>
        <w:t xml:space="preserve">criteria, is </w:t>
      </w:r>
      <w:r w:rsidRPr="00B3624C">
        <w:t>declared by the Minister to be Australian Protected Material</w:t>
      </w:r>
      <w:r w:rsidRPr="00F238FE">
        <w:t>.</w:t>
      </w:r>
    </w:p>
    <w:p w14:paraId="1506632B" w14:textId="77777777" w:rsidR="003B4493" w:rsidRPr="00B3624C" w:rsidRDefault="003B4493" w:rsidP="00E5299D">
      <w:pPr>
        <w:pStyle w:val="List"/>
        <w:numPr>
          <w:ilvl w:val="3"/>
          <w:numId w:val="114"/>
        </w:numPr>
      </w:pPr>
      <w:r w:rsidRPr="00B3624C">
        <w:t>Numismatic Material is Declared Australian Protected Material if it is:</w:t>
      </w:r>
    </w:p>
    <w:p w14:paraId="31171A86" w14:textId="2F1080D9" w:rsidR="003B4493" w:rsidRPr="00F238FE" w:rsidRDefault="003B4493" w:rsidP="00E5299D">
      <w:pPr>
        <w:pStyle w:val="List2"/>
        <w:numPr>
          <w:ilvl w:val="4"/>
          <w:numId w:val="114"/>
        </w:numPr>
        <w:ind w:left="1134" w:hanging="567"/>
      </w:pPr>
      <w:r>
        <w:t>a</w:t>
      </w:r>
      <w:r w:rsidRPr="00F238FE">
        <w:t xml:space="preserve"> Victoria Cross awarded to </w:t>
      </w:r>
      <w:r w:rsidR="00220B45">
        <w:t xml:space="preserve">an </w:t>
      </w:r>
      <w:r w:rsidRPr="00F238FE">
        <w:t xml:space="preserve">Australian citizen or to </w:t>
      </w:r>
      <w:r w:rsidR="00220B45">
        <w:t xml:space="preserve">a </w:t>
      </w:r>
      <w:r w:rsidRPr="00F238FE">
        <w:t>soldier fighting in or with an Australian force;</w:t>
      </w:r>
      <w:r w:rsidR="00F54575">
        <w:t xml:space="preserve"> or</w:t>
      </w:r>
    </w:p>
    <w:p w14:paraId="5E615F78" w14:textId="5EEA4006" w:rsidR="003B4493" w:rsidRPr="00F238FE" w:rsidRDefault="003B4493" w:rsidP="00E5299D">
      <w:pPr>
        <w:pStyle w:val="List2"/>
        <w:numPr>
          <w:ilvl w:val="4"/>
          <w:numId w:val="114"/>
        </w:numPr>
        <w:ind w:left="1134" w:hanging="567"/>
      </w:pPr>
      <w:r w:rsidRPr="00F238FE">
        <w:t>a Victoria Cross for Australia;</w:t>
      </w:r>
      <w:r w:rsidR="00F54575">
        <w:t xml:space="preserve"> or</w:t>
      </w:r>
    </w:p>
    <w:p w14:paraId="589861CC" w14:textId="5BA703D7" w:rsidR="003B4493" w:rsidRPr="00F238FE" w:rsidRDefault="003B4493" w:rsidP="00E5299D">
      <w:pPr>
        <w:pStyle w:val="List2"/>
        <w:numPr>
          <w:ilvl w:val="4"/>
          <w:numId w:val="114"/>
        </w:numPr>
        <w:ind w:left="1134" w:hanging="567"/>
      </w:pPr>
      <w:r w:rsidRPr="00F238FE">
        <w:t xml:space="preserve">a George Cross; </w:t>
      </w:r>
      <w:r w:rsidR="00F54575">
        <w:t>or</w:t>
      </w:r>
    </w:p>
    <w:p w14:paraId="68ECBBD4" w14:textId="2BB95A3A" w:rsidR="003B4493" w:rsidRPr="00F238FE" w:rsidRDefault="00F54575" w:rsidP="00E5299D">
      <w:pPr>
        <w:pStyle w:val="List2"/>
        <w:numPr>
          <w:ilvl w:val="4"/>
          <w:numId w:val="114"/>
        </w:numPr>
        <w:ind w:left="1134" w:hanging="567"/>
      </w:pPr>
      <w:r>
        <w:t>a Cross of Valour; or</w:t>
      </w:r>
    </w:p>
    <w:p w14:paraId="5CEEA35C" w14:textId="00C71E0B" w:rsidR="003B4493" w:rsidRPr="00F238FE" w:rsidRDefault="003B4493" w:rsidP="00E5299D">
      <w:pPr>
        <w:pStyle w:val="List2"/>
        <w:numPr>
          <w:ilvl w:val="4"/>
          <w:numId w:val="114"/>
        </w:numPr>
        <w:ind w:left="1134" w:hanging="567"/>
      </w:pPr>
      <w:r w:rsidRPr="00F238FE">
        <w:t>an insignia of the Dames and Knights of the Order of Australia and the Companion of the Order of Australia;</w:t>
      </w:r>
      <w:r w:rsidR="00F54575">
        <w:t xml:space="preserve"> or</w:t>
      </w:r>
    </w:p>
    <w:p w14:paraId="49FDD71D" w14:textId="77777777" w:rsidR="003B4493" w:rsidRPr="00F238FE" w:rsidRDefault="003B4493" w:rsidP="00E5299D">
      <w:pPr>
        <w:pStyle w:val="List2"/>
        <w:numPr>
          <w:ilvl w:val="4"/>
          <w:numId w:val="114"/>
        </w:numPr>
        <w:ind w:left="1134" w:hanging="567"/>
      </w:pPr>
      <w:r w:rsidRPr="00B3624C">
        <w:t xml:space="preserve">irrespective of </w:t>
      </w:r>
      <w:r>
        <w:t>age or value</w:t>
      </w:r>
      <w:r w:rsidRPr="00B3624C">
        <w:t xml:space="preserve"> </w:t>
      </w:r>
      <w:r>
        <w:t xml:space="preserve">criteria, </w:t>
      </w:r>
      <w:r w:rsidRPr="00B3624C">
        <w:t xml:space="preserve">declared by the Minister to be </w:t>
      </w:r>
      <w:r>
        <w:t xml:space="preserve">Declared </w:t>
      </w:r>
      <w:r w:rsidRPr="00B3624C">
        <w:t>Australian Protected Material</w:t>
      </w:r>
      <w:r w:rsidRPr="00F238FE">
        <w:t>; or</w:t>
      </w:r>
    </w:p>
    <w:p w14:paraId="692E1A3C" w14:textId="77777777" w:rsidR="00AA7153" w:rsidRDefault="003B4493" w:rsidP="00E5299D">
      <w:pPr>
        <w:pStyle w:val="List2"/>
        <w:numPr>
          <w:ilvl w:val="4"/>
          <w:numId w:val="114"/>
        </w:numPr>
        <w:ind w:left="1134" w:hanging="567"/>
      </w:pPr>
      <w:proofErr w:type="gramStart"/>
      <w:r w:rsidRPr="00F238FE">
        <w:t>denied</w:t>
      </w:r>
      <w:proofErr w:type="gramEnd"/>
      <w:r w:rsidRPr="00F238FE">
        <w:t xml:space="preserve"> permanent export permission under the Act.</w:t>
      </w:r>
    </w:p>
    <w:p w14:paraId="4FA48239" w14:textId="1DEEB1F7" w:rsidR="00E2435E" w:rsidRDefault="00E2435E" w:rsidP="00E2435E">
      <w:pPr>
        <w:pStyle w:val="List2"/>
        <w:ind w:firstLine="0"/>
      </w:pPr>
    </w:p>
    <w:p w14:paraId="35799758" w14:textId="272BC473" w:rsidR="00AA7153" w:rsidRDefault="003B4493" w:rsidP="00E5299D">
      <w:pPr>
        <w:pStyle w:val="List"/>
        <w:numPr>
          <w:ilvl w:val="3"/>
          <w:numId w:val="114"/>
        </w:numPr>
      </w:pPr>
      <w:r w:rsidRPr="00B3624C">
        <w:t xml:space="preserve">Notwithstanding that a </w:t>
      </w:r>
      <w:r>
        <w:t xml:space="preserve">civil or military </w:t>
      </w:r>
      <w:r w:rsidRPr="00B3624C">
        <w:t xml:space="preserve">medal or other decoration is Australian Heritage Material, Australian Protected Material or Declared Australian Protected Material, it may be temporarily exported without </w:t>
      </w:r>
      <w:r w:rsidR="00220B45">
        <w:t xml:space="preserve">a </w:t>
      </w:r>
      <w:r w:rsidRPr="00B3624C">
        <w:t>permit by the person to whom the award was made (or in the case of a posthumous award</w:t>
      </w:r>
      <w:r w:rsidR="00801A32">
        <w:t>—</w:t>
      </w:r>
      <w:r w:rsidRPr="00B3624C">
        <w:t>by the awardee’s next of kin).</w:t>
      </w:r>
    </w:p>
    <w:p w14:paraId="38385356" w14:textId="28B150E8" w:rsidR="004D4297" w:rsidRPr="00F54575" w:rsidRDefault="004D4297" w:rsidP="004D4297">
      <w:pPr>
        <w:pStyle w:val="Subtitle"/>
      </w:pPr>
      <w:r w:rsidRPr="00F54575">
        <w:t>Material denied permanent export permission under the Act</w:t>
      </w:r>
    </w:p>
    <w:p w14:paraId="63E1ED4C" w14:textId="77777777" w:rsidR="004D4297" w:rsidRPr="00F238FE" w:rsidRDefault="004D4297" w:rsidP="00E5299D">
      <w:pPr>
        <w:pStyle w:val="List3"/>
        <w:numPr>
          <w:ilvl w:val="5"/>
          <w:numId w:val="102"/>
        </w:numPr>
        <w:ind w:left="567" w:hanging="567"/>
      </w:pPr>
      <w:r w:rsidRPr="00F238FE">
        <w:t>the George Gosse GC RANVR medal group;</w:t>
      </w:r>
    </w:p>
    <w:p w14:paraId="6D595B64" w14:textId="77777777" w:rsidR="004D4297" w:rsidRDefault="004D4297" w:rsidP="00E5299D">
      <w:pPr>
        <w:pStyle w:val="List3"/>
        <w:numPr>
          <w:ilvl w:val="5"/>
          <w:numId w:val="102"/>
        </w:numPr>
        <w:ind w:left="567" w:hanging="567"/>
      </w:pPr>
      <w:proofErr w:type="gramStart"/>
      <w:r w:rsidRPr="00F238FE">
        <w:t>the</w:t>
      </w:r>
      <w:proofErr w:type="gramEnd"/>
      <w:r w:rsidRPr="00F238FE">
        <w:t xml:space="preserve"> Victoria Cross medal group awarded to E T Towner VC.</w:t>
      </w:r>
    </w:p>
    <w:p w14:paraId="551C2B6B" w14:textId="77777777" w:rsidR="00220B45" w:rsidRPr="00F238FE" w:rsidRDefault="00220B45" w:rsidP="00220B45">
      <w:pPr>
        <w:pStyle w:val="List3"/>
        <w:ind w:left="567" w:firstLine="0"/>
      </w:pPr>
    </w:p>
    <w:p w14:paraId="62F650B5" w14:textId="574EE623" w:rsidR="003B4493" w:rsidRPr="00F238FE" w:rsidRDefault="003B4493" w:rsidP="00525F38">
      <w:pPr>
        <w:pStyle w:val="Heading4"/>
      </w:pPr>
      <w:r w:rsidRPr="00F238FE">
        <w:t>New Part 4.5</w:t>
      </w:r>
      <w:r w:rsidR="00801A32">
        <w:t>—</w:t>
      </w:r>
      <w:r w:rsidRPr="00F238FE">
        <w:t>Philatelic Material</w:t>
      </w:r>
    </w:p>
    <w:p w14:paraId="1E831CED" w14:textId="1F9CD88A" w:rsidR="003B4493" w:rsidRPr="00B3624C" w:rsidRDefault="00F54575" w:rsidP="00E5299D">
      <w:pPr>
        <w:pStyle w:val="List"/>
        <w:numPr>
          <w:ilvl w:val="3"/>
          <w:numId w:val="115"/>
        </w:numPr>
      </w:pPr>
      <w:r>
        <w:t>Philatelic Material i</w:t>
      </w:r>
      <w:r w:rsidR="003B4493" w:rsidRPr="00B3624C">
        <w:t>s:</w:t>
      </w:r>
    </w:p>
    <w:p w14:paraId="26F97C87" w14:textId="622B5A75" w:rsidR="003B4493" w:rsidRPr="00B3624C" w:rsidRDefault="003B4493" w:rsidP="00E5299D">
      <w:pPr>
        <w:pStyle w:val="List2"/>
        <w:numPr>
          <w:ilvl w:val="4"/>
          <w:numId w:val="115"/>
        </w:numPr>
      </w:pPr>
      <w:r w:rsidRPr="00B3624C">
        <w:t xml:space="preserve">a postal marking, </w:t>
      </w:r>
      <w:r w:rsidR="00F54575">
        <w:t>or postage or revenue stamp;</w:t>
      </w:r>
    </w:p>
    <w:p w14:paraId="4C2B0502" w14:textId="1666BF73" w:rsidR="003B4493" w:rsidRPr="00B3624C" w:rsidRDefault="003B4493" w:rsidP="00E5299D">
      <w:pPr>
        <w:pStyle w:val="List2"/>
        <w:numPr>
          <w:ilvl w:val="4"/>
          <w:numId w:val="115"/>
        </w:numPr>
      </w:pPr>
      <w:r w:rsidRPr="00B3624C">
        <w:t>any material used in the design, production, us</w:t>
      </w:r>
      <w:r w:rsidR="00F54575">
        <w:t>age or collection of stamps;</w:t>
      </w:r>
    </w:p>
    <w:p w14:paraId="386E6774" w14:textId="77777777" w:rsidR="00AA7153" w:rsidRDefault="003B4493" w:rsidP="00E5299D">
      <w:pPr>
        <w:pStyle w:val="List2"/>
        <w:numPr>
          <w:ilvl w:val="4"/>
          <w:numId w:val="115"/>
        </w:numPr>
      </w:pPr>
      <w:proofErr w:type="gramStart"/>
      <w:r w:rsidRPr="00B3624C">
        <w:t>a</w:t>
      </w:r>
      <w:proofErr w:type="gramEnd"/>
      <w:r w:rsidRPr="00B3624C">
        <w:t xml:space="preserve"> stamp collection.</w:t>
      </w:r>
    </w:p>
    <w:p w14:paraId="2F4458FE" w14:textId="14AFD440" w:rsidR="003B4493" w:rsidRPr="00B3624C" w:rsidRDefault="003B4493" w:rsidP="00E5299D">
      <w:pPr>
        <w:pStyle w:val="List"/>
        <w:numPr>
          <w:ilvl w:val="3"/>
          <w:numId w:val="115"/>
        </w:numPr>
      </w:pPr>
      <w:r w:rsidRPr="00B3624C">
        <w:lastRenderedPageBreak/>
        <w:t>Philatelic Material is Australian Heritage Material if it</w:t>
      </w:r>
      <w:r w:rsidR="00F54575">
        <w:t xml:space="preserve"> is</w:t>
      </w:r>
      <w:r w:rsidRPr="00B3624C">
        <w:t>:</w:t>
      </w:r>
    </w:p>
    <w:p w14:paraId="6C16E495" w14:textId="34BA9831" w:rsidR="003B4493" w:rsidRPr="00B3624C" w:rsidRDefault="003B4493" w:rsidP="00E5299D">
      <w:pPr>
        <w:pStyle w:val="List2"/>
        <w:numPr>
          <w:ilvl w:val="4"/>
          <w:numId w:val="115"/>
        </w:numPr>
      </w:pPr>
      <w:r w:rsidRPr="00B3624C">
        <w:t>Australia-related; and</w:t>
      </w:r>
    </w:p>
    <w:p w14:paraId="454C1FF0" w14:textId="4BC6BA06" w:rsidR="003B4493" w:rsidRPr="00B3624C" w:rsidRDefault="003B4493" w:rsidP="00E5299D">
      <w:pPr>
        <w:pStyle w:val="List2"/>
        <w:numPr>
          <w:ilvl w:val="4"/>
          <w:numId w:val="115"/>
        </w:numPr>
      </w:pPr>
      <w:r w:rsidRPr="00B3624C">
        <w:t>more than 50 years old; and</w:t>
      </w:r>
    </w:p>
    <w:p w14:paraId="1472251D" w14:textId="77777777" w:rsidR="003B4493" w:rsidRPr="00B3624C" w:rsidRDefault="003B4493" w:rsidP="00E5299D">
      <w:pPr>
        <w:pStyle w:val="List2"/>
        <w:numPr>
          <w:ilvl w:val="4"/>
          <w:numId w:val="115"/>
        </w:numPr>
      </w:pPr>
      <w:r w:rsidRPr="00B3624C">
        <w:t>has a current market value of at least $10,000; or</w:t>
      </w:r>
    </w:p>
    <w:p w14:paraId="7A0684BA" w14:textId="21DB5638" w:rsidR="003B4493" w:rsidRDefault="003B4493" w:rsidP="00E5299D">
      <w:pPr>
        <w:pStyle w:val="List2"/>
        <w:numPr>
          <w:ilvl w:val="4"/>
          <w:numId w:val="115"/>
        </w:numPr>
      </w:pPr>
      <w:r w:rsidRPr="00B3624C">
        <w:t>in the case of a collection</w:t>
      </w:r>
      <w:r w:rsidR="00F54575">
        <w:t>,</w:t>
      </w:r>
      <w:r w:rsidRPr="00B3624C">
        <w:t xml:space="preserve"> has a current market value of at least $150,000</w:t>
      </w:r>
      <w:r>
        <w:t>; or</w:t>
      </w:r>
    </w:p>
    <w:p w14:paraId="671EC070" w14:textId="10CC1DE2" w:rsidR="003B4493" w:rsidRPr="00B3624C" w:rsidRDefault="003B4493" w:rsidP="00E5299D">
      <w:pPr>
        <w:pStyle w:val="List2"/>
        <w:numPr>
          <w:ilvl w:val="4"/>
          <w:numId w:val="115"/>
        </w:numPr>
      </w:pPr>
      <w:proofErr w:type="gramStart"/>
      <w:r w:rsidRPr="00B3624C">
        <w:t>irrespective</w:t>
      </w:r>
      <w:proofErr w:type="gramEnd"/>
      <w:r w:rsidRPr="00B3624C">
        <w:t xml:space="preserve"> of </w:t>
      </w:r>
      <w:r>
        <w:t>age or value</w:t>
      </w:r>
      <w:r w:rsidRPr="00B3624C">
        <w:t xml:space="preserve"> </w:t>
      </w:r>
      <w:r w:rsidR="00F54575">
        <w:t>criteria</w:t>
      </w:r>
      <w:r>
        <w:t xml:space="preserve">, is </w:t>
      </w:r>
      <w:r w:rsidRPr="00B3624C">
        <w:t xml:space="preserve">declared by the Minister to be Australian </w:t>
      </w:r>
      <w:r>
        <w:t>Heritage</w:t>
      </w:r>
      <w:r w:rsidRPr="00B3624C">
        <w:t xml:space="preserve"> Material.</w:t>
      </w:r>
    </w:p>
    <w:p w14:paraId="1A1A2ED6" w14:textId="77777777" w:rsidR="00AA7153" w:rsidRDefault="003B4493" w:rsidP="00E5299D">
      <w:pPr>
        <w:pStyle w:val="List"/>
        <w:numPr>
          <w:ilvl w:val="3"/>
          <w:numId w:val="115"/>
        </w:numPr>
      </w:pPr>
      <w:r w:rsidRPr="00B3624C">
        <w:t>Philatelic Material is Australian Protected Material if it is Australian Heritage Material and:</w:t>
      </w:r>
    </w:p>
    <w:p w14:paraId="43A7EA30" w14:textId="77777777" w:rsidR="00AA7153" w:rsidRDefault="003B4493" w:rsidP="00E5299D">
      <w:pPr>
        <w:pStyle w:val="List2"/>
        <w:numPr>
          <w:ilvl w:val="4"/>
          <w:numId w:val="115"/>
        </w:numPr>
      </w:pPr>
      <w:r w:rsidRPr="00B3624C">
        <w:t>is permitted to leave the country on the basis of a temporary export permit; or</w:t>
      </w:r>
    </w:p>
    <w:p w14:paraId="5EC9A40B" w14:textId="79837838" w:rsidR="003B4493" w:rsidRDefault="003B4493" w:rsidP="00E5299D">
      <w:pPr>
        <w:pStyle w:val="List2"/>
        <w:numPr>
          <w:ilvl w:val="4"/>
          <w:numId w:val="115"/>
        </w:numPr>
      </w:pPr>
      <w:r w:rsidRPr="00B3624C">
        <w:t xml:space="preserve">has been formally assessed and found to be significant and not adequately represented </w:t>
      </w:r>
      <w:r w:rsidRPr="00F238FE">
        <w:t xml:space="preserve">in </w:t>
      </w:r>
      <w:r>
        <w:t xml:space="preserve">Australian </w:t>
      </w:r>
      <w:r w:rsidRPr="00F238FE">
        <w:t>public collections</w:t>
      </w:r>
      <w:r>
        <w:t>; or</w:t>
      </w:r>
    </w:p>
    <w:p w14:paraId="78A72058" w14:textId="77777777" w:rsidR="003B4493" w:rsidRPr="00B3624C" w:rsidRDefault="003B4493" w:rsidP="00E5299D">
      <w:pPr>
        <w:pStyle w:val="List2"/>
        <w:numPr>
          <w:ilvl w:val="4"/>
          <w:numId w:val="115"/>
        </w:numPr>
      </w:pPr>
      <w:proofErr w:type="gramStart"/>
      <w:r w:rsidRPr="00B3624C">
        <w:t>irrespective</w:t>
      </w:r>
      <w:proofErr w:type="gramEnd"/>
      <w:r w:rsidRPr="00B3624C">
        <w:t xml:space="preserve"> of </w:t>
      </w:r>
      <w:r>
        <w:t>age or value</w:t>
      </w:r>
      <w:r w:rsidRPr="00B3624C">
        <w:t xml:space="preserve"> </w:t>
      </w:r>
      <w:r>
        <w:t xml:space="preserve">criteria, is </w:t>
      </w:r>
      <w:r w:rsidRPr="00B3624C">
        <w:t>declared by the Minister to be Australian Protected Material.</w:t>
      </w:r>
    </w:p>
    <w:p w14:paraId="3E90D4D1" w14:textId="77777777" w:rsidR="003B4493" w:rsidRPr="00B3624C" w:rsidRDefault="003B4493" w:rsidP="00E5299D">
      <w:pPr>
        <w:pStyle w:val="List"/>
        <w:numPr>
          <w:ilvl w:val="3"/>
          <w:numId w:val="115"/>
        </w:numPr>
      </w:pPr>
      <w:r w:rsidRPr="00B3624C">
        <w:t>Philatelic Material is Declared Australian Protected Material if it is:</w:t>
      </w:r>
    </w:p>
    <w:p w14:paraId="411D0083" w14:textId="77777777" w:rsidR="003B4493" w:rsidRDefault="003B4493" w:rsidP="00E5299D">
      <w:pPr>
        <w:pStyle w:val="List2"/>
        <w:numPr>
          <w:ilvl w:val="4"/>
          <w:numId w:val="115"/>
        </w:numPr>
      </w:pPr>
      <w:r w:rsidRPr="00B3624C">
        <w:t>denied permanent export permission under the Act</w:t>
      </w:r>
      <w:r>
        <w:t>; or</w:t>
      </w:r>
    </w:p>
    <w:p w14:paraId="193DDB96" w14:textId="77777777" w:rsidR="00AA7153" w:rsidRDefault="003B4493" w:rsidP="00E5299D">
      <w:pPr>
        <w:pStyle w:val="List2"/>
        <w:numPr>
          <w:ilvl w:val="4"/>
          <w:numId w:val="115"/>
        </w:numPr>
      </w:pPr>
      <w:proofErr w:type="gramStart"/>
      <w:r w:rsidRPr="00B3624C">
        <w:t>irrespective</w:t>
      </w:r>
      <w:proofErr w:type="gramEnd"/>
      <w:r w:rsidRPr="00B3624C">
        <w:t xml:space="preserve"> of </w:t>
      </w:r>
      <w:r>
        <w:t>age or value</w:t>
      </w:r>
      <w:r w:rsidRPr="00B3624C">
        <w:t xml:space="preserve"> </w:t>
      </w:r>
      <w:r>
        <w:t xml:space="preserve">criteria, </w:t>
      </w:r>
      <w:r w:rsidRPr="00B3624C">
        <w:t xml:space="preserve">declared by the Minister to be </w:t>
      </w:r>
      <w:r>
        <w:t xml:space="preserve">Declared </w:t>
      </w:r>
      <w:r w:rsidRPr="00B3624C">
        <w:t>Australian Protected Material.</w:t>
      </w:r>
    </w:p>
    <w:p w14:paraId="7F90C2B5" w14:textId="1BD01838" w:rsidR="004C4A19" w:rsidRPr="00F54575" w:rsidRDefault="004C4A19" w:rsidP="004C4A19">
      <w:pPr>
        <w:pStyle w:val="Subtitle"/>
      </w:pPr>
      <w:r w:rsidRPr="00F54575">
        <w:t>Material denied permanent export permission under the Act</w:t>
      </w:r>
    </w:p>
    <w:p w14:paraId="3268177A" w14:textId="77777777" w:rsidR="004C4A19" w:rsidRPr="00B3624C" w:rsidRDefault="004C4A19" w:rsidP="00E5299D">
      <w:pPr>
        <w:pStyle w:val="List3"/>
        <w:numPr>
          <w:ilvl w:val="5"/>
          <w:numId w:val="103"/>
        </w:numPr>
        <w:ind w:left="539" w:hanging="284"/>
      </w:pPr>
      <w:proofErr w:type="gramStart"/>
      <w:r w:rsidRPr="00B3624C">
        <w:t>the</w:t>
      </w:r>
      <w:proofErr w:type="gramEnd"/>
      <w:r w:rsidRPr="00B3624C">
        <w:t xml:space="preserve"> equal second prize winning design submitted by Donald Mackay in the 1911 Commonwealth Stamp Design Competition.</w:t>
      </w:r>
    </w:p>
    <w:p w14:paraId="284DF863" w14:textId="091C0F35" w:rsidR="003B4493" w:rsidRPr="00F238FE" w:rsidRDefault="003B4493" w:rsidP="00525F38">
      <w:pPr>
        <w:pStyle w:val="Heading4"/>
        <w:rPr>
          <w:lang w:eastAsia="en-AU"/>
        </w:rPr>
      </w:pPr>
      <w:r w:rsidRPr="00F238FE">
        <w:rPr>
          <w:lang w:eastAsia="en-AU"/>
        </w:rPr>
        <w:t>New Part 4.6</w:t>
      </w:r>
      <w:r w:rsidR="00801A32">
        <w:rPr>
          <w:lang w:eastAsia="en-AU"/>
        </w:rPr>
        <w:t>—</w:t>
      </w:r>
      <w:r w:rsidRPr="00F238FE">
        <w:rPr>
          <w:lang w:eastAsia="en-AU"/>
        </w:rPr>
        <w:t>Social, Cultural, Spiritual, Sporting, Political</w:t>
      </w:r>
      <w:r>
        <w:rPr>
          <w:lang w:eastAsia="en-AU"/>
        </w:rPr>
        <w:t xml:space="preserve"> or</w:t>
      </w:r>
      <w:r w:rsidRPr="00F238FE">
        <w:rPr>
          <w:lang w:eastAsia="en-AU"/>
        </w:rPr>
        <w:t xml:space="preserve"> Military History</w:t>
      </w:r>
      <w:r>
        <w:rPr>
          <w:lang w:eastAsia="en-AU"/>
        </w:rPr>
        <w:t xml:space="preserve"> and Other</w:t>
      </w:r>
      <w:r w:rsidRPr="00F238FE">
        <w:rPr>
          <w:lang w:eastAsia="en-AU"/>
        </w:rPr>
        <w:t xml:space="preserve"> </w:t>
      </w:r>
      <w:r w:rsidRPr="00F238FE">
        <w:rPr>
          <w:lang w:val="en-US"/>
        </w:rPr>
        <w:t>Material</w:t>
      </w:r>
    </w:p>
    <w:p w14:paraId="523EC8ED" w14:textId="7D55D9F8" w:rsidR="003B4493" w:rsidRPr="00B3624C" w:rsidRDefault="003B4493" w:rsidP="00E5299D">
      <w:pPr>
        <w:pStyle w:val="List"/>
        <w:numPr>
          <w:ilvl w:val="3"/>
          <w:numId w:val="116"/>
        </w:numPr>
      </w:pPr>
      <w:r w:rsidRPr="00B3624C">
        <w:t>An object is Social, Cultural, Spiritual, Sporting, Political</w:t>
      </w:r>
      <w:r>
        <w:t xml:space="preserve"> or</w:t>
      </w:r>
      <w:r w:rsidRPr="00B3624C">
        <w:t xml:space="preserve"> Military History </w:t>
      </w:r>
      <w:r>
        <w:t xml:space="preserve">and Other </w:t>
      </w:r>
      <w:r w:rsidRPr="00B3624C">
        <w:t>Material if it is directly or substantially associated with a person (or group of people), activity, movement, period, event, place or business enterprise, notable in</w:t>
      </w:r>
      <w:r w:rsidR="00220B45">
        <w:t>,</w:t>
      </w:r>
      <w:r w:rsidRPr="00B3624C">
        <w:t xml:space="preserve"> or relevant to</w:t>
      </w:r>
      <w:r w:rsidR="00220B45">
        <w:t>,</w:t>
      </w:r>
      <w:r w:rsidRPr="00B3624C">
        <w:t xml:space="preserve"> an understanding of Australian history.</w:t>
      </w:r>
    </w:p>
    <w:p w14:paraId="4DAF1991" w14:textId="12B5D329" w:rsidR="003B4493" w:rsidRPr="00B3624C" w:rsidRDefault="003B4493" w:rsidP="00E5299D">
      <w:pPr>
        <w:pStyle w:val="List"/>
        <w:numPr>
          <w:ilvl w:val="3"/>
          <w:numId w:val="116"/>
        </w:numPr>
      </w:pPr>
      <w:r w:rsidRPr="00B3624C">
        <w:lastRenderedPageBreak/>
        <w:t>Social, Cultural, Spiritual, Sporting, Political or Military History</w:t>
      </w:r>
      <w:r>
        <w:t xml:space="preserve"> and Other</w:t>
      </w:r>
      <w:r w:rsidRPr="00B3624C">
        <w:t xml:space="preserve"> Material is Australian Heritage Material if it</w:t>
      </w:r>
      <w:r w:rsidR="00F54575">
        <w:t xml:space="preserve"> is</w:t>
      </w:r>
      <w:r w:rsidRPr="00B3624C">
        <w:t>:</w:t>
      </w:r>
    </w:p>
    <w:p w14:paraId="5174B7FA" w14:textId="337BE977" w:rsidR="003B4493" w:rsidRPr="00F238FE" w:rsidRDefault="003B4493" w:rsidP="00E5299D">
      <w:pPr>
        <w:pStyle w:val="List2"/>
        <w:numPr>
          <w:ilvl w:val="4"/>
          <w:numId w:val="116"/>
        </w:numPr>
      </w:pPr>
      <w:r w:rsidRPr="00F238FE">
        <w:t>Australia-related; and</w:t>
      </w:r>
    </w:p>
    <w:p w14:paraId="05C2C5AB" w14:textId="46B373F3" w:rsidR="003B4493" w:rsidRDefault="003B4493" w:rsidP="00E5299D">
      <w:pPr>
        <w:pStyle w:val="List2"/>
        <w:numPr>
          <w:ilvl w:val="4"/>
          <w:numId w:val="116"/>
        </w:numPr>
      </w:pPr>
      <w:r w:rsidRPr="00F238FE">
        <w:t>more than 50 years old</w:t>
      </w:r>
      <w:r>
        <w:t>; or</w:t>
      </w:r>
    </w:p>
    <w:p w14:paraId="1C25EE6A" w14:textId="77777777" w:rsidR="003B4493" w:rsidRDefault="003B4493" w:rsidP="00E5299D">
      <w:pPr>
        <w:pStyle w:val="List2"/>
        <w:numPr>
          <w:ilvl w:val="4"/>
          <w:numId w:val="116"/>
        </w:numPr>
      </w:pPr>
      <w:proofErr w:type="gramStart"/>
      <w:r w:rsidRPr="00B3624C">
        <w:t>irrespective</w:t>
      </w:r>
      <w:proofErr w:type="gramEnd"/>
      <w:r w:rsidRPr="00B3624C">
        <w:t xml:space="preserve"> of </w:t>
      </w:r>
      <w:r>
        <w:t xml:space="preserve">the age criterion, is </w:t>
      </w:r>
      <w:r w:rsidRPr="00B3624C">
        <w:t xml:space="preserve">declared by the Minister to be Australian </w:t>
      </w:r>
      <w:r>
        <w:t>Heritage</w:t>
      </w:r>
      <w:r w:rsidRPr="00B3624C">
        <w:t xml:space="preserve"> Material</w:t>
      </w:r>
      <w:r w:rsidRPr="00F238FE">
        <w:t>.</w:t>
      </w:r>
    </w:p>
    <w:p w14:paraId="12A7B398" w14:textId="77777777" w:rsidR="00AA7153" w:rsidRDefault="003B4493" w:rsidP="00E5299D">
      <w:pPr>
        <w:pStyle w:val="List"/>
        <w:numPr>
          <w:ilvl w:val="3"/>
          <w:numId w:val="116"/>
        </w:numPr>
      </w:pPr>
      <w:r w:rsidRPr="00B3624C">
        <w:t xml:space="preserve">Social, Cultural, Spiritual, Sporting, Political or Military History </w:t>
      </w:r>
      <w:r>
        <w:t xml:space="preserve">and Other </w:t>
      </w:r>
      <w:r w:rsidRPr="00B3624C">
        <w:t>Material is Australian Protected Material if it is Australian Heritage Material and:</w:t>
      </w:r>
    </w:p>
    <w:p w14:paraId="3E4C8C13" w14:textId="77777777" w:rsidR="00AA7153" w:rsidRDefault="003B4493" w:rsidP="00E5299D">
      <w:pPr>
        <w:pStyle w:val="List2"/>
        <w:numPr>
          <w:ilvl w:val="4"/>
          <w:numId w:val="116"/>
        </w:numPr>
      </w:pPr>
      <w:r w:rsidRPr="00B3624C">
        <w:t>is permitted to leave the country on the basis of a temporary export permit; or</w:t>
      </w:r>
    </w:p>
    <w:p w14:paraId="43AA4527" w14:textId="46A18A89" w:rsidR="003B4493" w:rsidRDefault="003B4493" w:rsidP="00E5299D">
      <w:pPr>
        <w:pStyle w:val="List2"/>
        <w:numPr>
          <w:ilvl w:val="4"/>
          <w:numId w:val="116"/>
        </w:numPr>
      </w:pPr>
      <w:r w:rsidRPr="00B3624C">
        <w:t xml:space="preserve">has been formally assessed and found to be significant and not adequately represented </w:t>
      </w:r>
      <w:r w:rsidRPr="00F238FE">
        <w:t xml:space="preserve">in </w:t>
      </w:r>
      <w:r>
        <w:t xml:space="preserve">Australian </w:t>
      </w:r>
      <w:r w:rsidRPr="00F238FE">
        <w:t>public collections</w:t>
      </w:r>
      <w:r>
        <w:t>; or</w:t>
      </w:r>
    </w:p>
    <w:p w14:paraId="762BB3F2" w14:textId="52BBAC6F" w:rsidR="003B4493" w:rsidRPr="00B3624C" w:rsidRDefault="003B4493" w:rsidP="00E5299D">
      <w:pPr>
        <w:pStyle w:val="List2"/>
        <w:numPr>
          <w:ilvl w:val="4"/>
          <w:numId w:val="116"/>
        </w:numPr>
      </w:pPr>
      <w:proofErr w:type="gramStart"/>
      <w:r w:rsidRPr="00B3624C">
        <w:t>irrespective</w:t>
      </w:r>
      <w:proofErr w:type="gramEnd"/>
      <w:r w:rsidRPr="00B3624C">
        <w:t xml:space="preserve"> of </w:t>
      </w:r>
      <w:r w:rsidR="00F54575">
        <w:t>the age criteria</w:t>
      </w:r>
      <w:r>
        <w:t xml:space="preserve">, is </w:t>
      </w:r>
      <w:r w:rsidRPr="00B3624C">
        <w:t xml:space="preserve">declared by the Minister to be </w:t>
      </w:r>
      <w:r>
        <w:t xml:space="preserve">Protected </w:t>
      </w:r>
      <w:r w:rsidRPr="00B3624C">
        <w:t>Australian Material.</w:t>
      </w:r>
    </w:p>
    <w:p w14:paraId="05A32F66" w14:textId="20EEBCBA" w:rsidR="003B4493" w:rsidRPr="00B3624C" w:rsidRDefault="003B4493" w:rsidP="00E5299D">
      <w:pPr>
        <w:pStyle w:val="List"/>
        <w:numPr>
          <w:ilvl w:val="3"/>
          <w:numId w:val="116"/>
        </w:numPr>
      </w:pPr>
      <w:r w:rsidRPr="00B3624C">
        <w:t xml:space="preserve">Social, Cultural, Spiritual, Sporting, Political or Military History </w:t>
      </w:r>
      <w:r>
        <w:t xml:space="preserve">and Other </w:t>
      </w:r>
      <w:r w:rsidRPr="00B3624C">
        <w:t>Material is Declared Australian Protected Material if it is:</w:t>
      </w:r>
    </w:p>
    <w:p w14:paraId="605DFF7E" w14:textId="04D30CD9" w:rsidR="003B4493" w:rsidRPr="00B3624C" w:rsidRDefault="003B4493" w:rsidP="00E5299D">
      <w:pPr>
        <w:pStyle w:val="List2"/>
        <w:numPr>
          <w:ilvl w:val="4"/>
          <w:numId w:val="116"/>
        </w:numPr>
      </w:pPr>
      <w:r w:rsidRPr="00B3624C">
        <w:t>any item of Ned Kelly’s armour;</w:t>
      </w:r>
      <w:r w:rsidR="00F54575">
        <w:t xml:space="preserve"> or</w:t>
      </w:r>
    </w:p>
    <w:p w14:paraId="111F81C2" w14:textId="2FA0913D" w:rsidR="003B4493" w:rsidRDefault="003B4493" w:rsidP="00E5299D">
      <w:pPr>
        <w:pStyle w:val="List2"/>
        <w:numPr>
          <w:ilvl w:val="4"/>
          <w:numId w:val="116"/>
        </w:numPr>
      </w:pPr>
      <w:r w:rsidRPr="00B3624C">
        <w:t>any item of the armour worn by the members of the Kelly gang;</w:t>
      </w:r>
      <w:r w:rsidR="00F54575">
        <w:t xml:space="preserve"> or</w:t>
      </w:r>
    </w:p>
    <w:p w14:paraId="12F5DAFD" w14:textId="78AF857D" w:rsidR="00F54575" w:rsidRPr="00B3624C" w:rsidRDefault="00F54575" w:rsidP="00E5299D">
      <w:pPr>
        <w:pStyle w:val="List2"/>
        <w:numPr>
          <w:ilvl w:val="4"/>
          <w:numId w:val="116"/>
        </w:numPr>
      </w:pPr>
      <w:r>
        <w:t>denied permanent export permission under the Act; or</w:t>
      </w:r>
    </w:p>
    <w:p w14:paraId="1F72BDDE" w14:textId="43F16E55" w:rsidR="004C4A19" w:rsidRDefault="003B4493" w:rsidP="00E5299D">
      <w:pPr>
        <w:pStyle w:val="List2"/>
        <w:numPr>
          <w:ilvl w:val="4"/>
          <w:numId w:val="116"/>
        </w:numPr>
      </w:pPr>
      <w:proofErr w:type="gramStart"/>
      <w:r w:rsidRPr="00B3624C">
        <w:t>irrespective</w:t>
      </w:r>
      <w:proofErr w:type="gramEnd"/>
      <w:r w:rsidRPr="00B3624C">
        <w:t xml:space="preserve"> of </w:t>
      </w:r>
      <w:r>
        <w:t xml:space="preserve">the age criterion, is </w:t>
      </w:r>
      <w:r w:rsidRPr="00B3624C">
        <w:t xml:space="preserve">declared by the Minister to be </w:t>
      </w:r>
      <w:r>
        <w:t xml:space="preserve">Declared Protected </w:t>
      </w:r>
      <w:r w:rsidRPr="00B3624C">
        <w:t>Australian Material</w:t>
      </w:r>
      <w:r w:rsidR="00F54575">
        <w:t>.</w:t>
      </w:r>
    </w:p>
    <w:p w14:paraId="46786428" w14:textId="77777777" w:rsidR="004C4A19" w:rsidRPr="00F54575" w:rsidRDefault="004C4A19" w:rsidP="004C4A19">
      <w:pPr>
        <w:pStyle w:val="Subtitle"/>
      </w:pPr>
      <w:r w:rsidRPr="00F54575">
        <w:t>Material denied permanent export permission under the Act</w:t>
      </w:r>
    </w:p>
    <w:p w14:paraId="278ACC01" w14:textId="77777777" w:rsidR="00AA7153" w:rsidRDefault="004C4A19" w:rsidP="0035682E">
      <w:pPr>
        <w:pStyle w:val="List4"/>
        <w:numPr>
          <w:ilvl w:val="6"/>
          <w:numId w:val="85"/>
        </w:numPr>
        <w:ind w:left="539" w:hanging="284"/>
      </w:pPr>
      <w:r w:rsidRPr="00F12F22">
        <w:t>Sir John Monash Seals;</w:t>
      </w:r>
    </w:p>
    <w:p w14:paraId="182B0FCE" w14:textId="19A69ABC" w:rsidR="004C4A19" w:rsidRPr="00F12F22" w:rsidRDefault="004C4A19" w:rsidP="0035682E">
      <w:pPr>
        <w:pStyle w:val="List4"/>
        <w:numPr>
          <w:ilvl w:val="6"/>
          <w:numId w:val="85"/>
        </w:numPr>
        <w:ind w:left="539" w:hanging="284"/>
      </w:pPr>
      <w:r w:rsidRPr="00F12F22">
        <w:t>Sir Charles Kingsford Smith ‘VH-USU Southern Cross’ brooch;</w:t>
      </w:r>
    </w:p>
    <w:p w14:paraId="470A18B8" w14:textId="77777777" w:rsidR="004C4A19" w:rsidRPr="00F12F22" w:rsidRDefault="004C4A19" w:rsidP="0035682E">
      <w:pPr>
        <w:pStyle w:val="List4"/>
        <w:numPr>
          <w:ilvl w:val="6"/>
          <w:numId w:val="85"/>
        </w:numPr>
        <w:ind w:left="539" w:hanging="284"/>
      </w:pPr>
      <w:r w:rsidRPr="00F12F22">
        <w:t xml:space="preserve">Victor </w:t>
      </w:r>
      <w:proofErr w:type="spellStart"/>
      <w:r w:rsidRPr="00F12F22">
        <w:t>Trumper’s</w:t>
      </w:r>
      <w:proofErr w:type="spellEnd"/>
      <w:r w:rsidRPr="00F12F22">
        <w:t xml:space="preserve"> cricket memorabilia (including cuff links, a presentation tray, signed programs and team sheets and </w:t>
      </w:r>
      <w:proofErr w:type="spellStart"/>
      <w:r w:rsidRPr="00F12F22">
        <w:t>Trumper's</w:t>
      </w:r>
      <w:proofErr w:type="spellEnd"/>
      <w:r w:rsidRPr="00F12F22">
        <w:t xml:space="preserve"> 1902 Ashes diary);</w:t>
      </w:r>
    </w:p>
    <w:p w14:paraId="69631E3D" w14:textId="1126B217" w:rsidR="004C4A19" w:rsidRPr="00F12F22" w:rsidRDefault="004C4A19" w:rsidP="0035682E">
      <w:pPr>
        <w:pStyle w:val="List4"/>
        <w:numPr>
          <w:ilvl w:val="6"/>
          <w:numId w:val="85"/>
        </w:numPr>
        <w:ind w:left="539" w:hanging="284"/>
      </w:pPr>
      <w:r w:rsidRPr="00F12F22">
        <w:t>Master Blackburn's Whip</w:t>
      </w:r>
      <w:r w:rsidR="00801A32">
        <w:t>—</w:t>
      </w:r>
      <w:r w:rsidRPr="00F12F22">
        <w:t xml:space="preserve">a cat </w:t>
      </w:r>
      <w:proofErr w:type="spellStart"/>
      <w:r w:rsidRPr="00F12F22">
        <w:t>o'nine</w:t>
      </w:r>
      <w:proofErr w:type="spellEnd"/>
      <w:r w:rsidRPr="00F12F22">
        <w:t xml:space="preserve"> tails whip with an Aboriginal club handle and knotted rope lashes attached that belonged to David Blackburn, Master of HM Brig Supply;</w:t>
      </w:r>
    </w:p>
    <w:p w14:paraId="1A8BEA5F" w14:textId="2F8A0B11" w:rsidR="004C4A19" w:rsidRPr="00F12F22" w:rsidRDefault="004C4A19" w:rsidP="0035682E">
      <w:pPr>
        <w:pStyle w:val="List4"/>
        <w:numPr>
          <w:ilvl w:val="6"/>
          <w:numId w:val="85"/>
        </w:numPr>
        <w:ind w:left="539" w:hanging="284"/>
      </w:pPr>
      <w:r w:rsidRPr="00F12F22">
        <w:lastRenderedPageBreak/>
        <w:t>two pairs of boxing gloves, 1886</w:t>
      </w:r>
      <w:r w:rsidR="00801A32">
        <w:t>—</w:t>
      </w:r>
      <w:r w:rsidRPr="00F12F22">
        <w:t>worn on the night that Peter Jackson beat Tom Lees to become the new Australian Champion;</w:t>
      </w:r>
    </w:p>
    <w:p w14:paraId="295F50D6" w14:textId="3823B6F4" w:rsidR="004C4A19" w:rsidRPr="00F12F22" w:rsidRDefault="004C4A19" w:rsidP="00220B45">
      <w:pPr>
        <w:pStyle w:val="List4"/>
        <w:numPr>
          <w:ilvl w:val="6"/>
          <w:numId w:val="85"/>
        </w:numPr>
        <w:ind w:left="539" w:hanging="284"/>
      </w:pPr>
      <w:r w:rsidRPr="00F12F22">
        <w:t>Ashes bail letter opener, c1883;</w:t>
      </w:r>
      <w:r w:rsidR="00220B45" w:rsidRPr="00220B45">
        <w:t xml:space="preserve"> </w:t>
      </w:r>
      <w:r w:rsidR="00220B45" w:rsidRPr="00F12F22">
        <w:t>and</w:t>
      </w:r>
    </w:p>
    <w:p w14:paraId="48ACF510" w14:textId="77777777" w:rsidR="004C4A19" w:rsidRPr="00F12F22" w:rsidRDefault="004C4A19" w:rsidP="0035682E">
      <w:pPr>
        <w:pStyle w:val="List4"/>
        <w:numPr>
          <w:ilvl w:val="6"/>
          <w:numId w:val="85"/>
        </w:numPr>
        <w:ind w:left="539" w:hanging="284"/>
      </w:pPr>
      <w:proofErr w:type="spellStart"/>
      <w:r w:rsidRPr="00F12F22">
        <w:t>Ronisch</w:t>
      </w:r>
      <w:proofErr w:type="spellEnd"/>
      <w:r w:rsidRPr="00F12F22">
        <w:t xml:space="preserve"> concert grand piano, c. 1880.</w:t>
      </w:r>
    </w:p>
    <w:p w14:paraId="235765CE" w14:textId="7C545DD8" w:rsidR="003B4493" w:rsidRPr="00F12F22" w:rsidRDefault="003B4493" w:rsidP="00052178">
      <w:pPr>
        <w:pStyle w:val="Heading2"/>
      </w:pPr>
      <w:bookmarkStart w:id="386" w:name="_Toc431223054"/>
      <w:bookmarkStart w:id="387" w:name="_Toc431303200"/>
      <w:bookmarkStart w:id="388" w:name="_Toc431307848"/>
      <w:bookmarkStart w:id="389" w:name="_Toc433906625"/>
      <w:r w:rsidRPr="00F12F22">
        <w:t>General Control List Matters</w:t>
      </w:r>
      <w:bookmarkEnd w:id="386"/>
      <w:bookmarkEnd w:id="387"/>
      <w:bookmarkEnd w:id="388"/>
      <w:bookmarkEnd w:id="389"/>
    </w:p>
    <w:p w14:paraId="6AE9596A" w14:textId="77777777" w:rsidR="003B4493" w:rsidRPr="00F12F22" w:rsidRDefault="003B4493" w:rsidP="004C4A19">
      <w:pPr>
        <w:pStyle w:val="Heading3"/>
      </w:pPr>
      <w:r w:rsidRPr="00F12F22">
        <w:t>Control List Protection</w:t>
      </w:r>
    </w:p>
    <w:p w14:paraId="15181F96" w14:textId="77777777" w:rsidR="003B4493" w:rsidRPr="00F12F22" w:rsidRDefault="003B4493" w:rsidP="00E5299D">
      <w:pPr>
        <w:pStyle w:val="List"/>
        <w:numPr>
          <w:ilvl w:val="3"/>
          <w:numId w:val="117"/>
        </w:numPr>
      </w:pPr>
      <w:r w:rsidRPr="00F12F22">
        <w:t xml:space="preserve">No material will be granted an export permit </w:t>
      </w:r>
      <w:r>
        <w:t>if it</w:t>
      </w:r>
      <w:r w:rsidRPr="00F12F22">
        <w:t xml:space="preserve"> has been:</w:t>
      </w:r>
    </w:p>
    <w:p w14:paraId="59807C81" w14:textId="074627EB" w:rsidR="003B4493" w:rsidRPr="00F12F22" w:rsidRDefault="003B4493" w:rsidP="00E5299D">
      <w:pPr>
        <w:pStyle w:val="List2"/>
        <w:numPr>
          <w:ilvl w:val="4"/>
          <w:numId w:val="117"/>
        </w:numPr>
      </w:pPr>
      <w:r w:rsidRPr="00F12F22">
        <w:t>removed from a site in breach of a Commonwealth</w:t>
      </w:r>
      <w:r>
        <w:t>,</w:t>
      </w:r>
      <w:r w:rsidRPr="0087134B">
        <w:t xml:space="preserve"> </w:t>
      </w:r>
      <w:r w:rsidR="00220B45">
        <w:t>state or t</w:t>
      </w:r>
      <w:r w:rsidRPr="00F12F22">
        <w:t>erritory Act;</w:t>
      </w:r>
    </w:p>
    <w:p w14:paraId="313557DA" w14:textId="6D9262EA" w:rsidR="003B4493" w:rsidRDefault="003B4493" w:rsidP="00E5299D">
      <w:pPr>
        <w:pStyle w:val="List2"/>
        <w:numPr>
          <w:ilvl w:val="4"/>
          <w:numId w:val="117"/>
        </w:numPr>
      </w:pPr>
      <w:r>
        <w:t xml:space="preserve">traded </w:t>
      </w:r>
      <w:r w:rsidRPr="00F12F22">
        <w:t>in breach of a Commonwealth</w:t>
      </w:r>
      <w:r>
        <w:t>,</w:t>
      </w:r>
      <w:r w:rsidRPr="0087134B">
        <w:t xml:space="preserve"> </w:t>
      </w:r>
      <w:r w:rsidR="00220B45">
        <w:t>state or t</w:t>
      </w:r>
      <w:r w:rsidRPr="00F12F22">
        <w:t>erritory Act;</w:t>
      </w:r>
    </w:p>
    <w:p w14:paraId="66780AC1" w14:textId="195A0AC3" w:rsidR="003B4493" w:rsidRPr="00F12F22" w:rsidRDefault="00220B45" w:rsidP="00E5299D">
      <w:pPr>
        <w:pStyle w:val="List2"/>
        <w:numPr>
          <w:ilvl w:val="4"/>
          <w:numId w:val="117"/>
        </w:numPr>
      </w:pPr>
      <w:r>
        <w:t>removed from a state or t</w:t>
      </w:r>
      <w:r w:rsidR="003B4493" w:rsidRPr="00F12F22">
        <w:t>erritory in breach of the laws of that jurisdiction;</w:t>
      </w:r>
    </w:p>
    <w:p w14:paraId="26416FAC" w14:textId="77777777" w:rsidR="003B4493" w:rsidRPr="00F12F22" w:rsidRDefault="003B4493" w:rsidP="00E5299D">
      <w:pPr>
        <w:pStyle w:val="List2"/>
        <w:numPr>
          <w:ilvl w:val="4"/>
          <w:numId w:val="117"/>
        </w:numPr>
      </w:pPr>
      <w:r w:rsidRPr="00F12F22">
        <w:t>assessed as significant by any state or territory government, statutory authority, or statutorily established institution; or</w:t>
      </w:r>
    </w:p>
    <w:p w14:paraId="143E95C2" w14:textId="77777777" w:rsidR="00AA7153" w:rsidRDefault="003B4493" w:rsidP="00E5299D">
      <w:pPr>
        <w:pStyle w:val="List2"/>
        <w:numPr>
          <w:ilvl w:val="4"/>
          <w:numId w:val="117"/>
        </w:numPr>
      </w:pPr>
      <w:proofErr w:type="gramStart"/>
      <w:r w:rsidRPr="00F12F22">
        <w:t>illegally</w:t>
      </w:r>
      <w:proofErr w:type="gramEnd"/>
      <w:r w:rsidRPr="00F12F22">
        <w:t xml:space="preserve"> obtained.</w:t>
      </w:r>
    </w:p>
    <w:p w14:paraId="5A4EEA30" w14:textId="12C11490" w:rsidR="003B4493" w:rsidRPr="00F12F22" w:rsidRDefault="003B4493" w:rsidP="00E5299D">
      <w:pPr>
        <w:pStyle w:val="List"/>
        <w:numPr>
          <w:ilvl w:val="3"/>
          <w:numId w:val="118"/>
        </w:numPr>
      </w:pPr>
      <w:r w:rsidRPr="00F12F22">
        <w:t xml:space="preserve">Additionally, </w:t>
      </w:r>
      <w:r>
        <w:t>t</w:t>
      </w:r>
      <w:r w:rsidRPr="00F12F22">
        <w:t>he following material is presumed to b</w:t>
      </w:r>
      <w:r>
        <w:t xml:space="preserve">e </w:t>
      </w:r>
      <w:r w:rsidRPr="00F12F22">
        <w:t>Australian Heritage Material:</w:t>
      </w:r>
    </w:p>
    <w:p w14:paraId="706F73EE" w14:textId="77777777" w:rsidR="00AA7153" w:rsidRDefault="003B4493" w:rsidP="00E5299D">
      <w:pPr>
        <w:pStyle w:val="List2"/>
        <w:numPr>
          <w:ilvl w:val="4"/>
          <w:numId w:val="168"/>
        </w:numPr>
      </w:pPr>
      <w:r w:rsidRPr="00E50DEF">
        <w:t xml:space="preserve">an object forming part of, discovered on or otherwise associated with any place listed on the Australian National Heritage List and Australian places on the World Heritage List; </w:t>
      </w:r>
    </w:p>
    <w:p w14:paraId="117298C4" w14:textId="77777777" w:rsidR="00AA7153" w:rsidRDefault="003B4493" w:rsidP="00E5299D">
      <w:pPr>
        <w:pStyle w:val="List2"/>
        <w:numPr>
          <w:ilvl w:val="4"/>
          <w:numId w:val="168"/>
        </w:numPr>
      </w:pPr>
      <w:proofErr w:type="gramStart"/>
      <w:r w:rsidRPr="00E50DEF">
        <w:t>an</w:t>
      </w:r>
      <w:proofErr w:type="gramEnd"/>
      <w:r w:rsidRPr="00E50DEF">
        <w:t xml:space="preserve"> object covered by the </w:t>
      </w:r>
      <w:r w:rsidRPr="00E300D9">
        <w:rPr>
          <w:i/>
        </w:rPr>
        <w:t>Historic Shipwrecks Act 1976</w:t>
      </w:r>
      <w:r w:rsidRPr="00E50DEF">
        <w:t>. A permit under that Act is a pre-condition to application for an export permit.</w:t>
      </w:r>
    </w:p>
    <w:p w14:paraId="0D3D4D43" w14:textId="7EBF7183" w:rsidR="003B4493" w:rsidRPr="00B3624C" w:rsidRDefault="003B4493" w:rsidP="004C4A19">
      <w:pPr>
        <w:pStyle w:val="Heading3"/>
      </w:pPr>
      <w:r w:rsidRPr="00B3624C">
        <w:t>Collections</w:t>
      </w:r>
    </w:p>
    <w:p w14:paraId="6F85ED46" w14:textId="77777777" w:rsidR="00AA7153" w:rsidRDefault="003B4493" w:rsidP="00E5299D">
      <w:pPr>
        <w:pStyle w:val="List"/>
        <w:numPr>
          <w:ilvl w:val="3"/>
          <w:numId w:val="119"/>
        </w:numPr>
      </w:pPr>
      <w:r w:rsidRPr="00D669A5">
        <w:t xml:space="preserve">Collections of cultural material may be assessed as a collection rather than individual items where the whole collection is described under one Part </w:t>
      </w:r>
      <w:r>
        <w:t xml:space="preserve">or Sub-Part </w:t>
      </w:r>
      <w:r w:rsidRPr="00D669A5">
        <w:t>of the Control List</w:t>
      </w:r>
      <w:r w:rsidRPr="00F238FE">
        <w:t>.</w:t>
      </w:r>
    </w:p>
    <w:p w14:paraId="6DB09380" w14:textId="745B5983" w:rsidR="003B4493" w:rsidRPr="00B3624C" w:rsidRDefault="003B4493" w:rsidP="004C4A19">
      <w:pPr>
        <w:pStyle w:val="Heading3"/>
      </w:pPr>
      <w:r w:rsidRPr="00B3624C">
        <w:t>Treatment of parts</w:t>
      </w:r>
    </w:p>
    <w:p w14:paraId="2A177A0E" w14:textId="77777777" w:rsidR="003B4493" w:rsidRPr="00B3624C" w:rsidRDefault="003B4493" w:rsidP="00E5299D">
      <w:pPr>
        <w:pStyle w:val="List"/>
        <w:numPr>
          <w:ilvl w:val="3"/>
          <w:numId w:val="120"/>
        </w:numPr>
      </w:pPr>
      <w:r w:rsidRPr="00B3624C">
        <w:t>Parts</w:t>
      </w:r>
      <w:r>
        <w:t xml:space="preserve"> or components</w:t>
      </w:r>
      <w:r w:rsidRPr="00B3624C">
        <w:t xml:space="preserve"> of Australian Heritage Material must be treated as Australian Heritage Material.</w:t>
      </w:r>
      <w:r>
        <w:t xml:space="preserve"> Parts or components of Australian Protected Material must be treated as Australian Protected Material. Parts or components </w:t>
      </w:r>
      <w:r>
        <w:lastRenderedPageBreak/>
        <w:t>of Declared Australian Heritage Material must be treated as Declared Australian Protected Material.</w:t>
      </w:r>
    </w:p>
    <w:p w14:paraId="61B23BC8" w14:textId="77777777" w:rsidR="003B4493" w:rsidRPr="00B3624C" w:rsidRDefault="003B4493" w:rsidP="00E5299D">
      <w:pPr>
        <w:pStyle w:val="List"/>
        <w:numPr>
          <w:ilvl w:val="3"/>
          <w:numId w:val="120"/>
        </w:numPr>
      </w:pPr>
      <w:r w:rsidRPr="00B3624C">
        <w:t xml:space="preserve">There should be created a separate criminal offence </w:t>
      </w:r>
      <w:r>
        <w:t>with</w:t>
      </w:r>
      <w:r w:rsidRPr="00B3624C">
        <w:t xml:space="preserve"> accompanying sanctions to prohibit the disassembly of Australian Heritage Material, Australian Protected Material and Declared Australian Protected Material for the purpose of export.</w:t>
      </w:r>
    </w:p>
    <w:p w14:paraId="0DAC598D" w14:textId="77777777" w:rsidR="003B4493" w:rsidRPr="00B3624C" w:rsidRDefault="003B4493" w:rsidP="00052178">
      <w:pPr>
        <w:pStyle w:val="Heading2"/>
      </w:pPr>
      <w:bookmarkStart w:id="390" w:name="_Toc431223055"/>
      <w:bookmarkStart w:id="391" w:name="_Toc431303201"/>
      <w:bookmarkStart w:id="392" w:name="_Toc431307849"/>
      <w:bookmarkStart w:id="393" w:name="_Toc433906626"/>
      <w:r w:rsidRPr="00B3624C">
        <w:t>Significance and representation</w:t>
      </w:r>
      <w:bookmarkEnd w:id="390"/>
      <w:bookmarkEnd w:id="391"/>
      <w:bookmarkEnd w:id="392"/>
      <w:bookmarkEnd w:id="393"/>
    </w:p>
    <w:p w14:paraId="27F42D4C" w14:textId="08C0FAFB" w:rsidR="003B4493" w:rsidRPr="00B3624C" w:rsidRDefault="003B4493" w:rsidP="00E5299D">
      <w:pPr>
        <w:pStyle w:val="List"/>
        <w:numPr>
          <w:ilvl w:val="3"/>
          <w:numId w:val="121"/>
        </w:numPr>
      </w:pPr>
      <w:r w:rsidRPr="00B3624C">
        <w:t xml:space="preserve">The legislative framework must provide a standard definition of significance </w:t>
      </w:r>
      <w:r w:rsidR="005158C3">
        <w:t>to be applied across all Parts of</w:t>
      </w:r>
      <w:r w:rsidRPr="00B3624C">
        <w:t xml:space="preserve"> the Control List.</w:t>
      </w:r>
    </w:p>
    <w:p w14:paraId="5D7A837D" w14:textId="77777777" w:rsidR="003B4493" w:rsidRPr="00B3624C" w:rsidRDefault="003B4493" w:rsidP="00E5299D">
      <w:pPr>
        <w:pStyle w:val="List"/>
        <w:numPr>
          <w:ilvl w:val="3"/>
          <w:numId w:val="121"/>
        </w:numPr>
      </w:pPr>
      <w:r w:rsidRPr="00B3624C">
        <w:t xml:space="preserve">The present negative definition of significance (its </w:t>
      </w:r>
      <w:r>
        <w:t>‘</w:t>
      </w:r>
      <w:r w:rsidRPr="00B3624C">
        <w:t>loss to Australia would significantly diminish the cultural heritage of Australia</w:t>
      </w:r>
      <w:r>
        <w:t>’</w:t>
      </w:r>
      <w:r w:rsidRPr="00B3624C">
        <w:t xml:space="preserve">) </w:t>
      </w:r>
      <w:r>
        <w:t>is</w:t>
      </w:r>
      <w:r w:rsidRPr="00B3624C">
        <w:t xml:space="preserve"> replaced by a positive test that requires consideration of the cultural significance of an object in terms of its contribution to the richness of Australian cultural and natural heritage. The test may be framed as simply, ‘…that its retention is </w:t>
      </w:r>
      <w:r>
        <w:t xml:space="preserve">considered by the decision-maker to be </w:t>
      </w:r>
      <w:r w:rsidRPr="00B3624C">
        <w:t>important to the cultural heritage of current and future generations of Australians’.</w:t>
      </w:r>
    </w:p>
    <w:p w14:paraId="30BDA939" w14:textId="77777777" w:rsidR="00AA7153" w:rsidRDefault="00F54575" w:rsidP="00E5299D">
      <w:pPr>
        <w:pStyle w:val="List"/>
        <w:numPr>
          <w:ilvl w:val="3"/>
          <w:numId w:val="121"/>
        </w:numPr>
      </w:pPr>
      <w:r>
        <w:t>The terms ‘s</w:t>
      </w:r>
      <w:r w:rsidR="003B4493" w:rsidRPr="00B3624C">
        <w:t xml:space="preserve">ignificance’ and </w:t>
      </w:r>
      <w:r>
        <w:t>‘s</w:t>
      </w:r>
      <w:r w:rsidR="003B4493" w:rsidRPr="00B3624C">
        <w:t>ignificant’ are given their normal meaning, namely ‘important or notable’ and ‘not unimportant or trivial’ (in accordance with earlier judicial interpretation).</w:t>
      </w:r>
    </w:p>
    <w:p w14:paraId="3F5DEDD4" w14:textId="27124CC1" w:rsidR="003B4493" w:rsidRPr="00B3624C" w:rsidRDefault="003B4493" w:rsidP="00E5299D">
      <w:pPr>
        <w:pStyle w:val="List"/>
        <w:numPr>
          <w:ilvl w:val="3"/>
          <w:numId w:val="121"/>
        </w:numPr>
      </w:pPr>
      <w:r>
        <w:t>S</w:t>
      </w:r>
      <w:r w:rsidRPr="00B3624C">
        <w:t>ignificant heritage value does not necessarily mean that an object has to be important to all Australians</w:t>
      </w:r>
      <w:r w:rsidR="00801A32">
        <w:t>—</w:t>
      </w:r>
      <w:r>
        <w:t xml:space="preserve">it may be </w:t>
      </w:r>
      <w:r w:rsidRPr="00B3624C">
        <w:t>significant to a part of Australia, a group of Australians, or may connect to a national theme.</w:t>
      </w:r>
    </w:p>
    <w:p w14:paraId="1179C08D" w14:textId="3647F430" w:rsidR="003B4493" w:rsidRPr="00B3624C" w:rsidRDefault="003B4493" w:rsidP="004C4A19">
      <w:pPr>
        <w:pStyle w:val="Heading3"/>
      </w:pPr>
      <w:r w:rsidRPr="00B3624C">
        <w:t>Assessing Significance to</w:t>
      </w:r>
      <w:r w:rsidR="00E2435E">
        <w:t xml:space="preserve"> Australia or part of Australia</w:t>
      </w:r>
    </w:p>
    <w:p w14:paraId="7E5CE953" w14:textId="77777777" w:rsidR="00AA7153" w:rsidRDefault="003B4493" w:rsidP="00E5299D">
      <w:pPr>
        <w:pStyle w:val="List"/>
        <w:numPr>
          <w:ilvl w:val="3"/>
          <w:numId w:val="122"/>
        </w:numPr>
      </w:pPr>
      <w:r w:rsidRPr="00B3624C">
        <w:t>The Regulations must establish the elements to be considered in any assessment of significance</w:t>
      </w:r>
      <w:r>
        <w:t xml:space="preserve"> so as to provide a statutory basis for the test</w:t>
      </w:r>
      <w:r w:rsidRPr="00B3624C">
        <w:t>.</w:t>
      </w:r>
    </w:p>
    <w:p w14:paraId="566F9224" w14:textId="7711BBC2" w:rsidR="003B4493" w:rsidRPr="00B3624C" w:rsidRDefault="003B4493" w:rsidP="00E5299D">
      <w:pPr>
        <w:pStyle w:val="List"/>
        <w:numPr>
          <w:ilvl w:val="3"/>
          <w:numId w:val="122"/>
        </w:numPr>
      </w:pPr>
      <w:r w:rsidRPr="00B3624C">
        <w:t>By application of the primary and comparative criteria set out below, the assessor determines whether material is significant and, if so, whether it is an outstanding example of its type.</w:t>
      </w:r>
    </w:p>
    <w:p w14:paraId="11464267" w14:textId="7A83B22E" w:rsidR="003B4493" w:rsidRPr="00B3624C" w:rsidRDefault="003B4493" w:rsidP="00E5299D">
      <w:pPr>
        <w:pStyle w:val="List"/>
        <w:numPr>
          <w:ilvl w:val="3"/>
          <w:numId w:val="122"/>
        </w:numPr>
      </w:pPr>
      <w:r w:rsidRPr="00B3624C">
        <w:t xml:space="preserve">The assessment criteria set out in the Regulations </w:t>
      </w:r>
      <w:r>
        <w:t>may</w:t>
      </w:r>
      <w:r w:rsidRPr="00B3624C">
        <w:t xml:space="preserve"> be supplemented by additional information in documents external to the legislative framework such as</w:t>
      </w:r>
      <w:r w:rsidR="004C1192">
        <w:t xml:space="preserve"> publicly available Guidelines.</w:t>
      </w:r>
    </w:p>
    <w:p w14:paraId="5E85E619" w14:textId="0C838871" w:rsidR="00AA7153" w:rsidRDefault="003B4493" w:rsidP="004C4A19">
      <w:pPr>
        <w:pStyle w:val="Heading4"/>
      </w:pPr>
      <w:r w:rsidRPr="00DE4922">
        <w:lastRenderedPageBreak/>
        <w:t>Step 1</w:t>
      </w:r>
      <w:r w:rsidR="00801A32">
        <w:t>—</w:t>
      </w:r>
      <w:r w:rsidRPr="00DE4922">
        <w:t>application of primary criteria:</w:t>
      </w:r>
    </w:p>
    <w:p w14:paraId="4E404FE6" w14:textId="4D700BEA" w:rsidR="003B4493" w:rsidRPr="00B3624C" w:rsidRDefault="003B4493" w:rsidP="00E5299D">
      <w:pPr>
        <w:pStyle w:val="List"/>
        <w:numPr>
          <w:ilvl w:val="3"/>
          <w:numId w:val="123"/>
        </w:numPr>
      </w:pPr>
      <w:r w:rsidRPr="00B3624C">
        <w:t>When undertaking a significance assessment, consideration is first to be given to a set of primary criteria, being the material’s:</w:t>
      </w:r>
    </w:p>
    <w:p w14:paraId="16C4AEB9" w14:textId="77777777" w:rsidR="00AA7153" w:rsidRDefault="003B4493" w:rsidP="00E5299D">
      <w:pPr>
        <w:pStyle w:val="List2"/>
        <w:numPr>
          <w:ilvl w:val="4"/>
          <w:numId w:val="123"/>
        </w:numPr>
        <w:ind w:left="1134" w:hanging="567"/>
      </w:pPr>
      <w:r w:rsidRPr="00B3624C">
        <w:t>historic values;</w:t>
      </w:r>
    </w:p>
    <w:p w14:paraId="60F47768" w14:textId="77777777" w:rsidR="00AA7153" w:rsidRDefault="003B4493" w:rsidP="00E5299D">
      <w:pPr>
        <w:pStyle w:val="List2"/>
        <w:numPr>
          <w:ilvl w:val="4"/>
          <w:numId w:val="123"/>
        </w:numPr>
        <w:ind w:left="1134" w:hanging="567"/>
      </w:pPr>
      <w:r w:rsidRPr="00B3624C">
        <w:t>aesthetic or artistic values;</w:t>
      </w:r>
    </w:p>
    <w:p w14:paraId="1496A6B8" w14:textId="77777777" w:rsidR="00AA7153" w:rsidRDefault="003B4493" w:rsidP="00E5299D">
      <w:pPr>
        <w:pStyle w:val="List2"/>
        <w:numPr>
          <w:ilvl w:val="4"/>
          <w:numId w:val="123"/>
        </w:numPr>
        <w:ind w:left="1134" w:hanging="567"/>
      </w:pPr>
      <w:r w:rsidRPr="00B3624C">
        <w:t>scientific, technical or research potential;</w:t>
      </w:r>
    </w:p>
    <w:p w14:paraId="2EDE0C02" w14:textId="77777777" w:rsidR="00AA7153" w:rsidRDefault="003B4493" w:rsidP="00E5299D">
      <w:pPr>
        <w:pStyle w:val="List2"/>
        <w:numPr>
          <w:ilvl w:val="4"/>
          <w:numId w:val="123"/>
        </w:numPr>
        <w:ind w:left="1134" w:hanging="567"/>
      </w:pPr>
      <w:r w:rsidRPr="00B3624C">
        <w:t>association with place or other material; and</w:t>
      </w:r>
    </w:p>
    <w:p w14:paraId="0E5CAD68" w14:textId="77777777" w:rsidR="00AA7153" w:rsidRDefault="003B4493" w:rsidP="00E5299D">
      <w:pPr>
        <w:pStyle w:val="List2"/>
        <w:numPr>
          <w:ilvl w:val="4"/>
          <w:numId w:val="123"/>
        </w:numPr>
        <w:ind w:left="1134" w:hanging="567"/>
      </w:pPr>
      <w:proofErr w:type="gramStart"/>
      <w:r w:rsidRPr="00B3624C">
        <w:t>social</w:t>
      </w:r>
      <w:proofErr w:type="gramEnd"/>
      <w:r w:rsidRPr="00B3624C">
        <w:t xml:space="preserve"> or spiritual connections.</w:t>
      </w:r>
    </w:p>
    <w:p w14:paraId="6F287332" w14:textId="77777777" w:rsidR="00AA7153" w:rsidRDefault="003B4493" w:rsidP="00E5299D">
      <w:pPr>
        <w:pStyle w:val="List"/>
        <w:numPr>
          <w:ilvl w:val="3"/>
          <w:numId w:val="123"/>
        </w:numPr>
      </w:pPr>
      <w:r w:rsidRPr="00B3624C">
        <w:t>While all of these primary criteria should be considered when making an assessment, it is only necessary to find evidence to satisfy one of the criteria to establish the item as significant.</w:t>
      </w:r>
    </w:p>
    <w:p w14:paraId="69356392" w14:textId="427924E3" w:rsidR="00AA7153" w:rsidRDefault="003B4493" w:rsidP="004C4A19">
      <w:pPr>
        <w:pStyle w:val="Heading4"/>
      </w:pPr>
      <w:r w:rsidRPr="00DE4922">
        <w:t>Step 2</w:t>
      </w:r>
      <w:r w:rsidR="00801A32">
        <w:t>—</w:t>
      </w:r>
      <w:r w:rsidRPr="00DE4922">
        <w:t>comparative analysis:</w:t>
      </w:r>
    </w:p>
    <w:p w14:paraId="03FBED4A" w14:textId="77777777" w:rsidR="00AA7153" w:rsidRDefault="003B4493" w:rsidP="00E5299D">
      <w:pPr>
        <w:pStyle w:val="List"/>
        <w:numPr>
          <w:ilvl w:val="3"/>
          <w:numId w:val="124"/>
        </w:numPr>
      </w:pPr>
      <w:r w:rsidRPr="00B3624C">
        <w:t xml:space="preserve">Having applied the primary set of criteria, the level of the significance </w:t>
      </w:r>
      <w:r>
        <w:t>is</w:t>
      </w:r>
      <w:r w:rsidRPr="00B3624C">
        <w:t xml:space="preserve"> then benchmarked using comparative analysis criteria to demonstrate an object’s relative level of significance.</w:t>
      </w:r>
    </w:p>
    <w:p w14:paraId="6B841D79" w14:textId="77777777" w:rsidR="00AA7153" w:rsidRDefault="003B4493" w:rsidP="00E5299D">
      <w:pPr>
        <w:pStyle w:val="List"/>
        <w:numPr>
          <w:ilvl w:val="3"/>
          <w:numId w:val="124"/>
        </w:numPr>
      </w:pPr>
      <w:r w:rsidRPr="00B3624C">
        <w:t>This take</w:t>
      </w:r>
      <w:r>
        <w:t>s</w:t>
      </w:r>
      <w:r w:rsidRPr="00B3624C">
        <w:t xml:space="preserve"> into account the physical properties of the object as well as the associative properties that go to indicate its cultural heritage importance. Accordingly, the </w:t>
      </w:r>
      <w:r>
        <w:t>model</w:t>
      </w:r>
      <w:r w:rsidRPr="00B3624C">
        <w:t xml:space="preserve"> provide</w:t>
      </w:r>
      <w:r>
        <w:t>s</w:t>
      </w:r>
      <w:r w:rsidRPr="00B3624C">
        <w:t xml:space="preserve"> for the following comparative analysis criteria:</w:t>
      </w:r>
    </w:p>
    <w:p w14:paraId="285BFAA1" w14:textId="77777777" w:rsidR="00AA7153" w:rsidRDefault="003B4493" w:rsidP="00E5299D">
      <w:pPr>
        <w:pStyle w:val="List2"/>
        <w:numPr>
          <w:ilvl w:val="4"/>
          <w:numId w:val="124"/>
        </w:numPr>
        <w:ind w:left="1134" w:hanging="567"/>
      </w:pPr>
      <w:r w:rsidRPr="00B3624C">
        <w:t>provenance;</w:t>
      </w:r>
    </w:p>
    <w:p w14:paraId="11CF6B4E" w14:textId="77777777" w:rsidR="00AA7153" w:rsidRDefault="003B4493" w:rsidP="00E5299D">
      <w:pPr>
        <w:pStyle w:val="List2"/>
        <w:numPr>
          <w:ilvl w:val="4"/>
          <w:numId w:val="124"/>
        </w:numPr>
        <w:ind w:left="1134" w:hanging="567"/>
      </w:pPr>
      <w:r w:rsidRPr="00B3624C">
        <w:t>rarity or representativeness;</w:t>
      </w:r>
    </w:p>
    <w:p w14:paraId="03FE7DF7" w14:textId="77777777" w:rsidR="00AA7153" w:rsidRDefault="003B4493" w:rsidP="00E5299D">
      <w:pPr>
        <w:pStyle w:val="List2"/>
        <w:numPr>
          <w:ilvl w:val="4"/>
          <w:numId w:val="124"/>
        </w:numPr>
        <w:ind w:left="1134" w:hanging="567"/>
      </w:pPr>
      <w:r w:rsidRPr="00B3624C">
        <w:t>condition or completeness; and</w:t>
      </w:r>
    </w:p>
    <w:p w14:paraId="22F4BF1F" w14:textId="77777777" w:rsidR="00AA7153" w:rsidRDefault="003B4493" w:rsidP="00E5299D">
      <w:pPr>
        <w:pStyle w:val="List2"/>
        <w:numPr>
          <w:ilvl w:val="4"/>
          <w:numId w:val="124"/>
        </w:numPr>
        <w:ind w:left="1134" w:hanging="567"/>
      </w:pPr>
      <w:proofErr w:type="gramStart"/>
      <w:r w:rsidRPr="00B3624C">
        <w:t>interpretative</w:t>
      </w:r>
      <w:proofErr w:type="gramEnd"/>
      <w:r w:rsidRPr="00B3624C">
        <w:t xml:space="preserve"> capacity.</w:t>
      </w:r>
    </w:p>
    <w:p w14:paraId="56F4A24C" w14:textId="55330FDF" w:rsidR="003B4493" w:rsidRPr="00DE4922" w:rsidRDefault="003B4493" w:rsidP="004C4A19">
      <w:pPr>
        <w:pStyle w:val="Heading4"/>
      </w:pPr>
      <w:r w:rsidRPr="00DE4922">
        <w:t>Other government significance assessments</w:t>
      </w:r>
    </w:p>
    <w:p w14:paraId="2A08F86F" w14:textId="2E69247A" w:rsidR="00AA7153" w:rsidRDefault="005158C3" w:rsidP="00E5299D">
      <w:pPr>
        <w:pStyle w:val="List"/>
        <w:numPr>
          <w:ilvl w:val="3"/>
          <w:numId w:val="125"/>
        </w:numPr>
      </w:pPr>
      <w:r>
        <w:t>The model recognises the s</w:t>
      </w:r>
      <w:r w:rsidR="003B4493" w:rsidRPr="00B3624C">
        <w:t>ignificance assessments made by other Commonwealth bodies and state and territory governments.</w:t>
      </w:r>
    </w:p>
    <w:p w14:paraId="7B48B877" w14:textId="77777777" w:rsidR="00AA7153" w:rsidRDefault="003B4493" w:rsidP="00E5299D">
      <w:pPr>
        <w:pStyle w:val="List"/>
        <w:numPr>
          <w:ilvl w:val="3"/>
          <w:numId w:val="125"/>
        </w:numPr>
      </w:pPr>
      <w:r w:rsidRPr="00B3624C">
        <w:t>Objects assessed as significant to local regions of Australia under legislative schemes of state or territory governments are to be automatically treated as Declared Australian Protected Material.</w:t>
      </w:r>
    </w:p>
    <w:p w14:paraId="4A38EB97" w14:textId="77777777" w:rsidR="00AA7153" w:rsidRDefault="003B4493" w:rsidP="00E5299D">
      <w:pPr>
        <w:pStyle w:val="List"/>
        <w:numPr>
          <w:ilvl w:val="3"/>
          <w:numId w:val="125"/>
        </w:numPr>
      </w:pPr>
      <w:r>
        <w:t>If there is a subsequent change in the significance status of the material under the relevant state or territory scheme, protection under the model may also change.</w:t>
      </w:r>
    </w:p>
    <w:p w14:paraId="654905EE" w14:textId="2F927E8A" w:rsidR="003B4493" w:rsidRPr="00B3624C" w:rsidRDefault="005158C3" w:rsidP="004C4A19">
      <w:pPr>
        <w:pStyle w:val="Heading3"/>
      </w:pPr>
      <w:r>
        <w:lastRenderedPageBreak/>
        <w:t xml:space="preserve">Assessing </w:t>
      </w:r>
      <w:r w:rsidR="003B4493" w:rsidRPr="00B3624C">
        <w:t>Representation</w:t>
      </w:r>
    </w:p>
    <w:p w14:paraId="5F55D0CE" w14:textId="77777777" w:rsidR="00AA7153" w:rsidRDefault="003B4493" w:rsidP="00E5299D">
      <w:pPr>
        <w:pStyle w:val="List"/>
        <w:numPr>
          <w:ilvl w:val="3"/>
          <w:numId w:val="126"/>
        </w:numPr>
      </w:pPr>
      <w:r w:rsidRPr="00B3624C">
        <w:t>If</w:t>
      </w:r>
      <w:r>
        <w:t>,</w:t>
      </w:r>
      <w:r w:rsidRPr="00B3624C">
        <w:t xml:space="preserve"> by the application of Steps 1 </w:t>
      </w:r>
      <w:r>
        <w:t>and</w:t>
      </w:r>
      <w:r w:rsidRPr="00B3624C">
        <w:t xml:space="preserve"> 2</w:t>
      </w:r>
      <w:r>
        <w:t>,</w:t>
      </w:r>
      <w:r w:rsidRPr="00B3624C">
        <w:t xml:space="preserve"> the material is found to be significant to Australia or part of Australia</w:t>
      </w:r>
      <w:r>
        <w:t>, only then</w:t>
      </w:r>
      <w:r w:rsidRPr="00B3624C">
        <w:t xml:space="preserve"> will </w:t>
      </w:r>
      <w:r>
        <w:t xml:space="preserve">adequate </w:t>
      </w:r>
      <w:r w:rsidRPr="00B3624C">
        <w:t>representation need to be considered.</w:t>
      </w:r>
    </w:p>
    <w:p w14:paraId="5E0C3237" w14:textId="77777777" w:rsidR="00AA7153" w:rsidRDefault="003B4493" w:rsidP="00E5299D">
      <w:pPr>
        <w:pStyle w:val="List"/>
        <w:numPr>
          <w:ilvl w:val="3"/>
          <w:numId w:val="126"/>
        </w:numPr>
      </w:pPr>
      <w:r w:rsidRPr="00B3624C">
        <w:t xml:space="preserve">A permanent export permit may be granted notwithstanding that the object is of high or even outstanding significance if </w:t>
      </w:r>
      <w:r>
        <w:t xml:space="preserve">the object is already adequately represented </w:t>
      </w:r>
      <w:r w:rsidRPr="00B3624C">
        <w:t>in public collections.</w:t>
      </w:r>
    </w:p>
    <w:p w14:paraId="14DF755D" w14:textId="220395C0" w:rsidR="003B4493" w:rsidRPr="00DE4922" w:rsidRDefault="005158C3" w:rsidP="004C4A19">
      <w:pPr>
        <w:pStyle w:val="Heading4"/>
      </w:pPr>
      <w:r>
        <w:t>Step 3 - r</w:t>
      </w:r>
      <w:r w:rsidR="003B4493" w:rsidRPr="00DE4922">
        <w:t>epresentation in public collections</w:t>
      </w:r>
    </w:p>
    <w:p w14:paraId="5BA620D0" w14:textId="77777777" w:rsidR="003B4493" w:rsidRPr="00B3624C" w:rsidRDefault="003B4493" w:rsidP="00E5299D">
      <w:pPr>
        <w:pStyle w:val="List"/>
        <w:numPr>
          <w:ilvl w:val="3"/>
          <w:numId w:val="127"/>
        </w:numPr>
      </w:pPr>
      <w:r w:rsidRPr="00B3624C">
        <w:t xml:space="preserve">The Regulations should </w:t>
      </w:r>
      <w:r>
        <w:t>include a clear definition of ‘a</w:t>
      </w:r>
      <w:r w:rsidRPr="00B3624C">
        <w:t xml:space="preserve">dequate </w:t>
      </w:r>
      <w:r>
        <w:t>r</w:t>
      </w:r>
      <w:r w:rsidRPr="00B3624C">
        <w:t>epresentation</w:t>
      </w:r>
      <w:r>
        <w:t>’. For example:</w:t>
      </w:r>
    </w:p>
    <w:p w14:paraId="0F45B5F7" w14:textId="29DB877B" w:rsidR="003B4493" w:rsidRPr="00B3624C" w:rsidRDefault="003B4493" w:rsidP="00E2435E">
      <w:pPr>
        <w:pStyle w:val="List2"/>
        <w:ind w:left="567" w:firstLine="0"/>
      </w:pPr>
      <w:r w:rsidRPr="00FD3BEC">
        <w:rPr>
          <w:b/>
        </w:rPr>
        <w:t>Adequate representation</w:t>
      </w:r>
      <w:r w:rsidRPr="00B3624C">
        <w:t xml:space="preserve"> means that there are sufficient comparable examples of the material, considering equivalent quality, age, model and characteristics, held in Australian public collections.</w:t>
      </w:r>
      <w:r w:rsidR="00801A32">
        <w:t xml:space="preserve"> </w:t>
      </w:r>
      <w:r w:rsidRPr="00B3624C">
        <w:t xml:space="preserve">An assessment of Adequate </w:t>
      </w:r>
      <w:r w:rsidR="005158C3">
        <w:t>r</w:t>
      </w:r>
      <w:r w:rsidRPr="00B3624C">
        <w:t>epresentation should include consideration of:</w:t>
      </w:r>
    </w:p>
    <w:p w14:paraId="00627583" w14:textId="77777777" w:rsidR="003B4493" w:rsidRPr="00B3624C" w:rsidRDefault="003B4493" w:rsidP="00E5299D">
      <w:pPr>
        <w:pStyle w:val="List3"/>
        <w:numPr>
          <w:ilvl w:val="5"/>
          <w:numId w:val="89"/>
        </w:numPr>
        <w:ind w:left="1134" w:hanging="567"/>
      </w:pPr>
      <w:r w:rsidRPr="00B3624C">
        <w:t>the number of objects of exact type in public collections, comparing their physical qualities, including condition, completeness (and in the case of documents and stamps such issues as whether the object is a master copy or original);</w:t>
      </w:r>
    </w:p>
    <w:p w14:paraId="5C42DF94" w14:textId="77777777" w:rsidR="003B4493" w:rsidRPr="00B3624C" w:rsidRDefault="003B4493" w:rsidP="00E5299D">
      <w:pPr>
        <w:pStyle w:val="List3"/>
        <w:numPr>
          <w:ilvl w:val="5"/>
          <w:numId w:val="89"/>
        </w:numPr>
        <w:ind w:left="1134" w:hanging="567"/>
      </w:pPr>
      <w:r w:rsidRPr="00B3624C">
        <w:t>the number of objects that are required to be considered as a complete representative sample for a material type (for example, in regards to primary type specimens);</w:t>
      </w:r>
    </w:p>
    <w:p w14:paraId="3A74DEAF" w14:textId="580478DA" w:rsidR="00AA7153" w:rsidRDefault="003B4493" w:rsidP="00E5299D">
      <w:pPr>
        <w:pStyle w:val="List3"/>
        <w:numPr>
          <w:ilvl w:val="5"/>
          <w:numId w:val="89"/>
        </w:numPr>
        <w:ind w:left="1134" w:hanging="567"/>
      </w:pPr>
      <w:r w:rsidRPr="00B3624C">
        <w:t>the comparison w</w:t>
      </w:r>
      <w:r w:rsidR="005158C3">
        <w:t>ith material of the same class,</w:t>
      </w:r>
      <w:r w:rsidRPr="00B3624C">
        <w:t xml:space="preserve"> style</w:t>
      </w:r>
      <w:r w:rsidR="005158C3">
        <w:t xml:space="preserve">, </w:t>
      </w:r>
      <w:r w:rsidRPr="00B3624C">
        <w:t>make and model in public collections;</w:t>
      </w:r>
    </w:p>
    <w:p w14:paraId="5EF6C3B8" w14:textId="14EF469E" w:rsidR="003B4493" w:rsidRPr="00B3624C" w:rsidRDefault="003B4493" w:rsidP="00E5299D">
      <w:pPr>
        <w:pStyle w:val="List3"/>
        <w:numPr>
          <w:ilvl w:val="5"/>
          <w:numId w:val="89"/>
        </w:numPr>
        <w:ind w:left="1134" w:hanging="567"/>
      </w:pPr>
      <w:r w:rsidRPr="00B3624C">
        <w:t>whether there are unique features or adaptions made to the material that should be considered; and</w:t>
      </w:r>
    </w:p>
    <w:p w14:paraId="156FA1AF" w14:textId="77777777" w:rsidR="00AA7153" w:rsidRDefault="003B4493" w:rsidP="00E5299D">
      <w:pPr>
        <w:pStyle w:val="List3"/>
        <w:numPr>
          <w:ilvl w:val="5"/>
          <w:numId w:val="89"/>
        </w:numPr>
        <w:ind w:left="1134" w:hanging="567"/>
      </w:pPr>
      <w:proofErr w:type="gramStart"/>
      <w:r w:rsidRPr="00B3624C">
        <w:t>comparison</w:t>
      </w:r>
      <w:proofErr w:type="gramEnd"/>
      <w:r w:rsidRPr="00B3624C">
        <w:t xml:space="preserve"> with material either of the same or similar subject matter or the same or similar association with events, persons or places.</w:t>
      </w:r>
    </w:p>
    <w:p w14:paraId="38402C73" w14:textId="308FBDC3" w:rsidR="003B4493" w:rsidRPr="00B3624C" w:rsidRDefault="003B4493" w:rsidP="00E5299D">
      <w:pPr>
        <w:pStyle w:val="List"/>
        <w:numPr>
          <w:ilvl w:val="3"/>
          <w:numId w:val="127"/>
        </w:numPr>
      </w:pPr>
      <w:r w:rsidRPr="00B3624C">
        <w:t>The number of objects held in public collections is not just a statistical exercise of type and brand</w:t>
      </w:r>
      <w:r>
        <w:t>. P</w:t>
      </w:r>
      <w:r w:rsidRPr="00B3624C">
        <w:t xml:space="preserve">roper consideration must be given to the significant features of and differences between such objects </w:t>
      </w:r>
      <w:r>
        <w:t>including</w:t>
      </w:r>
      <w:r w:rsidRPr="00B3624C">
        <w:t xml:space="preserve"> distinctions as to age, model, </w:t>
      </w:r>
      <w:r w:rsidRPr="00B3624C">
        <w:lastRenderedPageBreak/>
        <w:t>condition, completeness</w:t>
      </w:r>
      <w:r>
        <w:t>,</w:t>
      </w:r>
      <w:r w:rsidRPr="00B3624C">
        <w:t xml:space="preserve"> significant amendments, repairs, additions </w:t>
      </w:r>
      <w:r>
        <w:t>and</w:t>
      </w:r>
      <w:r w:rsidRPr="00B3624C">
        <w:t xml:space="preserve"> adaptations.</w:t>
      </w:r>
    </w:p>
    <w:p w14:paraId="10F5F6CC" w14:textId="77777777" w:rsidR="003B4493" w:rsidRPr="00525390" w:rsidRDefault="003B4493" w:rsidP="00E5299D">
      <w:pPr>
        <w:pStyle w:val="List"/>
        <w:numPr>
          <w:ilvl w:val="3"/>
          <w:numId w:val="127"/>
        </w:numPr>
        <w:rPr>
          <w:rFonts w:cs="Arial"/>
          <w:szCs w:val="24"/>
        </w:rPr>
      </w:pPr>
      <w:r w:rsidRPr="00B3624C">
        <w:t>The concept of ‘equivalent quality’ has a wider meaning than merely having equivalent physical characteristics. It also includes the heritage or cultural significance of a particular object.</w:t>
      </w:r>
      <w:r w:rsidRPr="00525390">
        <w:t xml:space="preserve"> </w:t>
      </w:r>
      <w:r w:rsidRPr="00B3624C">
        <w:t>The role, impact or effect that an object has had, may also distinguish it from other examples of similar physical characteristics. This may be on a national level or a local level.</w:t>
      </w:r>
    </w:p>
    <w:p w14:paraId="47099A5E" w14:textId="77777777" w:rsidR="003B4493" w:rsidRPr="00DE4922" w:rsidRDefault="003B4493" w:rsidP="004C4A19">
      <w:pPr>
        <w:pStyle w:val="Heading4"/>
      </w:pPr>
      <w:r w:rsidRPr="00DE4922">
        <w:t>Meaning of ‘public collections</w:t>
      </w:r>
      <w:r>
        <w:t>’ for the purpose of r</w:t>
      </w:r>
      <w:r w:rsidRPr="00DE4922">
        <w:t>epresentation</w:t>
      </w:r>
    </w:p>
    <w:p w14:paraId="5673F312" w14:textId="77777777" w:rsidR="003B4493" w:rsidRDefault="003B4493" w:rsidP="00E5299D">
      <w:pPr>
        <w:pStyle w:val="List"/>
        <w:numPr>
          <w:ilvl w:val="3"/>
          <w:numId w:val="128"/>
        </w:numPr>
      </w:pPr>
      <w:r w:rsidRPr="00B3624C">
        <w:t>A ‘</w:t>
      </w:r>
      <w:r w:rsidRPr="003526B4">
        <w:rPr>
          <w:b/>
        </w:rPr>
        <w:t>public collection’</w:t>
      </w:r>
      <w:r w:rsidRPr="00B3624C">
        <w:t xml:space="preserve"> is to be defined as one that is</w:t>
      </w:r>
      <w:r>
        <w:t>:</w:t>
      </w:r>
    </w:p>
    <w:p w14:paraId="3940DB19" w14:textId="61557ABD" w:rsidR="003B4493" w:rsidRDefault="003B4493" w:rsidP="00E5299D">
      <w:pPr>
        <w:pStyle w:val="List2"/>
        <w:numPr>
          <w:ilvl w:val="4"/>
          <w:numId w:val="128"/>
        </w:numPr>
        <w:ind w:left="1134" w:hanging="567"/>
      </w:pPr>
      <w:r w:rsidRPr="00B3624C">
        <w:t>publicly accessible</w:t>
      </w:r>
      <w:r>
        <w:t>; and</w:t>
      </w:r>
    </w:p>
    <w:p w14:paraId="08221498" w14:textId="77777777" w:rsidR="003B4493" w:rsidRPr="00B3624C" w:rsidRDefault="003B4493" w:rsidP="00E5299D">
      <w:pPr>
        <w:pStyle w:val="List2"/>
        <w:numPr>
          <w:ilvl w:val="4"/>
          <w:numId w:val="128"/>
        </w:numPr>
        <w:ind w:left="1134" w:hanging="567"/>
      </w:pPr>
      <w:r w:rsidRPr="00B3624C">
        <w:t>established under a law of:</w:t>
      </w:r>
    </w:p>
    <w:p w14:paraId="1E7CBBC6" w14:textId="77777777" w:rsidR="003B4493" w:rsidRPr="00B3624C" w:rsidRDefault="003B4493" w:rsidP="00E5299D">
      <w:pPr>
        <w:pStyle w:val="List3"/>
        <w:numPr>
          <w:ilvl w:val="5"/>
          <w:numId w:val="90"/>
        </w:numPr>
        <w:ind w:left="1701" w:hanging="567"/>
      </w:pPr>
      <w:r w:rsidRPr="00B3624C">
        <w:t>the Commonwealth; or</w:t>
      </w:r>
    </w:p>
    <w:p w14:paraId="1B7ED66F" w14:textId="77777777" w:rsidR="00AA7153" w:rsidRDefault="003B4493" w:rsidP="00E5299D">
      <w:pPr>
        <w:pStyle w:val="List3"/>
        <w:numPr>
          <w:ilvl w:val="5"/>
          <w:numId w:val="90"/>
        </w:numPr>
        <w:ind w:left="1701" w:hanging="567"/>
      </w:pPr>
      <w:r w:rsidRPr="00B3624C">
        <w:t>a State or Territory; or</w:t>
      </w:r>
    </w:p>
    <w:p w14:paraId="52A38EE5" w14:textId="769A60C1" w:rsidR="003B4493" w:rsidRDefault="003B4493" w:rsidP="00E5299D">
      <w:pPr>
        <w:pStyle w:val="List3"/>
        <w:numPr>
          <w:ilvl w:val="5"/>
          <w:numId w:val="90"/>
        </w:numPr>
        <w:ind w:left="1701" w:hanging="567"/>
      </w:pPr>
      <w:proofErr w:type="gramStart"/>
      <w:r>
        <w:t>o</w:t>
      </w:r>
      <w:r w:rsidRPr="00B3624C">
        <w:t>wned</w:t>
      </w:r>
      <w:proofErr w:type="gramEnd"/>
      <w:r w:rsidRPr="00B3624C">
        <w:t xml:space="preserve"> and controlled by an incorporated not-for-profit organisation (be it a university, company or an incorporated association)</w:t>
      </w:r>
      <w:r>
        <w:t>.</w:t>
      </w:r>
    </w:p>
    <w:p w14:paraId="67ADCD2B" w14:textId="77777777" w:rsidR="003B4493" w:rsidRPr="00EF0FD3" w:rsidRDefault="003B4493" w:rsidP="004C4A19">
      <w:pPr>
        <w:pStyle w:val="Heading4"/>
      </w:pPr>
      <w:r w:rsidRPr="00EF0FD3">
        <w:t xml:space="preserve">Significance </w:t>
      </w:r>
      <w:r>
        <w:t xml:space="preserve">and representation </w:t>
      </w:r>
      <w:r w:rsidRPr="00EF0FD3">
        <w:t>over time</w:t>
      </w:r>
    </w:p>
    <w:p w14:paraId="35CB9CB6" w14:textId="77777777" w:rsidR="00AA7153" w:rsidRDefault="003B4493" w:rsidP="00E5299D">
      <w:pPr>
        <w:pStyle w:val="List"/>
        <w:numPr>
          <w:ilvl w:val="3"/>
          <w:numId w:val="129"/>
        </w:numPr>
      </w:pPr>
      <w:r w:rsidRPr="00B3624C">
        <w:t xml:space="preserve">An assessment will last </w:t>
      </w:r>
      <w:r>
        <w:t>five</w:t>
      </w:r>
      <w:r w:rsidRPr="00B3624C">
        <w:t xml:space="preserve"> years. No further application for assessment will be carried out during that </w:t>
      </w:r>
      <w:r>
        <w:t>five</w:t>
      </w:r>
      <w:r w:rsidRPr="00B3624C">
        <w:t xml:space="preserve"> year period. </w:t>
      </w:r>
    </w:p>
    <w:p w14:paraId="7A4B0670" w14:textId="6BF51FA3" w:rsidR="003B4493" w:rsidRPr="00B3624C" w:rsidRDefault="003B4493" w:rsidP="00E5299D">
      <w:pPr>
        <w:pStyle w:val="List"/>
        <w:numPr>
          <w:ilvl w:val="3"/>
          <w:numId w:val="129"/>
        </w:numPr>
      </w:pPr>
      <w:r w:rsidRPr="00B3624C">
        <w:t xml:space="preserve">Any assessment can be reviewed after the expiration of </w:t>
      </w:r>
      <w:r>
        <w:t>five</w:t>
      </w:r>
      <w:r w:rsidRPr="00B3624C">
        <w:t xml:space="preserve"> years.</w:t>
      </w:r>
    </w:p>
    <w:p w14:paraId="607F46A4" w14:textId="77777777" w:rsidR="00AA7153" w:rsidRDefault="003B4493" w:rsidP="00E5299D">
      <w:pPr>
        <w:pStyle w:val="List"/>
        <w:numPr>
          <w:ilvl w:val="3"/>
          <w:numId w:val="129"/>
        </w:numPr>
      </w:pPr>
      <w:r w:rsidRPr="00B3624C">
        <w:t xml:space="preserve">Accordingly, any export permit decision based on the earlier </w:t>
      </w:r>
      <w:r>
        <w:t>s</w:t>
      </w:r>
      <w:r w:rsidRPr="00B3624C">
        <w:t xml:space="preserve">ignificance </w:t>
      </w:r>
      <w:r>
        <w:t xml:space="preserve">or representation </w:t>
      </w:r>
      <w:r w:rsidRPr="00B3624C">
        <w:t>assessment can be changed if the assessed level</w:t>
      </w:r>
      <w:r>
        <w:t xml:space="preserve"> of significance or representation</w:t>
      </w:r>
      <w:r w:rsidRPr="00B3624C">
        <w:t xml:space="preserve"> </w:t>
      </w:r>
      <w:r>
        <w:t>changes</w:t>
      </w:r>
      <w:r w:rsidRPr="00B3624C">
        <w:t>.</w:t>
      </w:r>
    </w:p>
    <w:p w14:paraId="44A16802" w14:textId="5F47CC8E" w:rsidR="003B4493" w:rsidRPr="00B3624C" w:rsidRDefault="003B4493" w:rsidP="00052178">
      <w:pPr>
        <w:pStyle w:val="Heading2"/>
      </w:pPr>
      <w:bookmarkStart w:id="394" w:name="_Toc431223056"/>
      <w:bookmarkStart w:id="395" w:name="_Toc431303202"/>
      <w:bookmarkStart w:id="396" w:name="_Toc431307850"/>
      <w:bookmarkStart w:id="397" w:name="_Toc433906627"/>
      <w:r w:rsidRPr="00B3624C">
        <w:t>Register of Cultural Property Experts</w:t>
      </w:r>
      <w:bookmarkEnd w:id="394"/>
      <w:bookmarkEnd w:id="395"/>
      <w:bookmarkEnd w:id="396"/>
      <w:bookmarkEnd w:id="397"/>
    </w:p>
    <w:p w14:paraId="7F1FE040" w14:textId="77777777" w:rsidR="003B4493" w:rsidRPr="00B3624C" w:rsidRDefault="003B4493" w:rsidP="00E5299D">
      <w:pPr>
        <w:pStyle w:val="List"/>
        <w:numPr>
          <w:ilvl w:val="3"/>
          <w:numId w:val="130"/>
        </w:numPr>
      </w:pPr>
      <w:r w:rsidRPr="00B3624C">
        <w:t>A Register of Cultural Property Experts is established.</w:t>
      </w:r>
    </w:p>
    <w:p w14:paraId="7B3D2101" w14:textId="77777777" w:rsidR="00AA7153" w:rsidRDefault="003B4493" w:rsidP="00E5299D">
      <w:pPr>
        <w:pStyle w:val="List"/>
        <w:numPr>
          <w:ilvl w:val="3"/>
          <w:numId w:val="130"/>
        </w:numPr>
      </w:pPr>
      <w:r w:rsidRPr="00B3624C">
        <w:t xml:space="preserve">The Register is a flexible reference group which </w:t>
      </w:r>
      <w:r>
        <w:t>is available to provide</w:t>
      </w:r>
      <w:r w:rsidRPr="00B3624C">
        <w:t xml:space="preserve"> advice to the Department and the Minister on significance assessments and broader policy issues. </w:t>
      </w:r>
    </w:p>
    <w:p w14:paraId="45ADE8AE" w14:textId="0DC5E05E" w:rsidR="003B4493" w:rsidRDefault="003B4493" w:rsidP="00E5299D">
      <w:pPr>
        <w:pStyle w:val="List"/>
        <w:numPr>
          <w:ilvl w:val="3"/>
          <w:numId w:val="130"/>
        </w:numPr>
      </w:pPr>
      <w:r w:rsidRPr="00B3624C">
        <w:t>It consists of approved</w:t>
      </w:r>
      <w:r>
        <w:t>:</w:t>
      </w:r>
    </w:p>
    <w:p w14:paraId="6553CA25" w14:textId="77777777" w:rsidR="00AA7153" w:rsidRDefault="003B4493" w:rsidP="00E5299D">
      <w:pPr>
        <w:pStyle w:val="List2"/>
        <w:numPr>
          <w:ilvl w:val="4"/>
          <w:numId w:val="130"/>
        </w:numPr>
      </w:pPr>
      <w:r w:rsidRPr="00B3624C">
        <w:t>Expert Cultural Significance Assessors</w:t>
      </w:r>
      <w:r>
        <w:t xml:space="preserve"> (‘Assessor</w:t>
      </w:r>
      <w:r w:rsidR="00F54575">
        <w:t>s</w:t>
      </w:r>
      <w:r>
        <w:t>’);</w:t>
      </w:r>
      <w:r w:rsidRPr="00B3624C">
        <w:t xml:space="preserve"> and</w:t>
      </w:r>
    </w:p>
    <w:p w14:paraId="510B34A6" w14:textId="77777777" w:rsidR="00AA7153" w:rsidRDefault="003B4493" w:rsidP="00E5299D">
      <w:pPr>
        <w:pStyle w:val="List2"/>
        <w:numPr>
          <w:ilvl w:val="4"/>
          <w:numId w:val="130"/>
        </w:numPr>
      </w:pPr>
      <w:proofErr w:type="gramStart"/>
      <w:r w:rsidRPr="00B3624C">
        <w:t>acknowledged</w:t>
      </w:r>
      <w:proofErr w:type="gramEnd"/>
      <w:r w:rsidRPr="00B3624C">
        <w:t xml:space="preserve"> leaders in various fields of cultural property.</w:t>
      </w:r>
    </w:p>
    <w:p w14:paraId="4658EEAE" w14:textId="77777777" w:rsidR="00AA7153" w:rsidRDefault="003B4493" w:rsidP="00E5299D">
      <w:pPr>
        <w:pStyle w:val="List"/>
        <w:numPr>
          <w:ilvl w:val="3"/>
          <w:numId w:val="130"/>
        </w:numPr>
      </w:pPr>
      <w:r w:rsidRPr="00B3624C">
        <w:lastRenderedPageBreak/>
        <w:t>The legislation neither prescribes nor proscribes the manner, technology or medium by which advice can be sought or given.</w:t>
      </w:r>
    </w:p>
    <w:p w14:paraId="3500BA5C" w14:textId="77777777" w:rsidR="00AA7153" w:rsidRDefault="003B4493" w:rsidP="00E5299D">
      <w:pPr>
        <w:pStyle w:val="List"/>
        <w:numPr>
          <w:ilvl w:val="3"/>
          <w:numId w:val="130"/>
        </w:numPr>
      </w:pPr>
      <w:r w:rsidRPr="00B3624C">
        <w:t xml:space="preserve">The administration of the Register and matters such as the number of members and the balance of expertise is to be determined by the Department. The Department </w:t>
      </w:r>
      <w:r>
        <w:t>is responsible for</w:t>
      </w:r>
      <w:r w:rsidRPr="00B3624C">
        <w:t xml:space="preserve"> the identification, selection, appointment, training and oversight of the members of the Register.</w:t>
      </w:r>
    </w:p>
    <w:p w14:paraId="5597D47A" w14:textId="77777777" w:rsidR="00AA7153" w:rsidRDefault="003B4493" w:rsidP="00E5299D">
      <w:pPr>
        <w:pStyle w:val="List"/>
        <w:numPr>
          <w:ilvl w:val="3"/>
          <w:numId w:val="130"/>
        </w:numPr>
      </w:pPr>
      <w:r w:rsidRPr="00B3624C">
        <w:t>Assessors</w:t>
      </w:r>
      <w:r>
        <w:t xml:space="preserve"> and other e</w:t>
      </w:r>
      <w:r w:rsidRPr="00B3624C">
        <w:t xml:space="preserve">xperts will be paid for their </w:t>
      </w:r>
      <w:r>
        <w:t>advice</w:t>
      </w:r>
      <w:r w:rsidRPr="00B3624C">
        <w:t>.</w:t>
      </w:r>
    </w:p>
    <w:p w14:paraId="0B924B4B" w14:textId="77777777" w:rsidR="00AA7153" w:rsidRDefault="003B4493" w:rsidP="00E5299D">
      <w:pPr>
        <w:pStyle w:val="List"/>
        <w:numPr>
          <w:ilvl w:val="3"/>
          <w:numId w:val="130"/>
        </w:numPr>
      </w:pPr>
      <w:r w:rsidRPr="00B3624C">
        <w:t xml:space="preserve">The term of </w:t>
      </w:r>
      <w:r>
        <w:t>appointment for Assessors is</w:t>
      </w:r>
      <w:r w:rsidRPr="00B3624C">
        <w:t xml:space="preserve"> renewable</w:t>
      </w:r>
      <w:r>
        <w:t xml:space="preserve"> for</w:t>
      </w:r>
      <w:r w:rsidRPr="00B3624C">
        <w:t xml:space="preserve"> five years</w:t>
      </w:r>
      <w:r>
        <w:t xml:space="preserve">, with </w:t>
      </w:r>
      <w:r w:rsidRPr="00B3624C">
        <w:t>a review before reappointment.</w:t>
      </w:r>
    </w:p>
    <w:p w14:paraId="24AF717D" w14:textId="3CBF2243" w:rsidR="003B4493" w:rsidRPr="00B3624C" w:rsidRDefault="003B4493" w:rsidP="00E5299D">
      <w:pPr>
        <w:pStyle w:val="List"/>
        <w:numPr>
          <w:ilvl w:val="3"/>
          <w:numId w:val="130"/>
        </w:numPr>
      </w:pPr>
      <w:r w:rsidRPr="00B3624C">
        <w:t xml:space="preserve">No </w:t>
      </w:r>
      <w:r>
        <w:t>Assessor</w:t>
      </w:r>
      <w:r w:rsidRPr="00B3624C">
        <w:t xml:space="preserve"> </w:t>
      </w:r>
      <w:r>
        <w:t>shall</w:t>
      </w:r>
      <w:r w:rsidRPr="00B3624C">
        <w:t xml:space="preserve"> be held personally liable for any advice or recommendation provide</w:t>
      </w:r>
      <w:r>
        <w:t>d</w:t>
      </w:r>
      <w:r w:rsidRPr="00B3624C">
        <w:t xml:space="preserve"> in good faith.</w:t>
      </w:r>
    </w:p>
    <w:p w14:paraId="79A19522" w14:textId="77777777" w:rsidR="003B4493" w:rsidRPr="00B3624C" w:rsidRDefault="003B4493" w:rsidP="004C4A19">
      <w:pPr>
        <w:pStyle w:val="Heading3"/>
      </w:pPr>
      <w:r w:rsidRPr="00B3624C">
        <w:t>Assessment reports</w:t>
      </w:r>
    </w:p>
    <w:p w14:paraId="1003B7DC" w14:textId="77777777" w:rsidR="00AA7153" w:rsidRDefault="003B4493" w:rsidP="00E5299D">
      <w:pPr>
        <w:pStyle w:val="List"/>
        <w:numPr>
          <w:ilvl w:val="3"/>
          <w:numId w:val="131"/>
        </w:numPr>
      </w:pPr>
      <w:r w:rsidRPr="00B3624C">
        <w:t xml:space="preserve">The role of the </w:t>
      </w:r>
      <w:r>
        <w:t>Assessor</w:t>
      </w:r>
      <w:r w:rsidRPr="00B3624C">
        <w:t xml:space="preserve"> is to assess the significance of the material for which export permission is sought</w:t>
      </w:r>
      <w:r>
        <w:t xml:space="preserve"> and provide information about equivalent material in public collections</w:t>
      </w:r>
      <w:r w:rsidRPr="00B3624C">
        <w:t xml:space="preserve">. It will no longer be the </w:t>
      </w:r>
      <w:r>
        <w:t>Assessor’s</w:t>
      </w:r>
      <w:r w:rsidRPr="00B3624C">
        <w:t xml:space="preserve"> role to make recommendations as to export permission.</w:t>
      </w:r>
    </w:p>
    <w:p w14:paraId="1E70CDD4" w14:textId="77777777" w:rsidR="00AA7153" w:rsidRDefault="003B4493" w:rsidP="00E5299D">
      <w:pPr>
        <w:pStyle w:val="List"/>
        <w:numPr>
          <w:ilvl w:val="3"/>
          <w:numId w:val="131"/>
        </w:numPr>
      </w:pPr>
      <w:r w:rsidRPr="00B3624C">
        <w:t>As standard practice, significance assessments should be performed by two Assessors, one of whom is from a public collecting institution.</w:t>
      </w:r>
    </w:p>
    <w:p w14:paraId="38B5D5C5" w14:textId="77777777" w:rsidR="00AA7153" w:rsidRDefault="003B4493" w:rsidP="00E5299D">
      <w:pPr>
        <w:pStyle w:val="List"/>
        <w:numPr>
          <w:ilvl w:val="3"/>
          <w:numId w:val="131"/>
        </w:numPr>
      </w:pPr>
      <w:r w:rsidRPr="00B3624C">
        <w:t>The Assessor’s report provides the grounds for the decision-maker to make an evidence-based decision as to the granting or refusal of export.</w:t>
      </w:r>
    </w:p>
    <w:p w14:paraId="43E4B544" w14:textId="68950A37" w:rsidR="003B4493" w:rsidRPr="00B3624C" w:rsidRDefault="003B4493" w:rsidP="00E5299D">
      <w:pPr>
        <w:pStyle w:val="List"/>
        <w:numPr>
          <w:ilvl w:val="3"/>
          <w:numId w:val="131"/>
        </w:numPr>
      </w:pPr>
      <w:r w:rsidRPr="00B3624C">
        <w:t>The assessment report:</w:t>
      </w:r>
    </w:p>
    <w:p w14:paraId="380ABDE8" w14:textId="77777777" w:rsidR="003B4493" w:rsidRPr="00B3624C" w:rsidRDefault="003B4493" w:rsidP="00E5299D">
      <w:pPr>
        <w:pStyle w:val="List2"/>
        <w:numPr>
          <w:ilvl w:val="4"/>
          <w:numId w:val="131"/>
        </w:numPr>
        <w:ind w:left="1134" w:hanging="567"/>
      </w:pPr>
      <w:r w:rsidRPr="00B3624C">
        <w:t xml:space="preserve">provides a summary of the meaning and importance of the object </w:t>
      </w:r>
      <w:r>
        <w:t>that</w:t>
      </w:r>
      <w:r w:rsidRPr="00B3624C">
        <w:t xml:space="preserve"> articulates how and why the object is or is not significant; and</w:t>
      </w:r>
    </w:p>
    <w:p w14:paraId="0F243CB5" w14:textId="77777777" w:rsidR="003B4493" w:rsidRPr="00B3624C" w:rsidRDefault="003B4493" w:rsidP="00E5299D">
      <w:pPr>
        <w:pStyle w:val="List2"/>
        <w:numPr>
          <w:ilvl w:val="4"/>
          <w:numId w:val="131"/>
        </w:numPr>
        <w:ind w:left="1134" w:hanging="567"/>
      </w:pPr>
      <w:r w:rsidRPr="00B3624C">
        <w:t>provides the degree of any significance in comparison to related objects; and</w:t>
      </w:r>
    </w:p>
    <w:p w14:paraId="7C39B3E8" w14:textId="77777777" w:rsidR="003B4493" w:rsidRPr="00B3624C" w:rsidRDefault="003B4493" w:rsidP="00E5299D">
      <w:pPr>
        <w:pStyle w:val="List2"/>
        <w:numPr>
          <w:ilvl w:val="4"/>
          <w:numId w:val="131"/>
        </w:numPr>
        <w:ind w:left="1134" w:hanging="567"/>
      </w:pPr>
      <w:proofErr w:type="gramStart"/>
      <w:r w:rsidRPr="00B3624C">
        <w:t>if</w:t>
      </w:r>
      <w:proofErr w:type="gramEnd"/>
      <w:r w:rsidRPr="00B3624C">
        <w:t xml:space="preserve"> significance is established,</w:t>
      </w:r>
      <w:r>
        <w:t xml:space="preserve"> </w:t>
      </w:r>
      <w:r w:rsidRPr="00B3624C">
        <w:t>provides information in regard to the representation of the object (or, where applicable, class of object), in public collections.</w:t>
      </w:r>
    </w:p>
    <w:p w14:paraId="62761169" w14:textId="77777777" w:rsidR="000B6292" w:rsidRDefault="000B6292">
      <w:pPr>
        <w:spacing w:line="276" w:lineRule="auto"/>
        <w:rPr>
          <w:rFonts w:asciiTheme="majorHAnsi" w:eastAsiaTheme="majorEastAsia" w:hAnsiTheme="majorHAnsi" w:cstheme="majorBidi"/>
          <w:b/>
          <w:bCs/>
          <w:color w:val="198D98"/>
          <w:sz w:val="26"/>
          <w:szCs w:val="26"/>
        </w:rPr>
      </w:pPr>
      <w:bookmarkStart w:id="398" w:name="_Toc431223057"/>
      <w:bookmarkStart w:id="399" w:name="_Toc431303203"/>
      <w:bookmarkStart w:id="400" w:name="_Toc431307851"/>
      <w:bookmarkStart w:id="401" w:name="_Toc433906628"/>
      <w:r>
        <w:br w:type="page"/>
      </w:r>
    </w:p>
    <w:p w14:paraId="4CB7C869" w14:textId="678B34D1" w:rsidR="003B4493" w:rsidRPr="00B3624C" w:rsidRDefault="003B4493" w:rsidP="00052178">
      <w:pPr>
        <w:pStyle w:val="Heading2"/>
      </w:pPr>
      <w:r w:rsidRPr="00B3624C">
        <w:lastRenderedPageBreak/>
        <w:t>New permit application requirements</w:t>
      </w:r>
      <w:bookmarkEnd w:id="398"/>
      <w:bookmarkEnd w:id="399"/>
      <w:bookmarkEnd w:id="400"/>
      <w:bookmarkEnd w:id="401"/>
    </w:p>
    <w:p w14:paraId="70F9C5F9" w14:textId="77777777" w:rsidR="00AA7153" w:rsidRDefault="003B4493" w:rsidP="00E5299D">
      <w:pPr>
        <w:pStyle w:val="List"/>
        <w:numPr>
          <w:ilvl w:val="3"/>
          <w:numId w:val="132"/>
        </w:numPr>
      </w:pPr>
      <w:r w:rsidRPr="00B3624C">
        <w:t xml:space="preserve">An applicant must comply with </w:t>
      </w:r>
      <w:r>
        <w:t>any</w:t>
      </w:r>
      <w:r w:rsidRPr="00B3624C">
        <w:t xml:space="preserve"> Guidelines and make the application in the manner prescribed.</w:t>
      </w:r>
    </w:p>
    <w:p w14:paraId="060E4DDB" w14:textId="77777777" w:rsidR="00AA7153" w:rsidRDefault="003B4493" w:rsidP="00E5299D">
      <w:pPr>
        <w:pStyle w:val="List"/>
        <w:numPr>
          <w:ilvl w:val="3"/>
          <w:numId w:val="132"/>
        </w:numPr>
      </w:pPr>
      <w:r w:rsidRPr="00B3624C">
        <w:t>The onus is on the applicant to provide sufficient information to support the application for export</w:t>
      </w:r>
      <w:r>
        <w:t xml:space="preserve">. This includes </w:t>
      </w:r>
      <w:r w:rsidRPr="00B3624C">
        <w:t>information regarding the current owner, the description of the object and all provenance information.</w:t>
      </w:r>
    </w:p>
    <w:p w14:paraId="02293143" w14:textId="77777777" w:rsidR="00AA7153" w:rsidRDefault="003B4493" w:rsidP="00E5299D">
      <w:pPr>
        <w:pStyle w:val="List"/>
        <w:numPr>
          <w:ilvl w:val="3"/>
          <w:numId w:val="132"/>
        </w:numPr>
      </w:pPr>
      <w:r w:rsidRPr="00B3624C">
        <w:t xml:space="preserve">The Department has the power to determine whether the applicant has provided sufficient information to </w:t>
      </w:r>
      <w:r>
        <w:t>allow</w:t>
      </w:r>
      <w:r w:rsidRPr="00B3624C">
        <w:t xml:space="preserve"> proper assessment or whether more information is required or can reasonably be expected of the applicant.</w:t>
      </w:r>
    </w:p>
    <w:p w14:paraId="72FDD4CD" w14:textId="6DCD9064" w:rsidR="003B4493" w:rsidRPr="00B3624C" w:rsidRDefault="003B4493" w:rsidP="00E5299D">
      <w:pPr>
        <w:pStyle w:val="List"/>
        <w:numPr>
          <w:ilvl w:val="3"/>
          <w:numId w:val="132"/>
        </w:numPr>
      </w:pPr>
      <w:r w:rsidRPr="00B3624C">
        <w:t>Should further information be required, the applicant will be advised and no further action taken on the application until the information sought is provided.</w:t>
      </w:r>
    </w:p>
    <w:p w14:paraId="0ED9AFA4" w14:textId="379CB4F3" w:rsidR="003B4493" w:rsidRPr="00B3624C" w:rsidRDefault="003B4493" w:rsidP="00E5299D">
      <w:pPr>
        <w:pStyle w:val="List"/>
        <w:numPr>
          <w:ilvl w:val="3"/>
          <w:numId w:val="132"/>
        </w:numPr>
      </w:pPr>
      <w:r w:rsidRPr="00B3624C">
        <w:t xml:space="preserve">The </w:t>
      </w:r>
      <w:r>
        <w:t>model</w:t>
      </w:r>
      <w:r w:rsidRPr="00B3624C">
        <w:t xml:space="preserve"> grant</w:t>
      </w:r>
      <w:r>
        <w:t>s</w:t>
      </w:r>
      <w:r w:rsidRPr="00B3624C">
        <w:t xml:space="preserve"> the necessary authority to charge fees</w:t>
      </w:r>
      <w:r w:rsidR="00801A32">
        <w:t>—</w:t>
      </w:r>
      <w:r w:rsidRPr="00B3624C">
        <w:t>should government decide to do so.</w:t>
      </w:r>
    </w:p>
    <w:p w14:paraId="5033E119" w14:textId="7F5969DC" w:rsidR="003B4493" w:rsidRPr="00B3624C" w:rsidRDefault="005158C3" w:rsidP="00052178">
      <w:pPr>
        <w:pStyle w:val="Heading2"/>
      </w:pPr>
      <w:bookmarkStart w:id="402" w:name="_Toc431223058"/>
      <w:bookmarkStart w:id="403" w:name="_Toc431303204"/>
      <w:bookmarkStart w:id="404" w:name="_Toc431307852"/>
      <w:bookmarkStart w:id="405" w:name="_Toc433906629"/>
      <w:r>
        <w:t>New process for export decision-</w:t>
      </w:r>
      <w:r w:rsidR="003B4493" w:rsidRPr="00B3624C">
        <w:t>making</w:t>
      </w:r>
      <w:bookmarkEnd w:id="402"/>
      <w:bookmarkEnd w:id="403"/>
      <w:bookmarkEnd w:id="404"/>
      <w:bookmarkEnd w:id="405"/>
    </w:p>
    <w:p w14:paraId="7B1E5B53" w14:textId="77777777" w:rsidR="00AA7153" w:rsidRDefault="003B4493" w:rsidP="00E5299D">
      <w:pPr>
        <w:pStyle w:val="List"/>
        <w:numPr>
          <w:ilvl w:val="3"/>
          <w:numId w:val="133"/>
        </w:numPr>
      </w:pPr>
      <w:r w:rsidRPr="00B3624C">
        <w:t>It is not mandatory to conduct a significance assessment for all applications for export.</w:t>
      </w:r>
    </w:p>
    <w:p w14:paraId="30E2D65F" w14:textId="77777777" w:rsidR="00AA7153" w:rsidRDefault="003B4493" w:rsidP="00E5299D">
      <w:pPr>
        <w:pStyle w:val="List"/>
        <w:numPr>
          <w:ilvl w:val="3"/>
          <w:numId w:val="133"/>
        </w:numPr>
      </w:pPr>
      <w:r w:rsidRPr="00B3624C">
        <w:t>On receipt of an application that contains sufficient information, the Department applies the statutory tests/thresholds to determine whether the material is:</w:t>
      </w:r>
    </w:p>
    <w:p w14:paraId="7ADD8E6D" w14:textId="77777777" w:rsidR="00AA7153" w:rsidRDefault="003B4493" w:rsidP="00E5299D">
      <w:pPr>
        <w:pStyle w:val="List2"/>
        <w:numPr>
          <w:ilvl w:val="4"/>
          <w:numId w:val="133"/>
        </w:numPr>
        <w:ind w:left="1134" w:hanging="567"/>
      </w:pPr>
      <w:r w:rsidRPr="00B3624C">
        <w:t>Australian Heritage Material; and if so</w:t>
      </w:r>
    </w:p>
    <w:p w14:paraId="4CF3B55B" w14:textId="5AEE0009" w:rsidR="00AA7153" w:rsidRDefault="003B4493" w:rsidP="00E5299D">
      <w:pPr>
        <w:pStyle w:val="List2"/>
        <w:numPr>
          <w:ilvl w:val="4"/>
          <w:numId w:val="133"/>
        </w:numPr>
        <w:ind w:left="1134" w:hanging="567"/>
      </w:pPr>
      <w:proofErr w:type="gramStart"/>
      <w:r w:rsidRPr="00B3624C">
        <w:t>whether</w:t>
      </w:r>
      <w:proofErr w:type="gramEnd"/>
      <w:r w:rsidRPr="00B3624C">
        <w:t xml:space="preserve"> the object is likely to be Aus</w:t>
      </w:r>
      <w:r w:rsidR="005158C3">
        <w:t xml:space="preserve">tralian Protected Material or </w:t>
      </w:r>
      <w:r w:rsidRPr="00B3624C">
        <w:t>Declared Australian Protected Material.</w:t>
      </w:r>
    </w:p>
    <w:p w14:paraId="78D6170F" w14:textId="736C8A87" w:rsidR="003B4493" w:rsidRPr="00B3624C" w:rsidRDefault="003B4493" w:rsidP="00E5299D">
      <w:pPr>
        <w:pStyle w:val="List"/>
        <w:numPr>
          <w:ilvl w:val="3"/>
          <w:numId w:val="133"/>
        </w:numPr>
      </w:pPr>
      <w:r w:rsidRPr="00B3624C">
        <w:t>The Department may seek expert advice and review the significance of any material</w:t>
      </w:r>
      <w:r w:rsidR="00801A32">
        <w:t>—</w:t>
      </w:r>
      <w:r w:rsidRPr="00B3624C">
        <w:t>whether or not it exceeds the thresholds.</w:t>
      </w:r>
    </w:p>
    <w:p w14:paraId="483F9DCC" w14:textId="77777777" w:rsidR="003B4493" w:rsidRDefault="003B4493" w:rsidP="00E5299D">
      <w:pPr>
        <w:pStyle w:val="List"/>
        <w:numPr>
          <w:ilvl w:val="3"/>
          <w:numId w:val="133"/>
        </w:numPr>
      </w:pPr>
      <w:r w:rsidRPr="00B3624C">
        <w:t>If material</w:t>
      </w:r>
      <w:r>
        <w:t>:</w:t>
      </w:r>
    </w:p>
    <w:p w14:paraId="485DEDA1" w14:textId="77777777" w:rsidR="00AA7153" w:rsidRDefault="003B4493" w:rsidP="00E5299D">
      <w:pPr>
        <w:pStyle w:val="List2"/>
        <w:numPr>
          <w:ilvl w:val="4"/>
          <w:numId w:val="133"/>
        </w:numPr>
        <w:ind w:left="1134" w:hanging="567"/>
      </w:pPr>
      <w:r w:rsidRPr="00B3624C">
        <w:t>exceeds a preliminary age and value threshold (and is therefore Australian Heritage Material)</w:t>
      </w:r>
      <w:r>
        <w:t>;</w:t>
      </w:r>
      <w:r w:rsidRPr="00B3624C">
        <w:t xml:space="preserve"> or</w:t>
      </w:r>
    </w:p>
    <w:p w14:paraId="6EFDCA79" w14:textId="77777777" w:rsidR="00AA7153" w:rsidRDefault="003B4493" w:rsidP="00E5299D">
      <w:pPr>
        <w:pStyle w:val="List2"/>
        <w:numPr>
          <w:ilvl w:val="4"/>
          <w:numId w:val="133"/>
        </w:numPr>
        <w:ind w:left="1134" w:hanging="567"/>
      </w:pPr>
      <w:r w:rsidRPr="00B3624C">
        <w:t xml:space="preserve">is declared to be Australian Heritage Material, Australian </w:t>
      </w:r>
      <w:r>
        <w:t>Protected</w:t>
      </w:r>
      <w:r w:rsidRPr="00B3624C">
        <w:t xml:space="preserve"> Material</w:t>
      </w:r>
      <w:r>
        <w:t xml:space="preserve">, or Declared </w:t>
      </w:r>
      <w:r w:rsidRPr="00B3624C">
        <w:t xml:space="preserve">Australian </w:t>
      </w:r>
      <w:r>
        <w:t>Protected</w:t>
      </w:r>
      <w:r w:rsidRPr="00B3624C">
        <w:t xml:space="preserve"> Material</w:t>
      </w:r>
      <w:r>
        <w:t>,</w:t>
      </w:r>
    </w:p>
    <w:p w14:paraId="4BD72175" w14:textId="77777777" w:rsidR="00AA7153" w:rsidRDefault="003B4493" w:rsidP="003B4493">
      <w:pPr>
        <w:pStyle w:val="List2"/>
        <w:ind w:left="567" w:firstLine="0"/>
      </w:pPr>
      <w:proofErr w:type="gramStart"/>
      <w:r w:rsidRPr="00B3624C">
        <w:t>the</w:t>
      </w:r>
      <w:proofErr w:type="gramEnd"/>
      <w:r w:rsidRPr="00B3624C">
        <w:t xml:space="preserve"> Department must determine </w:t>
      </w:r>
      <w:r>
        <w:t xml:space="preserve">the nature of the material and </w:t>
      </w:r>
      <w:r w:rsidRPr="00B3624C">
        <w:t>whether its significance is such that an export permit should be issued and, if so, on what terms.</w:t>
      </w:r>
    </w:p>
    <w:p w14:paraId="75F86482" w14:textId="77777777" w:rsidR="00AA7153" w:rsidRDefault="003B4493" w:rsidP="00E5299D">
      <w:pPr>
        <w:pStyle w:val="List"/>
        <w:numPr>
          <w:ilvl w:val="3"/>
          <w:numId w:val="133"/>
        </w:numPr>
      </w:pPr>
      <w:r w:rsidRPr="00B3624C">
        <w:lastRenderedPageBreak/>
        <w:t>At this stage the Department may either:</w:t>
      </w:r>
    </w:p>
    <w:p w14:paraId="65572885" w14:textId="77777777" w:rsidR="00AA7153" w:rsidRDefault="003B4493" w:rsidP="00E5299D">
      <w:pPr>
        <w:pStyle w:val="List2"/>
        <w:numPr>
          <w:ilvl w:val="4"/>
          <w:numId w:val="133"/>
        </w:numPr>
        <w:ind w:left="1134" w:hanging="567"/>
      </w:pPr>
      <w:r w:rsidRPr="00B3624C">
        <w:t xml:space="preserve">grant </w:t>
      </w:r>
      <w:r>
        <w:t>a temporary or permanent</w:t>
      </w:r>
      <w:r w:rsidRPr="00B3624C">
        <w:t xml:space="preserve"> export permit;</w:t>
      </w:r>
    </w:p>
    <w:p w14:paraId="18BE1C62" w14:textId="77777777" w:rsidR="00AA7153" w:rsidRDefault="003B4493" w:rsidP="00E5299D">
      <w:pPr>
        <w:pStyle w:val="List2"/>
        <w:numPr>
          <w:ilvl w:val="4"/>
          <w:numId w:val="133"/>
        </w:numPr>
        <w:ind w:left="1134" w:hanging="567"/>
      </w:pPr>
      <w:r w:rsidRPr="00B3624C">
        <w:t>grant the permit subject to conditions;</w:t>
      </w:r>
    </w:p>
    <w:p w14:paraId="31FAD48D" w14:textId="77777777" w:rsidR="00AA7153" w:rsidRDefault="003B4493" w:rsidP="00E5299D">
      <w:pPr>
        <w:pStyle w:val="List2"/>
        <w:numPr>
          <w:ilvl w:val="4"/>
          <w:numId w:val="133"/>
        </w:numPr>
        <w:ind w:left="1134" w:hanging="567"/>
      </w:pPr>
      <w:r w:rsidRPr="00B3624C">
        <w:t>refuse the permit sought; or</w:t>
      </w:r>
    </w:p>
    <w:p w14:paraId="4FE44FE2" w14:textId="505397FE" w:rsidR="003B4493" w:rsidRPr="00B3624C" w:rsidRDefault="003B4493" w:rsidP="00E5299D">
      <w:pPr>
        <w:pStyle w:val="List2"/>
        <w:numPr>
          <w:ilvl w:val="4"/>
          <w:numId w:val="133"/>
        </w:numPr>
        <w:ind w:left="1134" w:hanging="567"/>
      </w:pPr>
      <w:proofErr w:type="gramStart"/>
      <w:r>
        <w:t>seek</w:t>
      </w:r>
      <w:proofErr w:type="gramEnd"/>
      <w:r>
        <w:t xml:space="preserve"> other information about the material</w:t>
      </w:r>
      <w:r w:rsidRPr="00B3624C">
        <w:t xml:space="preserve"> </w:t>
      </w:r>
      <w:r>
        <w:t>(for example, though a significance assessment).</w:t>
      </w:r>
    </w:p>
    <w:p w14:paraId="04D971FD" w14:textId="77777777" w:rsidR="003B4493" w:rsidRPr="00B3624C" w:rsidRDefault="003B4493" w:rsidP="00E5299D">
      <w:pPr>
        <w:pStyle w:val="List"/>
        <w:numPr>
          <w:ilvl w:val="3"/>
          <w:numId w:val="133"/>
        </w:numPr>
      </w:pPr>
      <w:r w:rsidRPr="00B3624C">
        <w:t>The Department may issue temporary export permits for periods of less than six months without the need for a significance assessment, unless:</w:t>
      </w:r>
    </w:p>
    <w:p w14:paraId="24F6A511" w14:textId="77777777" w:rsidR="003B4493" w:rsidRPr="00B3624C" w:rsidRDefault="003B4493" w:rsidP="00E5299D">
      <w:pPr>
        <w:pStyle w:val="List2"/>
        <w:numPr>
          <w:ilvl w:val="4"/>
          <w:numId w:val="133"/>
        </w:numPr>
      </w:pPr>
      <w:r w:rsidRPr="00B3624C">
        <w:t>it is uncertain whether the material is in fact Declared Australian Protected Material; or</w:t>
      </w:r>
    </w:p>
    <w:p w14:paraId="252752D2" w14:textId="77777777" w:rsidR="003B4493" w:rsidRPr="00B3624C" w:rsidRDefault="003B4493" w:rsidP="00E5299D">
      <w:pPr>
        <w:pStyle w:val="List2"/>
        <w:numPr>
          <w:ilvl w:val="4"/>
          <w:numId w:val="133"/>
        </w:numPr>
      </w:pPr>
      <w:proofErr w:type="gramStart"/>
      <w:r w:rsidRPr="00B3624C">
        <w:t>the</w:t>
      </w:r>
      <w:proofErr w:type="gramEnd"/>
      <w:r w:rsidRPr="00B3624C">
        <w:t xml:space="preserve"> Department has concerns about the potential non-return of the material.</w:t>
      </w:r>
    </w:p>
    <w:p w14:paraId="70A10D5D" w14:textId="77844A42" w:rsidR="003B4493" w:rsidRPr="00B3624C" w:rsidRDefault="003B4493" w:rsidP="00E5299D">
      <w:pPr>
        <w:pStyle w:val="List"/>
        <w:numPr>
          <w:ilvl w:val="3"/>
          <w:numId w:val="133"/>
        </w:numPr>
      </w:pPr>
      <w:r w:rsidRPr="00B3624C">
        <w:t>Where a significance assessment is considered necessary, the Assessors submit their reports to the Department. If their findings are consistent, the Department may either:</w:t>
      </w:r>
    </w:p>
    <w:p w14:paraId="158BEF1F" w14:textId="77777777" w:rsidR="00AA7153" w:rsidRDefault="003B4493" w:rsidP="00E5299D">
      <w:pPr>
        <w:pStyle w:val="List2"/>
        <w:numPr>
          <w:ilvl w:val="4"/>
          <w:numId w:val="133"/>
        </w:numPr>
      </w:pPr>
      <w:r w:rsidRPr="00B3624C">
        <w:t>make the decision in accordance with the assessment</w:t>
      </w:r>
      <w:r>
        <w:t>s</w:t>
      </w:r>
      <w:r w:rsidRPr="00B3624C">
        <w:t>; or</w:t>
      </w:r>
    </w:p>
    <w:p w14:paraId="12EE1443" w14:textId="77777777" w:rsidR="00AA7153" w:rsidRDefault="003B4493" w:rsidP="00E5299D">
      <w:pPr>
        <w:pStyle w:val="List2"/>
        <w:numPr>
          <w:ilvl w:val="4"/>
          <w:numId w:val="133"/>
        </w:numPr>
      </w:pPr>
      <w:proofErr w:type="gramStart"/>
      <w:r w:rsidRPr="00B3624C">
        <w:t>if</w:t>
      </w:r>
      <w:proofErr w:type="gramEnd"/>
      <w:r w:rsidRPr="00B3624C">
        <w:t xml:space="preserve"> c</w:t>
      </w:r>
      <w:r w:rsidR="0076039B">
        <w:t xml:space="preserve">oncerned with the findings, </w:t>
      </w:r>
      <w:r w:rsidRPr="00B3624C">
        <w:t>convene a panel of appropriately qualified experts from the Register of Cultural Property Experts to consider the application, expert assessments and any other applicable information.</w:t>
      </w:r>
    </w:p>
    <w:p w14:paraId="5F87C819" w14:textId="77777777" w:rsidR="00AA7153" w:rsidRDefault="003B4493" w:rsidP="00E5299D">
      <w:pPr>
        <w:pStyle w:val="List"/>
        <w:numPr>
          <w:ilvl w:val="3"/>
          <w:numId w:val="133"/>
        </w:numPr>
      </w:pPr>
      <w:r w:rsidRPr="00B3624C">
        <w:t xml:space="preserve">If the advice provided by the </w:t>
      </w:r>
      <w:r>
        <w:t>A</w:t>
      </w:r>
      <w:r w:rsidRPr="00B3624C">
        <w:t xml:space="preserve">ssessors is not consistent or the Department wishes to seek further advice, the Department may seek the advice of another </w:t>
      </w:r>
      <w:r>
        <w:t>A</w:t>
      </w:r>
      <w:r w:rsidRPr="00B3624C">
        <w:t>ssessor or may refer the matter to a panel from the Register.</w:t>
      </w:r>
    </w:p>
    <w:p w14:paraId="67511AC8" w14:textId="528BFD78" w:rsidR="003B4493" w:rsidRPr="00B3624C" w:rsidRDefault="003B4493" w:rsidP="00E5299D">
      <w:pPr>
        <w:pStyle w:val="List"/>
        <w:keepNext/>
        <w:numPr>
          <w:ilvl w:val="3"/>
          <w:numId w:val="133"/>
        </w:numPr>
      </w:pPr>
      <w:r w:rsidRPr="00B3624C">
        <w:t>The Departmental decision-maker considers the application, the expert significance assessments, the reasoning and findings of the panel</w:t>
      </w:r>
      <w:r>
        <w:t xml:space="preserve"> </w:t>
      </w:r>
      <w:r w:rsidRPr="00B3624C">
        <w:t>(where applicable) and any other applicable information and decides:</w:t>
      </w:r>
    </w:p>
    <w:p w14:paraId="2D7D58F4" w14:textId="41E379E2" w:rsidR="003B4493" w:rsidRPr="00B3624C" w:rsidRDefault="003B4493" w:rsidP="00E5299D">
      <w:pPr>
        <w:pStyle w:val="List2"/>
        <w:numPr>
          <w:ilvl w:val="4"/>
          <w:numId w:val="133"/>
        </w:numPr>
        <w:ind w:left="1134" w:hanging="567"/>
      </w:pPr>
      <w:r w:rsidRPr="00B3624C">
        <w:t>whether the Australian Heritage Material has the appropriate significance to be Australian Protected Material;</w:t>
      </w:r>
      <w:r w:rsidR="00F54575">
        <w:t xml:space="preserve"> if so</w:t>
      </w:r>
    </w:p>
    <w:p w14:paraId="3CCA4A81" w14:textId="01AB5CAE" w:rsidR="003B4493" w:rsidRPr="00B3624C" w:rsidRDefault="003B4493" w:rsidP="00E5299D">
      <w:pPr>
        <w:pStyle w:val="List2"/>
        <w:numPr>
          <w:ilvl w:val="4"/>
          <w:numId w:val="133"/>
        </w:numPr>
        <w:ind w:left="1134" w:hanging="567"/>
      </w:pPr>
      <w:r w:rsidRPr="00B3624C">
        <w:t>whether the material is</w:t>
      </w:r>
      <w:r>
        <w:t xml:space="preserve"> already</w:t>
      </w:r>
      <w:r w:rsidRPr="00B3624C">
        <w:t xml:space="preserve"> adequately represented; </w:t>
      </w:r>
      <w:r>
        <w:t>and thus</w:t>
      </w:r>
    </w:p>
    <w:p w14:paraId="379903BE" w14:textId="77777777" w:rsidR="003B4493" w:rsidRPr="00B3624C" w:rsidRDefault="003B4493" w:rsidP="00E5299D">
      <w:pPr>
        <w:pStyle w:val="List2"/>
        <w:numPr>
          <w:ilvl w:val="4"/>
          <w:numId w:val="133"/>
        </w:numPr>
        <w:ind w:left="1134" w:hanging="567"/>
      </w:pPr>
      <w:r w:rsidRPr="00B3624C">
        <w:t xml:space="preserve">whether or not to issue the export permit; </w:t>
      </w:r>
      <w:r>
        <w:t>and if so</w:t>
      </w:r>
    </w:p>
    <w:p w14:paraId="04315171" w14:textId="77777777" w:rsidR="003B4493" w:rsidRPr="00B3624C" w:rsidRDefault="003B4493" w:rsidP="00E5299D">
      <w:pPr>
        <w:pStyle w:val="List2"/>
        <w:numPr>
          <w:ilvl w:val="4"/>
          <w:numId w:val="133"/>
        </w:numPr>
        <w:ind w:left="1134" w:hanging="567"/>
      </w:pPr>
      <w:r w:rsidRPr="00B3624C">
        <w:t xml:space="preserve">whether </w:t>
      </w:r>
      <w:r>
        <w:t>the</w:t>
      </w:r>
      <w:r w:rsidRPr="00B3624C">
        <w:t xml:space="preserve"> permit should be permanent or temporary; and</w:t>
      </w:r>
    </w:p>
    <w:p w14:paraId="730DFF1D" w14:textId="77777777" w:rsidR="003B4493" w:rsidRPr="00B3624C" w:rsidRDefault="003B4493" w:rsidP="00E5299D">
      <w:pPr>
        <w:pStyle w:val="List2"/>
        <w:numPr>
          <w:ilvl w:val="4"/>
          <w:numId w:val="133"/>
        </w:numPr>
        <w:ind w:left="1134" w:hanging="567"/>
      </w:pPr>
      <w:proofErr w:type="gramStart"/>
      <w:r>
        <w:t>what</w:t>
      </w:r>
      <w:proofErr w:type="gramEnd"/>
      <w:r w:rsidRPr="00B3624C">
        <w:t xml:space="preserve"> conditions</w:t>
      </w:r>
      <w:r>
        <w:t xml:space="preserve"> (if any)</w:t>
      </w:r>
      <w:r w:rsidRPr="00B3624C">
        <w:t xml:space="preserve"> </w:t>
      </w:r>
      <w:r>
        <w:t xml:space="preserve">should be </w:t>
      </w:r>
      <w:r w:rsidRPr="00B3624C">
        <w:t>attached.</w:t>
      </w:r>
    </w:p>
    <w:p w14:paraId="7B00FC09" w14:textId="77777777" w:rsidR="003B4493" w:rsidRPr="00B3624C" w:rsidRDefault="003B4493" w:rsidP="00E5299D">
      <w:pPr>
        <w:pStyle w:val="List"/>
        <w:numPr>
          <w:ilvl w:val="3"/>
          <w:numId w:val="133"/>
        </w:numPr>
      </w:pPr>
      <w:r w:rsidRPr="00B3624C">
        <w:lastRenderedPageBreak/>
        <w:t>An export permit may be:</w:t>
      </w:r>
    </w:p>
    <w:p w14:paraId="6FD1D2E3" w14:textId="77777777" w:rsidR="003B4493" w:rsidRPr="00B3624C" w:rsidRDefault="003B4493" w:rsidP="00E5299D">
      <w:pPr>
        <w:pStyle w:val="List2"/>
        <w:numPr>
          <w:ilvl w:val="4"/>
          <w:numId w:val="133"/>
        </w:numPr>
        <w:ind w:left="1134" w:hanging="567"/>
      </w:pPr>
      <w:r w:rsidRPr="00B3624C">
        <w:t>refused; or</w:t>
      </w:r>
    </w:p>
    <w:p w14:paraId="5F9444C6" w14:textId="1A81289B" w:rsidR="003B4493" w:rsidRPr="00B3624C" w:rsidRDefault="003B4493" w:rsidP="00E5299D">
      <w:pPr>
        <w:pStyle w:val="List2"/>
        <w:numPr>
          <w:ilvl w:val="4"/>
          <w:numId w:val="133"/>
        </w:numPr>
        <w:ind w:left="1134" w:hanging="567"/>
      </w:pPr>
      <w:r w:rsidRPr="00B3624C">
        <w:t>granted on a temporary basis</w:t>
      </w:r>
      <w:r w:rsidR="00801A32">
        <w:t>—</w:t>
      </w:r>
      <w:r w:rsidRPr="00B3624C">
        <w:t>with or without conditions; or</w:t>
      </w:r>
    </w:p>
    <w:p w14:paraId="604D60EC" w14:textId="4FAC824D" w:rsidR="00AA7153" w:rsidRDefault="00E2435E" w:rsidP="00E5299D">
      <w:pPr>
        <w:pStyle w:val="List2"/>
        <w:numPr>
          <w:ilvl w:val="4"/>
          <w:numId w:val="133"/>
        </w:numPr>
        <w:ind w:left="1134" w:hanging="567"/>
      </w:pPr>
      <w:proofErr w:type="gramStart"/>
      <w:r>
        <w:t>granted</w:t>
      </w:r>
      <w:proofErr w:type="gramEnd"/>
      <w:r>
        <w:t xml:space="preserve"> on a permanent basis</w:t>
      </w:r>
      <w:r w:rsidR="00801A32">
        <w:t>—</w:t>
      </w:r>
      <w:r w:rsidR="003B4493" w:rsidRPr="00B3624C">
        <w:t>with or without conditions.</w:t>
      </w:r>
    </w:p>
    <w:p w14:paraId="0BA3D671" w14:textId="7714494F" w:rsidR="003B4493" w:rsidRPr="00B3624C" w:rsidRDefault="003B4493" w:rsidP="00E5299D">
      <w:pPr>
        <w:pStyle w:val="List"/>
        <w:numPr>
          <w:ilvl w:val="3"/>
          <w:numId w:val="133"/>
        </w:numPr>
      </w:pPr>
      <w:r w:rsidRPr="00B3624C">
        <w:t>Where the Department refuses the permit, it is required to provide the applicant with the reasons for the refusal.</w:t>
      </w:r>
    </w:p>
    <w:p w14:paraId="27666C11" w14:textId="74D62A96" w:rsidR="003B4493" w:rsidRPr="00B3624C" w:rsidRDefault="00F54575" w:rsidP="004C4A19">
      <w:pPr>
        <w:pStyle w:val="Heading3"/>
      </w:pPr>
      <w:r>
        <w:t>Letters of C</w:t>
      </w:r>
      <w:r w:rsidR="003B4493" w:rsidRPr="00B3624C">
        <w:t>learance</w:t>
      </w:r>
    </w:p>
    <w:p w14:paraId="0031F6EC" w14:textId="77777777" w:rsidR="00AA7153" w:rsidRDefault="003B4493" w:rsidP="00E5299D">
      <w:pPr>
        <w:pStyle w:val="List"/>
        <w:numPr>
          <w:ilvl w:val="3"/>
          <w:numId w:val="134"/>
        </w:numPr>
      </w:pPr>
      <w:r>
        <w:t xml:space="preserve">The </w:t>
      </w:r>
      <w:r w:rsidRPr="00B3624C">
        <w:t>Letter of Clearance</w:t>
      </w:r>
      <w:r>
        <w:t xml:space="preserve"> is given a </w:t>
      </w:r>
      <w:r w:rsidRPr="00B3624C">
        <w:t>statutory basis</w:t>
      </w:r>
      <w:r>
        <w:t>.</w:t>
      </w:r>
    </w:p>
    <w:p w14:paraId="33EEA503" w14:textId="77777777" w:rsidR="00AA7153" w:rsidRDefault="003B4493" w:rsidP="00E5299D">
      <w:pPr>
        <w:pStyle w:val="List"/>
        <w:numPr>
          <w:ilvl w:val="3"/>
          <w:numId w:val="134"/>
        </w:numPr>
      </w:pPr>
      <w:r>
        <w:t>They</w:t>
      </w:r>
      <w:r w:rsidRPr="00B3624C">
        <w:t xml:space="preserve"> may be issued by the Department to owners of goods which are of a type regulated by the Act b</w:t>
      </w:r>
      <w:r w:rsidR="00F54575">
        <w:t>ut which do not meet the</w:t>
      </w:r>
      <w:r w:rsidRPr="00B3624C">
        <w:t xml:space="preserve"> criteria to be Australian Heritage Material.</w:t>
      </w:r>
    </w:p>
    <w:p w14:paraId="79A52B5F" w14:textId="77777777" w:rsidR="00AA7153" w:rsidRDefault="003B4493" w:rsidP="004C4A19">
      <w:pPr>
        <w:pStyle w:val="Heading3"/>
      </w:pPr>
      <w:r w:rsidRPr="00B3624C">
        <w:t>Retention of Certificates of Exemption for material exported prior to 1987</w:t>
      </w:r>
    </w:p>
    <w:p w14:paraId="04D64A83" w14:textId="77777777" w:rsidR="00AA7153" w:rsidRDefault="003B4493" w:rsidP="00E5299D">
      <w:pPr>
        <w:pStyle w:val="List"/>
        <w:numPr>
          <w:ilvl w:val="3"/>
          <w:numId w:val="135"/>
        </w:numPr>
      </w:pPr>
      <w:r w:rsidRPr="00B3624C">
        <w:t>Where the owner of an object exported from Australia prior to 1987 wishes to re-import that object on a temporary basis, a Certificate of Exemption may be issued.</w:t>
      </w:r>
    </w:p>
    <w:p w14:paraId="7B736025" w14:textId="77777777" w:rsidR="00AA7153" w:rsidRDefault="0076039B" w:rsidP="00E5299D">
      <w:pPr>
        <w:pStyle w:val="List"/>
        <w:numPr>
          <w:ilvl w:val="3"/>
          <w:numId w:val="135"/>
        </w:numPr>
      </w:pPr>
      <w:r>
        <w:t xml:space="preserve">A </w:t>
      </w:r>
      <w:r w:rsidR="003B4493" w:rsidRPr="00B3624C">
        <w:t>Certificate of Exemption allows for the object to be re-exported without being subject to the Act.</w:t>
      </w:r>
    </w:p>
    <w:p w14:paraId="77E19D28" w14:textId="2BF54561" w:rsidR="003B4493" w:rsidRPr="00B3624C" w:rsidRDefault="003B4493" w:rsidP="00E5299D">
      <w:pPr>
        <w:pStyle w:val="List"/>
        <w:numPr>
          <w:ilvl w:val="3"/>
          <w:numId w:val="135"/>
        </w:numPr>
      </w:pPr>
      <w:r w:rsidRPr="00B3624C">
        <w:t>The legislation should provi</w:t>
      </w:r>
      <w:r>
        <w:t>de grounds for consideration by</w:t>
      </w:r>
      <w:r w:rsidRPr="00B3624C">
        <w:t xml:space="preserve"> decision-makers, including:</w:t>
      </w:r>
    </w:p>
    <w:p w14:paraId="2557117A" w14:textId="51D1AAC1" w:rsidR="003B4493" w:rsidRPr="00B3624C" w:rsidRDefault="003B4493" w:rsidP="00E5299D">
      <w:pPr>
        <w:pStyle w:val="List2"/>
        <w:numPr>
          <w:ilvl w:val="4"/>
          <w:numId w:val="135"/>
        </w:numPr>
        <w:ind w:left="1134" w:hanging="567"/>
      </w:pPr>
      <w:r w:rsidRPr="00B3624C">
        <w:t>cultural sensitivities regarding the material (including consultation which may be required for Aboriginal or Torres Strait Islander Material</w:t>
      </w:r>
      <w:r w:rsidR="00F54575">
        <w:t xml:space="preserve"> and Ancestral Remains</w:t>
      </w:r>
      <w:r w:rsidRPr="00B3624C">
        <w:t>);</w:t>
      </w:r>
    </w:p>
    <w:p w14:paraId="1846383C" w14:textId="77777777" w:rsidR="003B4493" w:rsidRPr="00B3624C" w:rsidRDefault="003B4493" w:rsidP="00E5299D">
      <w:pPr>
        <w:pStyle w:val="List2"/>
        <w:numPr>
          <w:ilvl w:val="4"/>
          <w:numId w:val="135"/>
        </w:numPr>
      </w:pPr>
      <w:r w:rsidRPr="00B3624C">
        <w:t>the purpose for which it is being imported (including whether there is likelihood of it remaining in Australia e.g. it is being imported to be offered for sale); and</w:t>
      </w:r>
    </w:p>
    <w:p w14:paraId="58E81124" w14:textId="73908B8C" w:rsidR="003B4493" w:rsidRPr="00B3624C" w:rsidRDefault="003B4493" w:rsidP="00E5299D">
      <w:pPr>
        <w:pStyle w:val="List2"/>
        <w:numPr>
          <w:ilvl w:val="4"/>
          <w:numId w:val="135"/>
        </w:numPr>
      </w:pPr>
      <w:proofErr w:type="gramStart"/>
      <w:r w:rsidRPr="00B3624C">
        <w:t>whether</w:t>
      </w:r>
      <w:proofErr w:type="gramEnd"/>
      <w:r w:rsidRPr="00B3624C">
        <w:t xml:space="preserve"> the initial export from Australia was legal (either under the Act or </w:t>
      </w:r>
      <w:r>
        <w:t>other legislation</w:t>
      </w:r>
      <w:r w:rsidRPr="00B3624C">
        <w:t>).</w:t>
      </w:r>
    </w:p>
    <w:p w14:paraId="59E66685" w14:textId="77777777" w:rsidR="003B4493" w:rsidRPr="00B3624C" w:rsidRDefault="003B4493" w:rsidP="00052178">
      <w:pPr>
        <w:pStyle w:val="Heading2"/>
      </w:pPr>
      <w:bookmarkStart w:id="406" w:name="_Toc431223059"/>
      <w:bookmarkStart w:id="407" w:name="_Toc431303205"/>
      <w:bookmarkStart w:id="408" w:name="_Toc431307853"/>
      <w:bookmarkStart w:id="409" w:name="_Toc433906630"/>
      <w:r w:rsidRPr="00B3624C">
        <w:lastRenderedPageBreak/>
        <w:t>Extension of General Permit system for temporary exports</w:t>
      </w:r>
      <w:bookmarkEnd w:id="406"/>
      <w:bookmarkEnd w:id="407"/>
      <w:bookmarkEnd w:id="408"/>
      <w:bookmarkEnd w:id="409"/>
    </w:p>
    <w:p w14:paraId="69EF6DA9" w14:textId="77777777" w:rsidR="00AA7153" w:rsidRDefault="003B4493" w:rsidP="00E5299D">
      <w:pPr>
        <w:pStyle w:val="List"/>
        <w:numPr>
          <w:ilvl w:val="3"/>
          <w:numId w:val="136"/>
        </w:numPr>
        <w:ind w:left="567" w:hanging="567"/>
      </w:pPr>
      <w:r>
        <w:t xml:space="preserve">A </w:t>
      </w:r>
      <w:r w:rsidRPr="00B3624C">
        <w:t xml:space="preserve">General </w:t>
      </w:r>
      <w:r>
        <w:t>P</w:t>
      </w:r>
      <w:r w:rsidRPr="00B3624C">
        <w:t xml:space="preserve">ermit will be available to a wide range of organisations, to allow material to be temporarily exported without the need for </w:t>
      </w:r>
      <w:r>
        <w:t xml:space="preserve">individual </w:t>
      </w:r>
      <w:r w:rsidRPr="00B3624C">
        <w:t>applications.</w:t>
      </w:r>
    </w:p>
    <w:p w14:paraId="66AA56DF" w14:textId="77777777" w:rsidR="00AA7153" w:rsidRDefault="003B4493" w:rsidP="00E5299D">
      <w:pPr>
        <w:pStyle w:val="List"/>
        <w:numPr>
          <w:ilvl w:val="3"/>
          <w:numId w:val="136"/>
        </w:numPr>
        <w:ind w:left="567" w:hanging="567"/>
      </w:pPr>
      <w:r w:rsidRPr="00B3624C">
        <w:t xml:space="preserve">The General Permit issued to </w:t>
      </w:r>
      <w:r>
        <w:t xml:space="preserve">a Principal </w:t>
      </w:r>
      <w:r w:rsidRPr="00B3624C">
        <w:t>Collecting Institution is extended to permit it to temporarily export</w:t>
      </w:r>
      <w:r w:rsidR="0076039B">
        <w:t>,</w:t>
      </w:r>
      <w:r w:rsidRPr="00B3624C">
        <w:t xml:space="preserve"> for the purpose of public exhibition, conservation, research or education</w:t>
      </w:r>
      <w:r w:rsidR="0076039B">
        <w:t>,</w:t>
      </w:r>
      <w:r w:rsidRPr="00B3624C">
        <w:t xml:space="preserve"> Australian Heritage Material or Australian Protected Material that:</w:t>
      </w:r>
    </w:p>
    <w:p w14:paraId="253760AB" w14:textId="214ECA0F" w:rsidR="003B4493" w:rsidRPr="00B3624C" w:rsidRDefault="003B4493" w:rsidP="00E5299D">
      <w:pPr>
        <w:pStyle w:val="List2"/>
        <w:numPr>
          <w:ilvl w:val="4"/>
          <w:numId w:val="136"/>
        </w:numPr>
        <w:ind w:left="1134" w:hanging="567"/>
      </w:pPr>
      <w:r w:rsidRPr="00B3624C">
        <w:t>is from its own collections; or</w:t>
      </w:r>
    </w:p>
    <w:p w14:paraId="633DF51C" w14:textId="77777777" w:rsidR="00AA7153" w:rsidRDefault="00F54575" w:rsidP="00E5299D">
      <w:pPr>
        <w:pStyle w:val="List2"/>
        <w:numPr>
          <w:ilvl w:val="4"/>
          <w:numId w:val="136"/>
        </w:numPr>
        <w:ind w:left="1134" w:hanging="567"/>
      </w:pPr>
      <w:proofErr w:type="gramStart"/>
      <w:r>
        <w:t>i</w:t>
      </w:r>
      <w:r w:rsidR="003B4493" w:rsidRPr="00B3624C">
        <w:t>s</w:t>
      </w:r>
      <w:proofErr w:type="gramEnd"/>
      <w:r w:rsidR="003B4493" w:rsidRPr="00B3624C">
        <w:t xml:space="preserve"> borrowed pursuant to a formal loan agreement for the purpose.</w:t>
      </w:r>
    </w:p>
    <w:p w14:paraId="7204DEC7" w14:textId="580AE838" w:rsidR="00AA7153" w:rsidRDefault="003B4493" w:rsidP="00E5299D">
      <w:pPr>
        <w:pStyle w:val="List"/>
        <w:numPr>
          <w:ilvl w:val="3"/>
          <w:numId w:val="136"/>
        </w:numPr>
        <w:ind w:left="567" w:hanging="567"/>
      </w:pPr>
      <w:r w:rsidRPr="00B3624C">
        <w:t xml:space="preserve">The Department </w:t>
      </w:r>
      <w:r>
        <w:t>may</w:t>
      </w:r>
      <w:r w:rsidR="00F54575">
        <w:t xml:space="preserve"> impose</w:t>
      </w:r>
      <w:r w:rsidRPr="00B3624C">
        <w:t xml:space="preserve"> eligibility criteria so that risk may be assessed or reduced. Applications for a </w:t>
      </w:r>
      <w:r>
        <w:t>G</w:t>
      </w:r>
      <w:r w:rsidRPr="00B3624C">
        <w:t xml:space="preserve">eneral </w:t>
      </w:r>
      <w:r>
        <w:t>P</w:t>
      </w:r>
      <w:r w:rsidRPr="00B3624C">
        <w:t xml:space="preserve">ermit may be </w:t>
      </w:r>
      <w:r w:rsidR="005158C3">
        <w:t>made by both commercial and not-</w:t>
      </w:r>
      <w:r w:rsidRPr="00B3624C">
        <w:t>for</w:t>
      </w:r>
      <w:r w:rsidR="005158C3">
        <w:t>-</w:t>
      </w:r>
      <w:r w:rsidRPr="00B3624C">
        <w:t>profit organisations.</w:t>
      </w:r>
    </w:p>
    <w:p w14:paraId="12B26769" w14:textId="77777777" w:rsidR="00AA7153" w:rsidRDefault="003B4493" w:rsidP="00E5299D">
      <w:pPr>
        <w:pStyle w:val="List"/>
        <w:numPr>
          <w:ilvl w:val="3"/>
          <w:numId w:val="136"/>
        </w:numPr>
        <w:ind w:left="567" w:hanging="567"/>
      </w:pPr>
      <w:r w:rsidRPr="00B3624C">
        <w:t>An applicant organisation will be required to provide information about its governance, membership structure, nature of its activities and an explanation as to the need for a General Permit. General Permits may be issued with conditions specific to the organisation.</w:t>
      </w:r>
    </w:p>
    <w:p w14:paraId="69A67C37" w14:textId="77777777" w:rsidR="00AA7153" w:rsidRDefault="003B4493" w:rsidP="00E5299D">
      <w:pPr>
        <w:pStyle w:val="List"/>
        <w:numPr>
          <w:ilvl w:val="3"/>
          <w:numId w:val="136"/>
        </w:numPr>
        <w:ind w:left="567" w:hanging="567"/>
      </w:pPr>
      <w:r w:rsidRPr="00B3624C">
        <w:t>Declared Australian Protected Material may not be exported under a General Permit unless the permit holder is a Principal Collect</w:t>
      </w:r>
      <w:r w:rsidR="00F54575">
        <w:t>ing Institution or an Aboriginal or Torres Strait Islander</w:t>
      </w:r>
      <w:r w:rsidRPr="00B3624C">
        <w:t xml:space="preserve"> organisation (in relation to Part 1 material only). </w:t>
      </w:r>
    </w:p>
    <w:p w14:paraId="7A0C2133" w14:textId="77777777" w:rsidR="00AA7153" w:rsidRDefault="003B4493" w:rsidP="00E5299D">
      <w:pPr>
        <w:pStyle w:val="List"/>
        <w:numPr>
          <w:ilvl w:val="3"/>
          <w:numId w:val="136"/>
        </w:numPr>
        <w:ind w:left="567" w:hanging="567"/>
      </w:pPr>
      <w:r w:rsidRPr="00B3624C">
        <w:t>A General Permit will usually be issued by the Department for 3 years at which time the holder may make an application for renewal. Principal Collecting Institutions are not required to reapply.</w:t>
      </w:r>
    </w:p>
    <w:p w14:paraId="2F50CC59" w14:textId="32F848C3" w:rsidR="003B4493" w:rsidRPr="00B3624C" w:rsidRDefault="003B4493" w:rsidP="00E5299D">
      <w:pPr>
        <w:pStyle w:val="List"/>
        <w:numPr>
          <w:ilvl w:val="3"/>
          <w:numId w:val="136"/>
        </w:numPr>
        <w:ind w:left="567" w:hanging="567"/>
      </w:pPr>
      <w:r>
        <w:t xml:space="preserve">A </w:t>
      </w:r>
      <w:r w:rsidRPr="00B3624C">
        <w:t>General Permit can be revoked at the discretion of the Department at any time.</w:t>
      </w:r>
    </w:p>
    <w:p w14:paraId="690E72AA" w14:textId="77777777" w:rsidR="00AA7153" w:rsidRDefault="003B4493" w:rsidP="00E5299D">
      <w:pPr>
        <w:pStyle w:val="List"/>
        <w:numPr>
          <w:ilvl w:val="3"/>
          <w:numId w:val="136"/>
        </w:numPr>
        <w:ind w:left="567" w:hanging="567"/>
      </w:pPr>
      <w:r>
        <w:t xml:space="preserve">The </w:t>
      </w:r>
      <w:r w:rsidRPr="00B3624C">
        <w:t xml:space="preserve">breach of any conditions of the General </w:t>
      </w:r>
      <w:r>
        <w:t>P</w:t>
      </w:r>
      <w:r w:rsidRPr="00B3624C">
        <w:t>ermit</w:t>
      </w:r>
      <w:r>
        <w:t xml:space="preserve"> is an offence to which sanctions (including fines and forfeiture) apply</w:t>
      </w:r>
      <w:r w:rsidRPr="00B3624C">
        <w:t>.</w:t>
      </w:r>
    </w:p>
    <w:p w14:paraId="5F0E2F4B" w14:textId="77777777" w:rsidR="00AA7153" w:rsidRDefault="003B4493" w:rsidP="00052178">
      <w:pPr>
        <w:pStyle w:val="Heading2"/>
      </w:pPr>
      <w:bookmarkStart w:id="410" w:name="_Toc431223060"/>
      <w:bookmarkStart w:id="411" w:name="_Toc431303206"/>
      <w:bookmarkStart w:id="412" w:name="_Toc431307854"/>
      <w:bookmarkStart w:id="413" w:name="_Toc433906631"/>
      <w:r w:rsidRPr="00B3624C">
        <w:t>Change of decision-maker from Minister to Department</w:t>
      </w:r>
      <w:bookmarkEnd w:id="410"/>
      <w:bookmarkEnd w:id="411"/>
      <w:bookmarkEnd w:id="412"/>
      <w:bookmarkEnd w:id="413"/>
    </w:p>
    <w:p w14:paraId="42A819C7" w14:textId="6A51CC0E" w:rsidR="003B4493" w:rsidRPr="00B3624C" w:rsidRDefault="003B4493" w:rsidP="00E5299D">
      <w:pPr>
        <w:pStyle w:val="List"/>
        <w:numPr>
          <w:ilvl w:val="3"/>
          <w:numId w:val="137"/>
        </w:numPr>
        <w:ind w:left="567" w:hanging="567"/>
      </w:pPr>
      <w:r w:rsidRPr="00B3624C">
        <w:t>Export applications are made to and decisions made by, the Department.</w:t>
      </w:r>
    </w:p>
    <w:p w14:paraId="3388EEB9" w14:textId="77777777" w:rsidR="00AA7153" w:rsidRDefault="003B4493" w:rsidP="00E5299D">
      <w:pPr>
        <w:pStyle w:val="List"/>
        <w:numPr>
          <w:ilvl w:val="3"/>
          <w:numId w:val="137"/>
        </w:numPr>
        <w:ind w:left="567" w:hanging="567"/>
      </w:pPr>
      <w:r w:rsidRPr="00B3624C">
        <w:t>Approval by the Minister is required for a declaration of a particular item or a class of material as Australian Heritage Material or Australian Protected Material.</w:t>
      </w:r>
    </w:p>
    <w:p w14:paraId="643521EC" w14:textId="3E3933E7" w:rsidR="003B4493" w:rsidRPr="00B3624C" w:rsidRDefault="003B4493" w:rsidP="004C4A19">
      <w:pPr>
        <w:pStyle w:val="Heading3"/>
      </w:pPr>
      <w:r w:rsidRPr="00B3624C">
        <w:lastRenderedPageBreak/>
        <w:t>Appeal</w:t>
      </w:r>
    </w:p>
    <w:p w14:paraId="1E5B4898" w14:textId="77777777" w:rsidR="00AA7153" w:rsidRDefault="003B4493" w:rsidP="00E5299D">
      <w:pPr>
        <w:pStyle w:val="List"/>
        <w:numPr>
          <w:ilvl w:val="3"/>
          <w:numId w:val="138"/>
        </w:numPr>
        <w:ind w:left="567" w:hanging="567"/>
      </w:pPr>
      <w:r w:rsidRPr="00B3624C">
        <w:t>Applicants may challenge a decision by appeal to the Administrative Appeals Tribunal.</w:t>
      </w:r>
    </w:p>
    <w:p w14:paraId="2BCD6717" w14:textId="273B05D3" w:rsidR="003B4493" w:rsidRPr="00B3624C" w:rsidRDefault="003B4493" w:rsidP="004C4A19">
      <w:pPr>
        <w:pStyle w:val="Heading3"/>
      </w:pPr>
      <w:r w:rsidRPr="00B3624C">
        <w:t>Transparency</w:t>
      </w:r>
    </w:p>
    <w:p w14:paraId="01F8ACB5" w14:textId="77777777" w:rsidR="003B4493" w:rsidRPr="00B3624C" w:rsidRDefault="003B4493" w:rsidP="00E5299D">
      <w:pPr>
        <w:pStyle w:val="List"/>
        <w:numPr>
          <w:ilvl w:val="3"/>
          <w:numId w:val="139"/>
        </w:numPr>
        <w:ind w:left="567" w:hanging="567"/>
      </w:pPr>
      <w:r w:rsidRPr="00B3624C">
        <w:t xml:space="preserve">Where an application is made for the permanent export of either Australian Heritage Material or Australian Protected Material, the </w:t>
      </w:r>
      <w:r>
        <w:t xml:space="preserve">Department shall make the </w:t>
      </w:r>
      <w:r w:rsidRPr="00B3624C">
        <w:t>following information publicly available:</w:t>
      </w:r>
    </w:p>
    <w:p w14:paraId="3C065CF1" w14:textId="7D9BACF8" w:rsidR="003B4493" w:rsidRDefault="003B4493" w:rsidP="00E5299D">
      <w:pPr>
        <w:pStyle w:val="List2"/>
        <w:numPr>
          <w:ilvl w:val="4"/>
          <w:numId w:val="139"/>
        </w:numPr>
        <w:ind w:left="1134" w:hanging="567"/>
      </w:pPr>
      <w:r w:rsidRPr="00B3624C">
        <w:t xml:space="preserve">the application, including </w:t>
      </w:r>
      <w:r>
        <w:t xml:space="preserve">physical and </w:t>
      </w:r>
      <w:r w:rsidRPr="00B3624C">
        <w:t>provenance information</w:t>
      </w:r>
      <w:r>
        <w:t xml:space="preserve"> relating to the material</w:t>
      </w:r>
      <w:r w:rsidR="00F54575">
        <w:t>;</w:t>
      </w:r>
    </w:p>
    <w:p w14:paraId="3078501E" w14:textId="77777777" w:rsidR="00AA7153" w:rsidRDefault="003B4493" w:rsidP="00E5299D">
      <w:pPr>
        <w:pStyle w:val="List2"/>
        <w:numPr>
          <w:ilvl w:val="4"/>
          <w:numId w:val="139"/>
        </w:numPr>
        <w:ind w:left="1134" w:hanging="567"/>
      </w:pPr>
      <w:r w:rsidRPr="00B3624C">
        <w:t>the state of residence of the owner;</w:t>
      </w:r>
    </w:p>
    <w:p w14:paraId="37A21A31" w14:textId="2EFCBA00" w:rsidR="003B4493" w:rsidRPr="00B3624C" w:rsidRDefault="003B4493" w:rsidP="00E5299D">
      <w:pPr>
        <w:pStyle w:val="List2"/>
        <w:numPr>
          <w:ilvl w:val="4"/>
          <w:numId w:val="139"/>
        </w:numPr>
        <w:ind w:left="1134" w:hanging="567"/>
      </w:pPr>
      <w:r w:rsidRPr="00B3624C">
        <w:t>any significance report prepared by Assessors; and</w:t>
      </w:r>
    </w:p>
    <w:p w14:paraId="60D3AD27" w14:textId="409D7EBF" w:rsidR="003B4493" w:rsidRPr="00B3624C" w:rsidRDefault="003B4493" w:rsidP="00E5299D">
      <w:pPr>
        <w:pStyle w:val="List2"/>
        <w:numPr>
          <w:ilvl w:val="4"/>
          <w:numId w:val="139"/>
        </w:numPr>
        <w:ind w:left="1134" w:hanging="567"/>
      </w:pPr>
      <w:proofErr w:type="gramStart"/>
      <w:r w:rsidRPr="00B3624C">
        <w:t>the</w:t>
      </w:r>
      <w:proofErr w:type="gramEnd"/>
      <w:r w:rsidRPr="00B3624C">
        <w:t xml:space="preserve"> decision, with reasoning, as to the grant</w:t>
      </w:r>
      <w:r w:rsidR="0076039B">
        <w:t>ing</w:t>
      </w:r>
      <w:r w:rsidRPr="00B3624C">
        <w:t xml:space="preserve"> or refusal of the permit.</w:t>
      </w:r>
    </w:p>
    <w:p w14:paraId="33A6ABD4" w14:textId="77777777" w:rsidR="003B4493" w:rsidRPr="00B3624C" w:rsidRDefault="003B4493" w:rsidP="00E5299D">
      <w:pPr>
        <w:pStyle w:val="List"/>
        <w:numPr>
          <w:ilvl w:val="3"/>
          <w:numId w:val="139"/>
        </w:numPr>
        <w:ind w:left="567" w:hanging="567"/>
      </w:pPr>
      <w:r w:rsidRPr="00B3624C">
        <w:t>The identity of a</w:t>
      </w:r>
      <w:r>
        <w:t>n</w:t>
      </w:r>
      <w:r w:rsidRPr="00B3624C">
        <w:t xml:space="preserve"> Assessor will not be made publicly available unless he or she </w:t>
      </w:r>
      <w:r>
        <w:t>consents</w:t>
      </w:r>
      <w:r w:rsidRPr="00B3624C">
        <w:t>.</w:t>
      </w:r>
    </w:p>
    <w:p w14:paraId="12A2E824" w14:textId="2F40A8B8" w:rsidR="00AA7153" w:rsidRDefault="003B4493" w:rsidP="00E5299D">
      <w:pPr>
        <w:pStyle w:val="List"/>
        <w:numPr>
          <w:ilvl w:val="3"/>
          <w:numId w:val="139"/>
        </w:numPr>
        <w:ind w:left="567" w:hanging="567"/>
      </w:pPr>
      <w:r>
        <w:t>A</w:t>
      </w:r>
      <w:r w:rsidRPr="00B3624C">
        <w:t xml:space="preserve">fter </w:t>
      </w:r>
      <w:r>
        <w:t>an</w:t>
      </w:r>
      <w:r w:rsidRPr="00B3624C">
        <w:t xml:space="preserve"> application</w:t>
      </w:r>
      <w:r>
        <w:t xml:space="preserve"> for permanent export</w:t>
      </w:r>
      <w:r w:rsidRPr="00B3624C">
        <w:t xml:space="preserve"> is published </w:t>
      </w:r>
      <w:r>
        <w:t>t</w:t>
      </w:r>
      <w:r w:rsidRPr="00B3624C">
        <w:t xml:space="preserve">here </w:t>
      </w:r>
      <w:r>
        <w:t>will be</w:t>
      </w:r>
      <w:r w:rsidR="005158C3">
        <w:t xml:space="preserve"> a two</w:t>
      </w:r>
      <w:r w:rsidRPr="00B3624C">
        <w:t>-week period for public submissions</w:t>
      </w:r>
      <w:r>
        <w:t xml:space="preserve"> before a decision is made</w:t>
      </w:r>
      <w:r w:rsidRPr="00B3624C">
        <w:t>.</w:t>
      </w:r>
    </w:p>
    <w:p w14:paraId="452F578E" w14:textId="12A658A2" w:rsidR="003B4493" w:rsidRPr="00B3624C" w:rsidRDefault="003B4493" w:rsidP="00052178">
      <w:pPr>
        <w:pStyle w:val="Heading2"/>
      </w:pPr>
      <w:bookmarkStart w:id="414" w:name="_Toc431223061"/>
      <w:bookmarkStart w:id="415" w:name="_Toc431303207"/>
      <w:bookmarkStart w:id="416" w:name="_Toc431307855"/>
      <w:bookmarkStart w:id="417" w:name="_Toc433906632"/>
      <w:r w:rsidRPr="00B3624C">
        <w:t>Widened National Cultural Heritage Account</w:t>
      </w:r>
      <w:bookmarkEnd w:id="414"/>
      <w:bookmarkEnd w:id="415"/>
      <w:bookmarkEnd w:id="416"/>
      <w:bookmarkEnd w:id="417"/>
    </w:p>
    <w:p w14:paraId="443EBB73" w14:textId="77777777" w:rsidR="003B4493" w:rsidRPr="00B3624C" w:rsidRDefault="003B4493" w:rsidP="004C4A19">
      <w:pPr>
        <w:pStyle w:val="Heading3"/>
      </w:pPr>
      <w:r w:rsidRPr="00B3624C">
        <w:t>Eligibility</w:t>
      </w:r>
    </w:p>
    <w:p w14:paraId="1FF093B3" w14:textId="24572A05" w:rsidR="00AA7153" w:rsidRDefault="003B4493" w:rsidP="00E5299D">
      <w:pPr>
        <w:pStyle w:val="List"/>
        <w:numPr>
          <w:ilvl w:val="3"/>
          <w:numId w:val="140"/>
        </w:numPr>
        <w:ind w:left="567" w:hanging="567"/>
      </w:pPr>
      <w:r w:rsidRPr="00B3624C">
        <w:t xml:space="preserve">Only </w:t>
      </w:r>
      <w:r w:rsidR="00F54575">
        <w:t>C</w:t>
      </w:r>
      <w:r>
        <w:t>ommonwealth, state</w:t>
      </w:r>
      <w:r w:rsidR="005158C3">
        <w:t>, territory</w:t>
      </w:r>
      <w:r>
        <w:t xml:space="preserve"> or local government</w:t>
      </w:r>
      <w:r w:rsidRPr="00B3624C">
        <w:t xml:space="preserve"> </w:t>
      </w:r>
      <w:r>
        <w:t xml:space="preserve">bodies </w:t>
      </w:r>
      <w:r w:rsidRPr="00B3624C">
        <w:t xml:space="preserve">or incorporated not-for-profit organisations are eligible to apply for funding from the </w:t>
      </w:r>
      <w:r w:rsidR="00F54575">
        <w:t>A</w:t>
      </w:r>
      <w:r w:rsidRPr="00B3624C">
        <w:t>ccount.</w:t>
      </w:r>
    </w:p>
    <w:p w14:paraId="58F296E0" w14:textId="0EB063C7" w:rsidR="003B4493" w:rsidRPr="00B3624C" w:rsidRDefault="003B4493" w:rsidP="004C4A19">
      <w:pPr>
        <w:pStyle w:val="Heading3"/>
      </w:pPr>
      <w:r>
        <w:t>Extended</w:t>
      </w:r>
      <w:r w:rsidRPr="00B3624C">
        <w:t xml:space="preserve"> </w:t>
      </w:r>
      <w:r>
        <w:t>purposes</w:t>
      </w:r>
    </w:p>
    <w:p w14:paraId="35E98718" w14:textId="77777777" w:rsidR="00AA7153" w:rsidRDefault="003B4493" w:rsidP="00E5299D">
      <w:pPr>
        <w:pStyle w:val="List"/>
        <w:numPr>
          <w:ilvl w:val="3"/>
          <w:numId w:val="185"/>
        </w:numPr>
      </w:pPr>
      <w:r w:rsidRPr="00B3624C">
        <w:t xml:space="preserve">Funds may be granted from the Account for the following purposes: </w:t>
      </w:r>
    </w:p>
    <w:p w14:paraId="3B510EE4" w14:textId="6B5EFBAA" w:rsidR="003B4493" w:rsidRPr="00B3624C" w:rsidRDefault="003B4493" w:rsidP="00E5299D">
      <w:pPr>
        <w:pStyle w:val="List2"/>
        <w:numPr>
          <w:ilvl w:val="4"/>
          <w:numId w:val="185"/>
        </w:numPr>
        <w:ind w:left="1134" w:hanging="567"/>
      </w:pPr>
      <w:r w:rsidRPr="00B3624C">
        <w:t xml:space="preserve">the overseas acquisition of </w:t>
      </w:r>
      <w:r>
        <w:t xml:space="preserve">Australia-related cultural heritage material </w:t>
      </w:r>
      <w:r w:rsidRPr="00B3624C">
        <w:t>for return to Australia;</w:t>
      </w:r>
    </w:p>
    <w:p w14:paraId="2FB50C22" w14:textId="77777777" w:rsidR="003B4493" w:rsidRPr="00B3624C" w:rsidRDefault="003B4493" w:rsidP="00E5299D">
      <w:pPr>
        <w:pStyle w:val="List2"/>
        <w:numPr>
          <w:ilvl w:val="4"/>
          <w:numId w:val="185"/>
        </w:numPr>
        <w:ind w:left="1134" w:hanging="567"/>
      </w:pPr>
      <w:r w:rsidRPr="00B3624C">
        <w:t xml:space="preserve">the acquisition </w:t>
      </w:r>
      <w:r>
        <w:t xml:space="preserve">in Australia </w:t>
      </w:r>
      <w:r w:rsidRPr="00B3624C">
        <w:t xml:space="preserve">of </w:t>
      </w:r>
      <w:r>
        <w:t>Australia-related cultural heritage material</w:t>
      </w:r>
      <w:r w:rsidRPr="00B3624C">
        <w:t>; and</w:t>
      </w:r>
    </w:p>
    <w:p w14:paraId="4F9F3CE2" w14:textId="7B53D8A7" w:rsidR="003B4493" w:rsidRPr="00B3624C" w:rsidRDefault="003B4493" w:rsidP="00E5299D">
      <w:pPr>
        <w:pStyle w:val="List2"/>
        <w:numPr>
          <w:ilvl w:val="4"/>
          <w:numId w:val="185"/>
        </w:numPr>
        <w:ind w:left="1134" w:hanging="567"/>
      </w:pPr>
      <w:proofErr w:type="gramStart"/>
      <w:r w:rsidRPr="00B3624C">
        <w:t>other</w:t>
      </w:r>
      <w:proofErr w:type="gramEnd"/>
      <w:r w:rsidRPr="00B3624C">
        <w:t xml:space="preserve"> activities related to, or which will facilitate the acquisition of, </w:t>
      </w:r>
      <w:r>
        <w:t>Australia-related cultural heritage material</w:t>
      </w:r>
      <w:r w:rsidRPr="00B3624C">
        <w:t xml:space="preserve"> (such as transportation, professional </w:t>
      </w:r>
      <w:r w:rsidRPr="00B3624C">
        <w:lastRenderedPageBreak/>
        <w:t>advices, conservation, restoration and specialised storage systems</w:t>
      </w:r>
      <w:r w:rsidR="00801A32">
        <w:t>—</w:t>
      </w:r>
      <w:r w:rsidRPr="00B3624C">
        <w:t>including digital storage).</w:t>
      </w:r>
    </w:p>
    <w:p w14:paraId="2AEF7D59" w14:textId="77777777" w:rsidR="003B4493" w:rsidRPr="00B3624C" w:rsidRDefault="003B4493" w:rsidP="004C4A19">
      <w:pPr>
        <w:pStyle w:val="Heading3"/>
      </w:pPr>
      <w:r w:rsidRPr="00B3624C">
        <w:t>Decision-maker</w:t>
      </w:r>
    </w:p>
    <w:p w14:paraId="40A8919B" w14:textId="77777777" w:rsidR="003B4493" w:rsidRPr="00B3624C" w:rsidRDefault="003B4493" w:rsidP="00E5299D">
      <w:pPr>
        <w:pStyle w:val="List"/>
        <w:numPr>
          <w:ilvl w:val="3"/>
          <w:numId w:val="141"/>
        </w:numPr>
        <w:ind w:left="567" w:hanging="567"/>
      </w:pPr>
      <w:r w:rsidRPr="00B3624C">
        <w:t>The decision to provide funds from the Account is that of the Minister</w:t>
      </w:r>
      <w:r>
        <w:t xml:space="preserve"> or delegate</w:t>
      </w:r>
      <w:r w:rsidRPr="00B3624C">
        <w:t>.</w:t>
      </w:r>
    </w:p>
    <w:p w14:paraId="1DE6ABB8" w14:textId="77777777" w:rsidR="003B4493" w:rsidRPr="00B3624C" w:rsidRDefault="003B4493" w:rsidP="00E5299D">
      <w:pPr>
        <w:pStyle w:val="List"/>
        <w:numPr>
          <w:ilvl w:val="3"/>
          <w:numId w:val="141"/>
        </w:numPr>
        <w:ind w:left="567" w:hanging="567"/>
      </w:pPr>
      <w:r w:rsidRPr="00B3624C">
        <w:t xml:space="preserve">The </w:t>
      </w:r>
      <w:r>
        <w:t>decision-maker</w:t>
      </w:r>
      <w:r w:rsidRPr="00B3624C">
        <w:t xml:space="preserve"> may seek advice on the application from one or more experts on the Register or form a panel if required.</w:t>
      </w:r>
    </w:p>
    <w:p w14:paraId="35568577" w14:textId="77777777" w:rsidR="003B4493" w:rsidRPr="00B3624C" w:rsidRDefault="003B4493" w:rsidP="00E5299D">
      <w:pPr>
        <w:pStyle w:val="List"/>
        <w:numPr>
          <w:ilvl w:val="3"/>
          <w:numId w:val="141"/>
        </w:numPr>
        <w:ind w:left="567" w:hanging="567"/>
      </w:pPr>
      <w:r>
        <w:t>The decision-maker</w:t>
      </w:r>
      <w:r w:rsidRPr="00B3624C">
        <w:t xml:space="preserve"> must have regard to the following:</w:t>
      </w:r>
    </w:p>
    <w:p w14:paraId="534AF4FB" w14:textId="77777777" w:rsidR="003B4493" w:rsidRPr="00B3624C" w:rsidRDefault="003B4493" w:rsidP="00E5299D">
      <w:pPr>
        <w:pStyle w:val="List2"/>
        <w:numPr>
          <w:ilvl w:val="4"/>
          <w:numId w:val="141"/>
        </w:numPr>
        <w:ind w:left="1134" w:hanging="567"/>
      </w:pPr>
      <w:r w:rsidRPr="00B3624C">
        <w:t xml:space="preserve">the significance of the </w:t>
      </w:r>
      <w:r>
        <w:t>material</w:t>
      </w:r>
      <w:r w:rsidRPr="00B3624C">
        <w:t>;</w:t>
      </w:r>
    </w:p>
    <w:p w14:paraId="7DA51759" w14:textId="77777777" w:rsidR="003B4493" w:rsidRPr="00B3624C" w:rsidRDefault="003B4493" w:rsidP="00E5299D">
      <w:pPr>
        <w:pStyle w:val="List2"/>
        <w:numPr>
          <w:ilvl w:val="4"/>
          <w:numId w:val="141"/>
        </w:numPr>
        <w:ind w:left="1134" w:hanging="567"/>
      </w:pPr>
      <w:r w:rsidRPr="00B3624C">
        <w:t>the suitability of the applicant organisation;</w:t>
      </w:r>
    </w:p>
    <w:p w14:paraId="5541BD50" w14:textId="77777777" w:rsidR="00AA7153" w:rsidRDefault="003B4493" w:rsidP="00E5299D">
      <w:pPr>
        <w:pStyle w:val="List2"/>
        <w:numPr>
          <w:ilvl w:val="4"/>
          <w:numId w:val="141"/>
        </w:numPr>
        <w:ind w:left="1134" w:hanging="567"/>
      </w:pPr>
      <w:r w:rsidRPr="00B3624C">
        <w:t>the purpose for which the funding is sought;</w:t>
      </w:r>
    </w:p>
    <w:p w14:paraId="0D69EE05" w14:textId="5AF07191" w:rsidR="003B4493" w:rsidRPr="00B3624C" w:rsidRDefault="003B4493" w:rsidP="00E5299D">
      <w:pPr>
        <w:pStyle w:val="List2"/>
        <w:numPr>
          <w:ilvl w:val="4"/>
          <w:numId w:val="141"/>
        </w:numPr>
        <w:ind w:left="1134" w:hanging="567"/>
      </w:pPr>
      <w:r w:rsidRPr="00B3624C">
        <w:t>whether the costs represent fair market value; and</w:t>
      </w:r>
    </w:p>
    <w:p w14:paraId="33DCF8A7" w14:textId="77777777" w:rsidR="003B4493" w:rsidRPr="00B3624C" w:rsidRDefault="003B4493" w:rsidP="00E5299D">
      <w:pPr>
        <w:pStyle w:val="List2"/>
        <w:numPr>
          <w:ilvl w:val="4"/>
          <w:numId w:val="141"/>
        </w:numPr>
        <w:ind w:left="1134" w:hanging="567"/>
      </w:pPr>
      <w:proofErr w:type="gramStart"/>
      <w:r w:rsidRPr="00B3624C">
        <w:t>the</w:t>
      </w:r>
      <w:proofErr w:type="gramEnd"/>
      <w:r w:rsidRPr="00B3624C">
        <w:t xml:space="preserve"> source and amount of third party contributions to the project (noting that not all contributions will be financial).</w:t>
      </w:r>
    </w:p>
    <w:p w14:paraId="202246F4" w14:textId="77777777" w:rsidR="00AA7153" w:rsidRDefault="003B4493" w:rsidP="00E5299D">
      <w:pPr>
        <w:pStyle w:val="List"/>
        <w:numPr>
          <w:ilvl w:val="3"/>
          <w:numId w:val="141"/>
        </w:numPr>
        <w:ind w:left="567" w:hanging="567"/>
      </w:pPr>
      <w:r>
        <w:t xml:space="preserve">The model is modestly increased </w:t>
      </w:r>
      <w:r w:rsidR="00F54575">
        <w:t xml:space="preserve">and structure </w:t>
      </w:r>
      <w:r>
        <w:t>strengthened</w:t>
      </w:r>
      <w:r w:rsidR="00F54575">
        <w:t xml:space="preserve"> by</w:t>
      </w:r>
      <w:r w:rsidRPr="00B3624C">
        <w:t>:</w:t>
      </w:r>
    </w:p>
    <w:p w14:paraId="7ADBE358" w14:textId="560886A5" w:rsidR="003B4493" w:rsidRPr="00B3624C" w:rsidRDefault="003B4493" w:rsidP="00E5299D">
      <w:pPr>
        <w:pStyle w:val="List2"/>
        <w:numPr>
          <w:ilvl w:val="4"/>
          <w:numId w:val="141"/>
        </w:numPr>
        <w:ind w:left="1134" w:hanging="567"/>
      </w:pPr>
      <w:r>
        <w:t>the Account receiv</w:t>
      </w:r>
      <w:r w:rsidR="0076039B">
        <w:t>ing</w:t>
      </w:r>
      <w:r>
        <w:t xml:space="preserve"> </w:t>
      </w:r>
      <w:r w:rsidRPr="00B3624C">
        <w:t>$1m per annum; and</w:t>
      </w:r>
    </w:p>
    <w:p w14:paraId="76985AF8" w14:textId="5218E6DF" w:rsidR="00E2435E" w:rsidRPr="00B3624C" w:rsidRDefault="003B4493" w:rsidP="00E5299D">
      <w:pPr>
        <w:pStyle w:val="List2"/>
        <w:numPr>
          <w:ilvl w:val="4"/>
          <w:numId w:val="141"/>
        </w:numPr>
        <w:ind w:left="1134" w:hanging="567"/>
      </w:pPr>
      <w:proofErr w:type="gramStart"/>
      <w:r>
        <w:t>any</w:t>
      </w:r>
      <w:proofErr w:type="gramEnd"/>
      <w:r>
        <w:t xml:space="preserve"> </w:t>
      </w:r>
      <w:r w:rsidRPr="00B3624C">
        <w:t xml:space="preserve">unspent money at the end of the financial year </w:t>
      </w:r>
      <w:r w:rsidR="0076039B">
        <w:t>being</w:t>
      </w:r>
      <w:r>
        <w:t xml:space="preserve"> permitted to </w:t>
      </w:r>
      <w:r w:rsidRPr="00B3624C">
        <w:t>accumulate so that it is available in the following year.</w:t>
      </w:r>
    </w:p>
    <w:p w14:paraId="21BC7649" w14:textId="7E82B5F3" w:rsidR="00E2435E" w:rsidRPr="00E2435E" w:rsidRDefault="00E2435E" w:rsidP="00E2435E">
      <w:pPr>
        <w:pStyle w:val="Heading1"/>
      </w:pPr>
      <w:bookmarkStart w:id="418" w:name="_Toc431223062"/>
      <w:bookmarkStart w:id="419" w:name="_Toc431303208"/>
      <w:bookmarkStart w:id="420" w:name="_Toc431307856"/>
      <w:bookmarkStart w:id="421" w:name="_Toc433906633"/>
      <w:r>
        <w:t>Protection of Foreign Cultural Material</w:t>
      </w:r>
      <w:r w:rsidR="00801A32">
        <w:t>—</w:t>
      </w:r>
      <w:r>
        <w:t>import provisions</w:t>
      </w:r>
      <w:bookmarkEnd w:id="418"/>
      <w:bookmarkEnd w:id="419"/>
      <w:bookmarkEnd w:id="420"/>
      <w:bookmarkEnd w:id="421"/>
    </w:p>
    <w:p w14:paraId="40CF8177" w14:textId="64EC846F" w:rsidR="00F8414F" w:rsidRPr="002528CB" w:rsidRDefault="00F8414F" w:rsidP="00052178">
      <w:pPr>
        <w:pStyle w:val="Heading2"/>
      </w:pPr>
      <w:bookmarkStart w:id="422" w:name="_Toc431223063"/>
      <w:bookmarkStart w:id="423" w:name="_Toc431303209"/>
      <w:bookmarkStart w:id="424" w:name="_Toc431307857"/>
      <w:bookmarkStart w:id="425" w:name="_Toc433906634"/>
      <w:r w:rsidRPr="002528CB">
        <w:t>Ambit</w:t>
      </w:r>
      <w:bookmarkEnd w:id="422"/>
      <w:bookmarkEnd w:id="423"/>
      <w:bookmarkEnd w:id="424"/>
      <w:bookmarkEnd w:id="425"/>
    </w:p>
    <w:p w14:paraId="25E9AC4E" w14:textId="77777777" w:rsidR="00E2435E" w:rsidRDefault="00F8414F" w:rsidP="00E5299D">
      <w:pPr>
        <w:pStyle w:val="List"/>
        <w:numPr>
          <w:ilvl w:val="3"/>
          <w:numId w:val="142"/>
        </w:numPr>
        <w:ind w:left="567" w:hanging="567"/>
      </w:pPr>
      <w:r>
        <w:t>The new</w:t>
      </w:r>
      <w:r w:rsidRPr="007C77CF">
        <w:t xml:space="preserve"> model </w:t>
      </w:r>
      <w:r>
        <w:t xml:space="preserve">provides </w:t>
      </w:r>
      <w:r w:rsidRPr="007C77CF">
        <w:t>protect</w:t>
      </w:r>
      <w:r>
        <w:t>ion to</w:t>
      </w:r>
      <w:r w:rsidRPr="007C77CF">
        <w:t xml:space="preserve"> foreign cultural material that has been:</w:t>
      </w:r>
    </w:p>
    <w:p w14:paraId="107D655D" w14:textId="77777777" w:rsidR="00AA7153" w:rsidRDefault="00F8414F" w:rsidP="00E5299D">
      <w:pPr>
        <w:pStyle w:val="List"/>
        <w:numPr>
          <w:ilvl w:val="4"/>
          <w:numId w:val="142"/>
        </w:numPr>
        <w:ind w:left="1134" w:hanging="567"/>
      </w:pPr>
      <w:r w:rsidRPr="00D87FA1">
        <w:t>illegally exported;</w:t>
      </w:r>
    </w:p>
    <w:p w14:paraId="46BF81D4" w14:textId="5E08BE67" w:rsidR="00F8414F" w:rsidRDefault="00F8414F" w:rsidP="00E5299D">
      <w:pPr>
        <w:pStyle w:val="List"/>
        <w:numPr>
          <w:ilvl w:val="4"/>
          <w:numId w:val="142"/>
        </w:numPr>
        <w:ind w:left="1134" w:hanging="567"/>
      </w:pPr>
      <w:r>
        <w:t xml:space="preserve">stolen, including material stolen from a public collection </w:t>
      </w:r>
      <w:r w:rsidRPr="00D87FA1">
        <w:t>which is documented in an inventory or otherwise identified (‘inventoried material’</w:t>
      </w:r>
      <w:r w:rsidR="00E2435E">
        <w:t>); or</w:t>
      </w:r>
    </w:p>
    <w:p w14:paraId="3BE472F0" w14:textId="6C7A2DC2" w:rsidR="00F8414F" w:rsidRPr="00D87FA1" w:rsidRDefault="00F8414F" w:rsidP="00E5299D">
      <w:pPr>
        <w:pStyle w:val="List"/>
        <w:numPr>
          <w:ilvl w:val="4"/>
          <w:numId w:val="142"/>
        </w:numPr>
        <w:ind w:left="1134" w:hanging="567"/>
      </w:pPr>
      <w:r w:rsidRPr="00D87FA1">
        <w:t>illegally removed during arme</w:t>
      </w:r>
      <w:r w:rsidR="00E2435E">
        <w:t>d conflict (‘looted material’);</w:t>
      </w:r>
    </w:p>
    <w:p w14:paraId="4B1D8770" w14:textId="77777777" w:rsidR="00AA7153" w:rsidRDefault="00F8414F" w:rsidP="00F8414F">
      <w:pPr>
        <w:pStyle w:val="ListParagraph"/>
        <w:ind w:left="709"/>
        <w:rPr>
          <w:rFonts w:cs="Arial"/>
          <w:szCs w:val="24"/>
        </w:rPr>
      </w:pPr>
      <w:proofErr w:type="gramStart"/>
      <w:r w:rsidRPr="007C77CF">
        <w:rPr>
          <w:rFonts w:cs="Arial"/>
          <w:szCs w:val="24"/>
        </w:rPr>
        <w:t>by</w:t>
      </w:r>
      <w:proofErr w:type="gramEnd"/>
      <w:r w:rsidRPr="007C77CF">
        <w:rPr>
          <w:rFonts w:cs="Arial"/>
          <w:szCs w:val="24"/>
        </w:rPr>
        <w:t xml:space="preserve"> making it illegal to import, </w:t>
      </w:r>
      <w:r>
        <w:rPr>
          <w:rFonts w:cs="Arial"/>
          <w:szCs w:val="24"/>
        </w:rPr>
        <w:t xml:space="preserve">or to </w:t>
      </w:r>
      <w:r w:rsidRPr="005F5022">
        <w:rPr>
          <w:rFonts w:cs="Arial"/>
          <w:szCs w:val="24"/>
        </w:rPr>
        <w:t>own</w:t>
      </w:r>
      <w:r>
        <w:rPr>
          <w:rFonts w:cs="Arial"/>
          <w:szCs w:val="24"/>
        </w:rPr>
        <w:t>,</w:t>
      </w:r>
      <w:r w:rsidRPr="005F5022">
        <w:rPr>
          <w:rFonts w:cs="Arial"/>
          <w:szCs w:val="24"/>
        </w:rPr>
        <w:t xml:space="preserve"> possess</w:t>
      </w:r>
      <w:r>
        <w:rPr>
          <w:rFonts w:cs="Arial"/>
          <w:szCs w:val="24"/>
        </w:rPr>
        <w:t xml:space="preserve"> or</w:t>
      </w:r>
      <w:r w:rsidRPr="005F5022">
        <w:rPr>
          <w:rFonts w:cs="Arial"/>
          <w:szCs w:val="24"/>
        </w:rPr>
        <w:t xml:space="preserve"> trade</w:t>
      </w:r>
      <w:r w:rsidRPr="007C77CF">
        <w:rPr>
          <w:rFonts w:cs="Arial"/>
          <w:szCs w:val="24"/>
        </w:rPr>
        <w:t xml:space="preserve"> in such </w:t>
      </w:r>
      <w:r>
        <w:rPr>
          <w:rFonts w:cs="Arial"/>
          <w:szCs w:val="24"/>
        </w:rPr>
        <w:t xml:space="preserve">imported </w:t>
      </w:r>
      <w:r w:rsidRPr="007C77CF">
        <w:rPr>
          <w:rFonts w:cs="Arial"/>
          <w:szCs w:val="24"/>
        </w:rPr>
        <w:t xml:space="preserve">material (whether for oneself or for others). </w:t>
      </w:r>
    </w:p>
    <w:p w14:paraId="5E1DBF6F" w14:textId="77777777" w:rsidR="00AA7153" w:rsidRDefault="00F8414F" w:rsidP="00E5299D">
      <w:pPr>
        <w:pStyle w:val="List"/>
        <w:numPr>
          <w:ilvl w:val="3"/>
          <w:numId w:val="142"/>
        </w:numPr>
        <w:ind w:left="567" w:hanging="567"/>
      </w:pPr>
      <w:r w:rsidRPr="007C77CF">
        <w:lastRenderedPageBreak/>
        <w:t xml:space="preserve">Protection </w:t>
      </w:r>
      <w:r>
        <w:t xml:space="preserve">is </w:t>
      </w:r>
      <w:r w:rsidRPr="007C77CF">
        <w:t xml:space="preserve">extended to </w:t>
      </w:r>
      <w:r>
        <w:t xml:space="preserve">the </w:t>
      </w:r>
      <w:r w:rsidRPr="007C77CF">
        <w:t xml:space="preserve">cultural material </w:t>
      </w:r>
      <w:r>
        <w:t>of all countries</w:t>
      </w:r>
      <w:r w:rsidRPr="007C77CF">
        <w:t xml:space="preserve"> whether or not they are signatories to the UNESCO Convention 1970.</w:t>
      </w:r>
    </w:p>
    <w:p w14:paraId="32A8D342" w14:textId="77777777" w:rsidR="00AA7153" w:rsidRDefault="00F8414F" w:rsidP="00E5299D">
      <w:pPr>
        <w:pStyle w:val="List"/>
        <w:numPr>
          <w:ilvl w:val="3"/>
          <w:numId w:val="142"/>
        </w:numPr>
        <w:ind w:left="567" w:hanging="567"/>
      </w:pPr>
      <w:r>
        <w:t>It is not intended that anything in the model contravene Australia’s current obligations to the UNESCO Convention 1970.</w:t>
      </w:r>
    </w:p>
    <w:p w14:paraId="4FCE6CA8" w14:textId="3645E682" w:rsidR="00F8414F" w:rsidRPr="002528CB" w:rsidRDefault="00F8414F" w:rsidP="00052178">
      <w:pPr>
        <w:pStyle w:val="Heading2"/>
      </w:pPr>
      <w:bookmarkStart w:id="426" w:name="_Toc431223064"/>
      <w:bookmarkStart w:id="427" w:name="_Toc431303210"/>
      <w:bookmarkStart w:id="428" w:name="_Toc431307858"/>
      <w:bookmarkStart w:id="429" w:name="_Toc433906635"/>
      <w:r w:rsidRPr="002528CB">
        <w:t>Defi</w:t>
      </w:r>
      <w:r w:rsidRPr="002528CB">
        <w:rPr>
          <w:rStyle w:val="Heading3Char"/>
          <w:b/>
          <w:bCs/>
          <w:color w:val="0076A5"/>
          <w:sz w:val="26"/>
        </w:rPr>
        <w:t>n</w:t>
      </w:r>
      <w:r w:rsidRPr="002528CB">
        <w:t>itions</w:t>
      </w:r>
      <w:bookmarkEnd w:id="426"/>
      <w:bookmarkEnd w:id="427"/>
      <w:bookmarkEnd w:id="428"/>
      <w:bookmarkEnd w:id="429"/>
    </w:p>
    <w:p w14:paraId="379C0B22" w14:textId="77777777" w:rsidR="00E2435E" w:rsidRDefault="00F8414F" w:rsidP="00E5299D">
      <w:pPr>
        <w:pStyle w:val="ListParagraph"/>
        <w:numPr>
          <w:ilvl w:val="3"/>
          <w:numId w:val="143"/>
        </w:numPr>
        <w:ind w:left="567" w:hanging="567"/>
      </w:pPr>
      <w:r>
        <w:t>The following are definitional matters to be</w:t>
      </w:r>
      <w:r w:rsidR="00E2435E">
        <w:t xml:space="preserve"> taken into account in drafting.</w:t>
      </w:r>
    </w:p>
    <w:p w14:paraId="3E2D2825" w14:textId="2271EC99" w:rsidR="00F8414F" w:rsidRPr="00D87FA1" w:rsidRDefault="00F8414F" w:rsidP="00E5299D">
      <w:pPr>
        <w:pStyle w:val="ListParagraph"/>
        <w:numPr>
          <w:ilvl w:val="3"/>
          <w:numId w:val="143"/>
        </w:numPr>
        <w:ind w:left="567" w:hanging="567"/>
      </w:pPr>
      <w:r w:rsidRPr="00E2435E">
        <w:rPr>
          <w:b/>
        </w:rPr>
        <w:t>‘Cultural material’</w:t>
      </w:r>
      <w:r w:rsidRPr="00D87FA1">
        <w:t>, the diverse range of cultural material protected by the legislation is described as</w:t>
      </w:r>
      <w:r>
        <w:t xml:space="preserve"> follows</w:t>
      </w:r>
      <w:r w:rsidRPr="00D87FA1">
        <w:t>:</w:t>
      </w:r>
    </w:p>
    <w:p w14:paraId="26B81B4B" w14:textId="77777777" w:rsidR="00AA7153" w:rsidRDefault="00F8414F" w:rsidP="00E2435E">
      <w:pPr>
        <w:pStyle w:val="List2"/>
        <w:ind w:left="567" w:firstLine="0"/>
      </w:pPr>
      <w:r>
        <w:t>‘</w:t>
      </w:r>
      <w:proofErr w:type="gramStart"/>
      <w:r w:rsidRPr="00D87FA1">
        <w:t>cultural</w:t>
      </w:r>
      <w:proofErr w:type="gramEnd"/>
      <w:r w:rsidRPr="00D87FA1">
        <w:t xml:space="preserve"> heritage</w:t>
      </w:r>
      <w:r>
        <w:t>’ means</w:t>
      </w:r>
      <w:r w:rsidRPr="00D87FA1">
        <w:t xml:space="preserve"> </w:t>
      </w:r>
      <w:r w:rsidR="00024A10">
        <w:t xml:space="preserve">movable </w:t>
      </w:r>
      <w:r w:rsidRPr="00D87FA1">
        <w:t>material of importance for ethnological, archaeological, historical, literary, artistic, scientific, spiritual, natural or technological reasons.</w:t>
      </w:r>
    </w:p>
    <w:p w14:paraId="7BA003B7" w14:textId="77777777" w:rsidR="00AA7153" w:rsidRDefault="00F8414F" w:rsidP="00E5299D">
      <w:pPr>
        <w:pStyle w:val="List2"/>
        <w:numPr>
          <w:ilvl w:val="0"/>
          <w:numId w:val="104"/>
        </w:numPr>
        <w:ind w:left="1134" w:hanging="567"/>
      </w:pPr>
      <w:r w:rsidRPr="00D87FA1">
        <w:t>In relation to Australian or Australian-related material, this is material falling within one or more of the National Cultural Heritage Control List categories.</w:t>
      </w:r>
    </w:p>
    <w:p w14:paraId="6889A463" w14:textId="77777777" w:rsidR="00AA7153" w:rsidRDefault="00F8414F" w:rsidP="00E5299D">
      <w:pPr>
        <w:pStyle w:val="List2"/>
        <w:numPr>
          <w:ilvl w:val="0"/>
          <w:numId w:val="104"/>
        </w:numPr>
        <w:ind w:left="1134" w:hanging="567"/>
      </w:pPr>
      <w:r w:rsidRPr="00D87FA1">
        <w:t>In relation to foreign material, this is material forming part of the cultural heritage of a foreign country.</w:t>
      </w:r>
    </w:p>
    <w:p w14:paraId="5FD95D15" w14:textId="44BB827C" w:rsidR="00024A10" w:rsidRPr="00024A10" w:rsidRDefault="00F8414F" w:rsidP="00E5299D">
      <w:pPr>
        <w:pStyle w:val="List"/>
        <w:numPr>
          <w:ilvl w:val="3"/>
          <w:numId w:val="143"/>
        </w:numPr>
        <w:ind w:left="567" w:hanging="567"/>
      </w:pPr>
      <w:r>
        <w:t>‘</w:t>
      </w:r>
      <w:r w:rsidRPr="008B6A7C">
        <w:rPr>
          <w:b/>
        </w:rPr>
        <w:t>Due diligence</w:t>
      </w:r>
      <w:r>
        <w:t xml:space="preserve">” </w:t>
      </w:r>
      <w:r w:rsidRPr="007C77CF">
        <w:t xml:space="preserve">will include </w:t>
      </w:r>
      <w:r>
        <w:t xml:space="preserve">all of the </w:t>
      </w:r>
      <w:r w:rsidRPr="002359E5">
        <w:rPr>
          <w:rFonts w:cs="Arial"/>
          <w:szCs w:val="24"/>
        </w:rPr>
        <w:t>circumstances of the acquisition including</w:t>
      </w:r>
      <w:r>
        <w:rPr>
          <w:rFonts w:cs="Arial"/>
          <w:szCs w:val="24"/>
        </w:rPr>
        <w:t>:</w:t>
      </w:r>
    </w:p>
    <w:p w14:paraId="3C14A635" w14:textId="77777777" w:rsidR="00024A10" w:rsidRPr="00024A10" w:rsidRDefault="00F8414F" w:rsidP="00E5299D">
      <w:pPr>
        <w:pStyle w:val="List"/>
        <w:numPr>
          <w:ilvl w:val="4"/>
          <w:numId w:val="143"/>
        </w:numPr>
        <w:ind w:left="1134" w:hanging="567"/>
      </w:pPr>
      <w:r w:rsidRPr="00024A10">
        <w:rPr>
          <w:rFonts w:cs="Arial"/>
          <w:szCs w:val="24"/>
        </w:rPr>
        <w:t>the character of the parties;</w:t>
      </w:r>
    </w:p>
    <w:p w14:paraId="7BDFD80F" w14:textId="77777777" w:rsidR="00024A10" w:rsidRDefault="00F8414F" w:rsidP="00E5299D">
      <w:pPr>
        <w:pStyle w:val="List"/>
        <w:numPr>
          <w:ilvl w:val="4"/>
          <w:numId w:val="143"/>
        </w:numPr>
        <w:ind w:left="1134" w:hanging="567"/>
      </w:pPr>
      <w:r>
        <w:t>the price paid;</w:t>
      </w:r>
    </w:p>
    <w:p w14:paraId="7E5B5D68" w14:textId="77777777" w:rsidR="00024A10" w:rsidRDefault="00F8414F" w:rsidP="00E5299D">
      <w:pPr>
        <w:pStyle w:val="List"/>
        <w:numPr>
          <w:ilvl w:val="4"/>
          <w:numId w:val="143"/>
        </w:numPr>
        <w:ind w:left="1134" w:hanging="567"/>
      </w:pPr>
      <w:r w:rsidRPr="00D142F6">
        <w:t>evidence of the t</w:t>
      </w:r>
      <w:r w:rsidRPr="007C77CF">
        <w:t>erms and place of purchase</w:t>
      </w:r>
      <w:r>
        <w:t>;</w:t>
      </w:r>
    </w:p>
    <w:p w14:paraId="5A72A8CD" w14:textId="77777777" w:rsidR="00024A10" w:rsidRDefault="00F8414F" w:rsidP="00E5299D">
      <w:pPr>
        <w:pStyle w:val="List"/>
        <w:numPr>
          <w:ilvl w:val="4"/>
          <w:numId w:val="143"/>
        </w:numPr>
        <w:ind w:left="1134" w:hanging="567"/>
      </w:pPr>
      <w:r w:rsidRPr="007C77CF">
        <w:t xml:space="preserve">all searches undertaken as to </w:t>
      </w:r>
      <w:r>
        <w:t>provenance and title;</w:t>
      </w:r>
    </w:p>
    <w:p w14:paraId="2375ECAB" w14:textId="77777777" w:rsidR="00AA7153" w:rsidRDefault="00F8414F" w:rsidP="00E5299D">
      <w:pPr>
        <w:pStyle w:val="List"/>
        <w:numPr>
          <w:ilvl w:val="4"/>
          <w:numId w:val="143"/>
        </w:numPr>
        <w:ind w:left="1134" w:hanging="567"/>
      </w:pPr>
      <w:r w:rsidRPr="00D142F6">
        <w:t>f</w:t>
      </w:r>
      <w:r w:rsidRPr="007C77CF">
        <w:t>ull documentation of the origin</w:t>
      </w:r>
      <w:r>
        <w:t>al</w:t>
      </w:r>
      <w:r w:rsidRPr="007C77CF">
        <w:t xml:space="preserve"> export</w:t>
      </w:r>
      <w:r>
        <w:t>;</w:t>
      </w:r>
    </w:p>
    <w:p w14:paraId="7288C906" w14:textId="037465E6" w:rsidR="00024A10" w:rsidRDefault="00F8414F" w:rsidP="00E5299D">
      <w:pPr>
        <w:pStyle w:val="List"/>
        <w:numPr>
          <w:ilvl w:val="4"/>
          <w:numId w:val="143"/>
        </w:numPr>
        <w:ind w:left="1134" w:hanging="567"/>
      </w:pPr>
      <w:r w:rsidRPr="00266ECC">
        <w:t xml:space="preserve">any other relevant information </w:t>
      </w:r>
      <w:r>
        <w:t>or</w:t>
      </w:r>
      <w:r w:rsidRPr="00266ECC">
        <w:t xml:space="preserve"> documentation </w:t>
      </w:r>
      <w:r>
        <w:t>that could re</w:t>
      </w:r>
      <w:r w:rsidR="00F54575">
        <w:t>asonably have been obtained; and</w:t>
      </w:r>
    </w:p>
    <w:p w14:paraId="23D80AE2" w14:textId="77777777" w:rsidR="00AA7153" w:rsidRDefault="00F8414F" w:rsidP="00E5299D">
      <w:pPr>
        <w:pStyle w:val="List"/>
        <w:numPr>
          <w:ilvl w:val="4"/>
          <w:numId w:val="143"/>
        </w:numPr>
        <w:ind w:left="1134" w:hanging="567"/>
      </w:pPr>
      <w:proofErr w:type="gramStart"/>
      <w:r w:rsidRPr="002359E5">
        <w:t>any</w:t>
      </w:r>
      <w:proofErr w:type="gramEnd"/>
      <w:r w:rsidRPr="002359E5">
        <w:t xml:space="preserve"> other step that a reasonable person would have taken in the circumstances</w:t>
      </w:r>
      <w:r w:rsidRPr="007C77CF">
        <w:t xml:space="preserve">. </w:t>
      </w:r>
    </w:p>
    <w:p w14:paraId="0391CD05" w14:textId="77777777" w:rsidR="00AA7153" w:rsidRDefault="00F8414F" w:rsidP="00E5299D">
      <w:pPr>
        <w:pStyle w:val="List"/>
        <w:numPr>
          <w:ilvl w:val="3"/>
          <w:numId w:val="143"/>
        </w:numPr>
        <w:ind w:left="567" w:hanging="567"/>
      </w:pPr>
      <w:r w:rsidRPr="00D87FA1">
        <w:rPr>
          <w:b/>
        </w:rPr>
        <w:t>‘</w:t>
      </w:r>
      <w:proofErr w:type="gramStart"/>
      <w:r w:rsidRPr="00D87FA1">
        <w:rPr>
          <w:b/>
        </w:rPr>
        <w:t>looted</w:t>
      </w:r>
      <w:proofErr w:type="gramEnd"/>
      <w:r w:rsidRPr="00D87FA1">
        <w:rPr>
          <w:b/>
        </w:rPr>
        <w:t>’</w:t>
      </w:r>
      <w:r w:rsidRPr="00D87FA1">
        <w:t xml:space="preserve"> include</w:t>
      </w:r>
      <w:r w:rsidR="00F54575">
        <w:t>s</w:t>
      </w:r>
      <w:r w:rsidRPr="00D87FA1">
        <w:t xml:space="preserve"> all cultural material which has been </w:t>
      </w:r>
      <w:r>
        <w:t xml:space="preserve">stolen or otherwise </w:t>
      </w:r>
      <w:r w:rsidRPr="00D87FA1">
        <w:t>illegally removed from a territory during armed conflict.</w:t>
      </w:r>
    </w:p>
    <w:p w14:paraId="0998663C" w14:textId="322654D9" w:rsidR="00024A10" w:rsidRDefault="00F8414F" w:rsidP="00E5299D">
      <w:pPr>
        <w:pStyle w:val="List"/>
        <w:numPr>
          <w:ilvl w:val="3"/>
          <w:numId w:val="143"/>
        </w:numPr>
        <w:ind w:left="567" w:hanging="567"/>
      </w:pPr>
      <w:r w:rsidRPr="00024A10">
        <w:rPr>
          <w:b/>
        </w:rPr>
        <w:t>‘</w:t>
      </w:r>
      <w:proofErr w:type="gramStart"/>
      <w:r w:rsidRPr="00024A10">
        <w:rPr>
          <w:b/>
        </w:rPr>
        <w:t>owner</w:t>
      </w:r>
      <w:proofErr w:type="gramEnd"/>
      <w:r w:rsidRPr="00024A10">
        <w:rPr>
          <w:b/>
        </w:rPr>
        <w:t>’</w:t>
      </w:r>
      <w:r w:rsidRPr="00D87FA1">
        <w:t xml:space="preserve">, when the claim is in respect of tribal or community material, the definition of ‘owner’ needs to be wide enough to encompass claims by </w:t>
      </w:r>
      <w:r w:rsidRPr="00024A10">
        <w:rPr>
          <w:i/>
        </w:rPr>
        <w:t>bone fide</w:t>
      </w:r>
      <w:r w:rsidRPr="00D87FA1">
        <w:t xml:space="preserve"> representatives of the relevant tribe, community or people.</w:t>
      </w:r>
    </w:p>
    <w:p w14:paraId="3B1AA9FE" w14:textId="77777777" w:rsidR="00024A10" w:rsidRDefault="00F8414F" w:rsidP="00E5299D">
      <w:pPr>
        <w:pStyle w:val="List"/>
        <w:numPr>
          <w:ilvl w:val="3"/>
          <w:numId w:val="143"/>
        </w:numPr>
        <w:ind w:left="567" w:hanging="567"/>
      </w:pPr>
      <w:r w:rsidRPr="00024A10">
        <w:rPr>
          <w:b/>
        </w:rPr>
        <w:t>‘</w:t>
      </w:r>
      <w:proofErr w:type="gramStart"/>
      <w:r w:rsidRPr="00024A10">
        <w:rPr>
          <w:b/>
        </w:rPr>
        <w:t>return</w:t>
      </w:r>
      <w:proofErr w:type="gramEnd"/>
      <w:r w:rsidRPr="00024A10">
        <w:rPr>
          <w:b/>
        </w:rPr>
        <w:t>’</w:t>
      </w:r>
      <w:r w:rsidRPr="00D87FA1">
        <w:t xml:space="preserve"> includes restitution.</w:t>
      </w:r>
    </w:p>
    <w:p w14:paraId="61B02350" w14:textId="77777777" w:rsidR="00024A10" w:rsidRDefault="00F8414F" w:rsidP="00E5299D">
      <w:pPr>
        <w:pStyle w:val="List"/>
        <w:numPr>
          <w:ilvl w:val="3"/>
          <w:numId w:val="143"/>
        </w:numPr>
        <w:ind w:left="567" w:hanging="567"/>
      </w:pPr>
      <w:r w:rsidRPr="00024A10">
        <w:rPr>
          <w:b/>
        </w:rPr>
        <w:lastRenderedPageBreak/>
        <w:t>‘public collection’</w:t>
      </w:r>
      <w:r w:rsidRPr="00D87FA1">
        <w:t xml:space="preserve"> consists of a group of inventoried or otherwise identified cultural material owned by a foreign:</w:t>
      </w:r>
    </w:p>
    <w:p w14:paraId="37895FB5" w14:textId="77777777" w:rsidR="00024A10" w:rsidRDefault="00F8414F" w:rsidP="00E5299D">
      <w:pPr>
        <w:pStyle w:val="List"/>
        <w:numPr>
          <w:ilvl w:val="4"/>
          <w:numId w:val="143"/>
        </w:numPr>
        <w:ind w:left="1134" w:hanging="567"/>
      </w:pPr>
      <w:r w:rsidRPr="00D87FA1">
        <w:t>government; or</w:t>
      </w:r>
    </w:p>
    <w:p w14:paraId="3D1DA439" w14:textId="77777777" w:rsidR="00024A10" w:rsidRDefault="00F8414F" w:rsidP="00E5299D">
      <w:pPr>
        <w:pStyle w:val="List"/>
        <w:numPr>
          <w:ilvl w:val="4"/>
          <w:numId w:val="143"/>
        </w:numPr>
        <w:ind w:left="1134" w:hanging="567"/>
      </w:pPr>
      <w:r w:rsidRPr="00D87FA1">
        <w:t>regional or local authority; or</w:t>
      </w:r>
    </w:p>
    <w:p w14:paraId="7EBC46BA" w14:textId="77777777" w:rsidR="00024A10" w:rsidRDefault="00F8414F" w:rsidP="00E5299D">
      <w:pPr>
        <w:pStyle w:val="List"/>
        <w:numPr>
          <w:ilvl w:val="4"/>
          <w:numId w:val="143"/>
        </w:numPr>
        <w:ind w:left="1134" w:hanging="567"/>
      </w:pPr>
      <w:r w:rsidRPr="00D87FA1">
        <w:t>religious institution; or</w:t>
      </w:r>
    </w:p>
    <w:p w14:paraId="548EF785" w14:textId="77777777" w:rsidR="00AA7153" w:rsidRDefault="00F8414F" w:rsidP="00E5299D">
      <w:pPr>
        <w:pStyle w:val="List"/>
        <w:numPr>
          <w:ilvl w:val="4"/>
          <w:numId w:val="143"/>
        </w:numPr>
        <w:ind w:left="1134" w:hanging="567"/>
      </w:pPr>
      <w:proofErr w:type="gramStart"/>
      <w:r w:rsidRPr="00D87FA1">
        <w:t>not-for-profit</w:t>
      </w:r>
      <w:proofErr w:type="gramEnd"/>
      <w:r w:rsidRPr="00D87FA1">
        <w:t xml:space="preserve"> collecting organisation established for cultural, educational or scientific purposes.</w:t>
      </w:r>
    </w:p>
    <w:p w14:paraId="2A84F6CF" w14:textId="0B72F789" w:rsidR="00F8414F" w:rsidRPr="00D87FA1" w:rsidRDefault="00F8414F" w:rsidP="00E5299D">
      <w:pPr>
        <w:pStyle w:val="List"/>
        <w:numPr>
          <w:ilvl w:val="3"/>
          <w:numId w:val="143"/>
        </w:numPr>
        <w:spacing w:before="240"/>
        <w:ind w:left="567" w:hanging="567"/>
      </w:pPr>
      <w:r w:rsidRPr="00D87FA1">
        <w:t>‘</w:t>
      </w:r>
      <w:proofErr w:type="gramStart"/>
      <w:r w:rsidRPr="009D6C31">
        <w:rPr>
          <w:b/>
        </w:rPr>
        <w:t>stolen</w:t>
      </w:r>
      <w:proofErr w:type="gramEnd"/>
      <w:r w:rsidRPr="00D87FA1">
        <w:t>’ include</w:t>
      </w:r>
      <w:r>
        <w:t>s</w:t>
      </w:r>
      <w:r w:rsidRPr="00D87FA1">
        <w:t xml:space="preserve"> cultural material that has been unlawfully excavated or lawfully excavated but unlawfully retained (according to the laws of the country of excavation).</w:t>
      </w:r>
    </w:p>
    <w:p w14:paraId="0C8E6F7C" w14:textId="77777777" w:rsidR="00AA7153" w:rsidRDefault="00F8414F" w:rsidP="00052178">
      <w:pPr>
        <w:pStyle w:val="Heading2"/>
      </w:pPr>
      <w:r w:rsidRPr="009F6673" w:rsidDel="00926B1F">
        <w:t xml:space="preserve"> </w:t>
      </w:r>
      <w:bookmarkStart w:id="430" w:name="_Toc431223065"/>
      <w:bookmarkStart w:id="431" w:name="_Toc431303211"/>
      <w:bookmarkStart w:id="432" w:name="_Toc431307859"/>
      <w:bookmarkStart w:id="433" w:name="_Toc433906636"/>
      <w:r w:rsidRPr="009F6673">
        <w:t xml:space="preserve">Provisions </w:t>
      </w:r>
      <w:r>
        <w:t>common</w:t>
      </w:r>
      <w:r w:rsidRPr="009F6673">
        <w:t xml:space="preserve"> to illegally imported</w:t>
      </w:r>
      <w:r>
        <w:t xml:space="preserve">, stolen or looted cultural </w:t>
      </w:r>
      <w:r w:rsidRPr="009F6673">
        <w:t>material</w:t>
      </w:r>
      <w:bookmarkEnd w:id="430"/>
      <w:bookmarkEnd w:id="431"/>
      <w:bookmarkEnd w:id="432"/>
      <w:bookmarkEnd w:id="433"/>
    </w:p>
    <w:p w14:paraId="0E24F378" w14:textId="0BBA7E5D" w:rsidR="00F8414F" w:rsidRPr="009F6673" w:rsidRDefault="00F8414F" w:rsidP="004C4A19">
      <w:pPr>
        <w:pStyle w:val="Heading3"/>
      </w:pPr>
      <w:r w:rsidRPr="009F6673">
        <w:t>General</w:t>
      </w:r>
    </w:p>
    <w:p w14:paraId="535AF44B" w14:textId="0345CDA4" w:rsidR="00024A10" w:rsidRDefault="00F8414F" w:rsidP="00E5299D">
      <w:pPr>
        <w:pStyle w:val="List"/>
        <w:numPr>
          <w:ilvl w:val="3"/>
          <w:numId w:val="186"/>
        </w:numPr>
      </w:pPr>
      <w:r>
        <w:t>The new model makes it unlawful to import into Australia foreign cultural property</w:t>
      </w:r>
      <w:r w:rsidR="00F54575">
        <w:t xml:space="preserve"> which has been</w:t>
      </w:r>
      <w:r>
        <w:t>:</w:t>
      </w:r>
    </w:p>
    <w:p w14:paraId="63516EFA" w14:textId="77777777" w:rsidR="00024A10" w:rsidRDefault="00F8414F" w:rsidP="00E5299D">
      <w:pPr>
        <w:pStyle w:val="List"/>
        <w:numPr>
          <w:ilvl w:val="4"/>
          <w:numId w:val="187"/>
        </w:numPr>
      </w:pPr>
      <w:r>
        <w:t>illegally exported from its country of origin;</w:t>
      </w:r>
    </w:p>
    <w:p w14:paraId="6E2CFE67" w14:textId="77777777" w:rsidR="00AA7153" w:rsidRDefault="00F8414F" w:rsidP="00E5299D">
      <w:pPr>
        <w:pStyle w:val="List"/>
        <w:numPr>
          <w:ilvl w:val="4"/>
          <w:numId w:val="187"/>
        </w:numPr>
        <w:ind w:left="1134" w:hanging="567"/>
      </w:pPr>
      <w:r>
        <w:t>stolen; or</w:t>
      </w:r>
    </w:p>
    <w:p w14:paraId="5BDD4A9D" w14:textId="4F579647" w:rsidR="00F8414F" w:rsidRDefault="00F8414F" w:rsidP="00E5299D">
      <w:pPr>
        <w:pStyle w:val="List"/>
        <w:numPr>
          <w:ilvl w:val="4"/>
          <w:numId w:val="187"/>
        </w:numPr>
        <w:ind w:left="1134" w:hanging="567"/>
      </w:pPr>
      <w:proofErr w:type="gramStart"/>
      <w:r>
        <w:t>looted</w:t>
      </w:r>
      <w:proofErr w:type="gramEnd"/>
      <w:r>
        <w:t>.</w:t>
      </w:r>
    </w:p>
    <w:p w14:paraId="09B6DEE7" w14:textId="77777777" w:rsidR="00024A10" w:rsidRDefault="00F8414F" w:rsidP="00E5299D">
      <w:pPr>
        <w:pStyle w:val="List"/>
        <w:numPr>
          <w:ilvl w:val="3"/>
          <w:numId w:val="187"/>
        </w:numPr>
      </w:pPr>
      <w:r>
        <w:t>Express offences are also created for the possession, ownership and trade in such material. To the extent that these already exist, they are modernised and amended as to evidentiary burdens.</w:t>
      </w:r>
    </w:p>
    <w:p w14:paraId="15642D8C" w14:textId="77777777" w:rsidR="00024A10" w:rsidRDefault="00F8414F" w:rsidP="00E5299D">
      <w:pPr>
        <w:pStyle w:val="List"/>
        <w:numPr>
          <w:ilvl w:val="3"/>
          <w:numId w:val="187"/>
        </w:numPr>
      </w:pPr>
      <w:r>
        <w:t>There is also an e</w:t>
      </w:r>
      <w:r w:rsidRPr="007C77CF">
        <w:t xml:space="preserve">xpress obligation on the possessor of </w:t>
      </w:r>
      <w:r>
        <w:t xml:space="preserve">illegally exported, </w:t>
      </w:r>
      <w:r w:rsidRPr="007C77CF">
        <w:t xml:space="preserve">stolen </w:t>
      </w:r>
      <w:r>
        <w:t xml:space="preserve">or looted </w:t>
      </w:r>
      <w:r w:rsidRPr="007C77CF">
        <w:t>cultural material to return it.</w:t>
      </w:r>
    </w:p>
    <w:p w14:paraId="64F80719" w14:textId="77777777" w:rsidR="00AA7153" w:rsidRDefault="00F8414F" w:rsidP="00E5299D">
      <w:pPr>
        <w:pStyle w:val="List"/>
        <w:numPr>
          <w:ilvl w:val="3"/>
          <w:numId w:val="187"/>
        </w:numPr>
      </w:pPr>
      <w:r>
        <w:t>A foreign claimant has the right to claim return of the unlawfully imported material.</w:t>
      </w:r>
    </w:p>
    <w:p w14:paraId="4BBA2539" w14:textId="4F28A2BD" w:rsidR="00F8414F" w:rsidRDefault="00F8414F" w:rsidP="00E5299D">
      <w:pPr>
        <w:pStyle w:val="List"/>
        <w:numPr>
          <w:ilvl w:val="3"/>
          <w:numId w:val="187"/>
        </w:numPr>
      </w:pPr>
      <w:r>
        <w:t xml:space="preserve">The mechanisms for return described below are consistent for each category of material unless explicitly articulated. In addition, the mechanisms are expressed in such terms as to allow them to apply to the handling of other </w:t>
      </w:r>
      <w:r w:rsidR="00F54575">
        <w:t xml:space="preserve">foreign </w:t>
      </w:r>
      <w:r>
        <w:t xml:space="preserve">cultural material found to be illicit under other Commonwealth legislation, such as the </w:t>
      </w:r>
      <w:r w:rsidRPr="00024A10">
        <w:rPr>
          <w:i/>
        </w:rPr>
        <w:t xml:space="preserve">Historic Shipwrecks Act 1976, </w:t>
      </w:r>
      <w:r w:rsidRPr="00C07346">
        <w:t>the</w:t>
      </w:r>
      <w:r w:rsidRPr="00024A10">
        <w:rPr>
          <w:i/>
        </w:rPr>
        <w:t xml:space="preserve"> Charter of the</w:t>
      </w:r>
      <w:r w:rsidRPr="00D125F4">
        <w:t xml:space="preserve"> </w:t>
      </w:r>
      <w:r w:rsidRPr="00024A10">
        <w:rPr>
          <w:i/>
        </w:rPr>
        <w:t xml:space="preserve">United Nations Act 1945, </w:t>
      </w:r>
      <w:r>
        <w:t>the</w:t>
      </w:r>
      <w:r w:rsidRPr="00024A10">
        <w:rPr>
          <w:i/>
        </w:rPr>
        <w:t xml:space="preserve"> Criminal Code Act 1995 </w:t>
      </w:r>
      <w:r>
        <w:t xml:space="preserve">and the </w:t>
      </w:r>
      <w:r w:rsidRPr="00024A10">
        <w:rPr>
          <w:i/>
          <w:szCs w:val="24"/>
        </w:rPr>
        <w:t>Customs Act 1901</w:t>
      </w:r>
      <w:r>
        <w:t>.</w:t>
      </w:r>
    </w:p>
    <w:p w14:paraId="3F32DD90" w14:textId="77777777" w:rsidR="00F8414F" w:rsidRPr="009F6673" w:rsidRDefault="00F8414F" w:rsidP="004C4A19">
      <w:pPr>
        <w:pStyle w:val="Heading3"/>
      </w:pPr>
      <w:r w:rsidRPr="009F6673">
        <w:lastRenderedPageBreak/>
        <w:t>Powers</w:t>
      </w:r>
    </w:p>
    <w:p w14:paraId="05117681" w14:textId="77777777" w:rsidR="00AA7153" w:rsidRDefault="00F54575" w:rsidP="00E5299D">
      <w:pPr>
        <w:pStyle w:val="List"/>
        <w:numPr>
          <w:ilvl w:val="0"/>
          <w:numId w:val="144"/>
        </w:numPr>
        <w:ind w:left="567" w:hanging="567"/>
      </w:pPr>
      <w:r>
        <w:t>The new model includes a</w:t>
      </w:r>
      <w:r w:rsidR="00F8414F" w:rsidRPr="00D87FA1">
        <w:t xml:space="preserve"> revised and modernised range of powers over suspected material, including search, holding, seizure and forfeiture powers.</w:t>
      </w:r>
    </w:p>
    <w:p w14:paraId="1E75D827" w14:textId="77777777" w:rsidR="00AA7153" w:rsidRDefault="00F8414F" w:rsidP="00E5299D">
      <w:pPr>
        <w:pStyle w:val="List"/>
        <w:numPr>
          <w:ilvl w:val="0"/>
          <w:numId w:val="144"/>
        </w:numPr>
        <w:ind w:left="567" w:hanging="567"/>
      </w:pPr>
      <w:r>
        <w:t>A power to hold c</w:t>
      </w:r>
      <w:r w:rsidRPr="00D87FA1">
        <w:t>ultural material for protection or safekeeping upon suspicion that it is illegally exported, stolen or looted.</w:t>
      </w:r>
    </w:p>
    <w:p w14:paraId="3C4A4D08" w14:textId="09FBDDBA" w:rsidR="00F8414F" w:rsidRPr="00D87FA1" w:rsidRDefault="00F8414F" w:rsidP="00E5299D">
      <w:pPr>
        <w:pStyle w:val="List"/>
        <w:numPr>
          <w:ilvl w:val="0"/>
          <w:numId w:val="144"/>
        </w:numPr>
        <w:ind w:left="567" w:hanging="567"/>
      </w:pPr>
      <w:r>
        <w:t>A p</w:t>
      </w:r>
      <w:r w:rsidRPr="00D87FA1">
        <w:t>ower to apply for a warrant to search, seize and hold the material</w:t>
      </w:r>
      <w:r>
        <w:t xml:space="preserve">, </w:t>
      </w:r>
      <w:r w:rsidRPr="00D87FA1">
        <w:t>available to an authorised Inspector under the Act (where there is reasonable suspicion that an object would be liable to seizure).</w:t>
      </w:r>
    </w:p>
    <w:p w14:paraId="0979FE7B" w14:textId="77777777" w:rsidR="00F8414F" w:rsidRPr="009F6673" w:rsidRDefault="00F8414F" w:rsidP="004C4A19">
      <w:pPr>
        <w:pStyle w:val="Heading3"/>
      </w:pPr>
      <w:r w:rsidRPr="009F6673">
        <w:t>Initiation of procedure</w:t>
      </w:r>
    </w:p>
    <w:p w14:paraId="3E21C7E5" w14:textId="680ACD8C" w:rsidR="00024A10" w:rsidRDefault="00F8414F" w:rsidP="00E5299D">
      <w:pPr>
        <w:pStyle w:val="List"/>
        <w:numPr>
          <w:ilvl w:val="0"/>
          <w:numId w:val="145"/>
        </w:numPr>
        <w:ind w:left="567" w:hanging="567"/>
      </w:pPr>
      <w:r w:rsidRPr="00D87FA1">
        <w:t xml:space="preserve">Cultural material may be held for protection or safekeeping upon suspicion that it </w:t>
      </w:r>
      <w:r>
        <w:t>has been</w:t>
      </w:r>
      <w:r w:rsidRPr="00D87FA1">
        <w:t xml:space="preserve"> illegally exported, stolen or looted</w:t>
      </w:r>
      <w:r>
        <w:t xml:space="preserve"> or is otherwise illegally imported</w:t>
      </w:r>
      <w:r w:rsidRPr="00D87FA1">
        <w:t xml:space="preserve">. </w:t>
      </w:r>
      <w:r>
        <w:t xml:space="preserve">For example, this may include a suspicion </w:t>
      </w:r>
      <w:r w:rsidRPr="00D87FA1">
        <w:t>that the m</w:t>
      </w:r>
      <w:r>
        <w:t>aterial was subject to protection</w:t>
      </w:r>
      <w:r w:rsidRPr="00D87FA1">
        <w:t xml:space="preserve"> or from a site protected by the Blue Shield or that the trade in the material is currently restricted or prohibited under a United Nations Security Council resolution.</w:t>
      </w:r>
    </w:p>
    <w:p w14:paraId="4679ABFB" w14:textId="77777777" w:rsidR="00AA7153" w:rsidRDefault="00F8414F" w:rsidP="00E5299D">
      <w:pPr>
        <w:pStyle w:val="List"/>
        <w:numPr>
          <w:ilvl w:val="0"/>
          <w:numId w:val="145"/>
        </w:numPr>
        <w:ind w:left="567" w:hanging="567"/>
      </w:pPr>
      <w:r w:rsidRPr="00D87FA1">
        <w:t>If material is held, pending seizure, the Department will seek to identify the material and initiate communications with the relevant foreign government or relevant authorities.</w:t>
      </w:r>
    </w:p>
    <w:p w14:paraId="38EA094F" w14:textId="77777777" w:rsidR="00AA7153" w:rsidRDefault="00F8414F" w:rsidP="004C4A19">
      <w:pPr>
        <w:pStyle w:val="Heading3"/>
      </w:pPr>
      <w:r w:rsidRPr="009F6673">
        <w:t>Time limits for making claims</w:t>
      </w:r>
    </w:p>
    <w:p w14:paraId="4A243D63" w14:textId="77777777" w:rsidR="00AA7153" w:rsidRDefault="00F8414F" w:rsidP="00E5299D">
      <w:pPr>
        <w:pStyle w:val="List"/>
        <w:numPr>
          <w:ilvl w:val="0"/>
          <w:numId w:val="146"/>
        </w:numPr>
        <w:ind w:left="567" w:hanging="567"/>
      </w:pPr>
      <w:r>
        <w:t xml:space="preserve">There must be clear temporal boundaries for a claim for the return of </w:t>
      </w:r>
      <w:r w:rsidRPr="00D87FA1">
        <w:t>cultural material on the grounds of illegal export, theft or looting</w:t>
      </w:r>
      <w:r>
        <w:t xml:space="preserve">. There are two sensible options (which one is chosen is a matter for Government). </w:t>
      </w:r>
    </w:p>
    <w:p w14:paraId="3F4D7839" w14:textId="0573E4FC" w:rsidR="008B0DDE" w:rsidRDefault="00F8414F" w:rsidP="00E5299D">
      <w:pPr>
        <w:pStyle w:val="List"/>
        <w:numPr>
          <w:ilvl w:val="0"/>
          <w:numId w:val="146"/>
        </w:numPr>
        <w:ind w:left="567" w:hanging="567"/>
      </w:pPr>
      <w:r>
        <w:t xml:space="preserve">The first option (which is in accord with the UNIDROIT </w:t>
      </w:r>
      <w:r w:rsidR="00F54575">
        <w:t>Convention 1995</w:t>
      </w:r>
      <w:r>
        <w:t xml:space="preserve">) is that the foreign claim </w:t>
      </w:r>
      <w:r w:rsidRPr="00D87FA1">
        <w:t>must be brought within:</w:t>
      </w:r>
    </w:p>
    <w:p w14:paraId="222F0C69" w14:textId="1A0A0577" w:rsidR="00024A10" w:rsidRDefault="00F8414F" w:rsidP="00E5299D">
      <w:pPr>
        <w:pStyle w:val="List"/>
        <w:numPr>
          <w:ilvl w:val="1"/>
          <w:numId w:val="146"/>
        </w:numPr>
        <w:ind w:left="1134" w:hanging="567"/>
      </w:pPr>
      <w:r w:rsidRPr="00D87FA1">
        <w:t>50 years of the date on which that material:</w:t>
      </w:r>
    </w:p>
    <w:p w14:paraId="3EE54FA1" w14:textId="77777777" w:rsidR="00024A10" w:rsidRDefault="00F8414F" w:rsidP="00E5299D">
      <w:pPr>
        <w:pStyle w:val="List"/>
        <w:numPr>
          <w:ilvl w:val="2"/>
          <w:numId w:val="146"/>
        </w:numPr>
        <w:ind w:left="1701" w:hanging="567"/>
      </w:pPr>
      <w:r w:rsidRPr="00D87FA1">
        <w:t>was unlawfully exported; or</w:t>
      </w:r>
    </w:p>
    <w:p w14:paraId="16E0B9D1" w14:textId="77777777" w:rsidR="00024A10" w:rsidRDefault="00F8414F" w:rsidP="00E5299D">
      <w:pPr>
        <w:pStyle w:val="List"/>
        <w:numPr>
          <w:ilvl w:val="2"/>
          <w:numId w:val="146"/>
        </w:numPr>
        <w:ind w:left="1701" w:hanging="567"/>
      </w:pPr>
      <w:r w:rsidRPr="00D87FA1">
        <w:t>should have been returned to that State under a permit for temporary export issued by that State; or</w:t>
      </w:r>
    </w:p>
    <w:p w14:paraId="09219A7D" w14:textId="77777777" w:rsidR="00AA7153" w:rsidRDefault="00F8414F" w:rsidP="00E5299D">
      <w:pPr>
        <w:pStyle w:val="List"/>
        <w:numPr>
          <w:ilvl w:val="2"/>
          <w:numId w:val="146"/>
        </w:numPr>
        <w:ind w:left="1701" w:hanging="567"/>
      </w:pPr>
      <w:r w:rsidRPr="00D87FA1">
        <w:t>was stolen; or</w:t>
      </w:r>
    </w:p>
    <w:p w14:paraId="7D6F1816" w14:textId="4F618BD5" w:rsidR="000B6292" w:rsidRDefault="00F8414F" w:rsidP="00E5299D">
      <w:pPr>
        <w:pStyle w:val="List"/>
        <w:numPr>
          <w:ilvl w:val="2"/>
          <w:numId w:val="146"/>
        </w:numPr>
        <w:ind w:left="1701" w:hanging="567"/>
      </w:pPr>
      <w:proofErr w:type="gramStart"/>
      <w:r>
        <w:t>was</w:t>
      </w:r>
      <w:proofErr w:type="gramEnd"/>
      <w:r>
        <w:t xml:space="preserve"> looted.</w:t>
      </w:r>
    </w:p>
    <w:p w14:paraId="6C3E3D79" w14:textId="77777777" w:rsidR="000B6292" w:rsidRDefault="000B6292">
      <w:pPr>
        <w:spacing w:line="276" w:lineRule="auto"/>
      </w:pPr>
      <w:r>
        <w:br w:type="page"/>
      </w:r>
    </w:p>
    <w:p w14:paraId="6F2FD45D" w14:textId="36F2376C" w:rsidR="00024A10" w:rsidRDefault="00F8414F" w:rsidP="00E5299D">
      <w:pPr>
        <w:pStyle w:val="List3"/>
        <w:numPr>
          <w:ilvl w:val="1"/>
          <w:numId w:val="146"/>
        </w:numPr>
        <w:ind w:left="1134" w:hanging="567"/>
      </w:pPr>
      <w:r>
        <w:lastRenderedPageBreak/>
        <w:t>Two possible exceptions:</w:t>
      </w:r>
    </w:p>
    <w:p w14:paraId="7F8EBB4E" w14:textId="77777777" w:rsidR="00AA7153" w:rsidRDefault="00F8414F" w:rsidP="00E5299D">
      <w:pPr>
        <w:pStyle w:val="List3"/>
        <w:numPr>
          <w:ilvl w:val="2"/>
          <w:numId w:val="146"/>
        </w:numPr>
        <w:ind w:left="1701" w:hanging="567"/>
      </w:pPr>
      <w:r>
        <w:t xml:space="preserve">where the </w:t>
      </w:r>
      <w:r w:rsidRPr="00D87FA1">
        <w:t>material is inventoried material stolen from a public collection, 50 years is replaced by 75 years</w:t>
      </w:r>
      <w:r>
        <w:t>; or</w:t>
      </w:r>
    </w:p>
    <w:p w14:paraId="3C998ACE" w14:textId="017C683A" w:rsidR="00F8414F" w:rsidRPr="00D87FA1" w:rsidRDefault="00F8414F" w:rsidP="00E5299D">
      <w:pPr>
        <w:pStyle w:val="List3"/>
        <w:numPr>
          <w:ilvl w:val="2"/>
          <w:numId w:val="146"/>
        </w:numPr>
        <w:ind w:left="1701" w:hanging="567"/>
      </w:pPr>
      <w:proofErr w:type="gramStart"/>
      <w:r>
        <w:t>where</w:t>
      </w:r>
      <w:proofErr w:type="gramEnd"/>
      <w:r>
        <w:t xml:space="preserve"> the</w:t>
      </w:r>
      <w:r w:rsidRPr="00D87FA1">
        <w:t xml:space="preserve"> material is an object made by a member or members of a tribal or indigenous community for traditional or ritual use by that community and is to be returned to that community, 50 years is replaced by 75 years</w:t>
      </w:r>
      <w:r w:rsidR="009B62AA">
        <w:t>.</w:t>
      </w:r>
    </w:p>
    <w:p w14:paraId="2AFCF000" w14:textId="77777777" w:rsidR="00AA7153" w:rsidRDefault="00F8414F" w:rsidP="00E5299D">
      <w:pPr>
        <w:pStyle w:val="List"/>
        <w:numPr>
          <w:ilvl w:val="0"/>
          <w:numId w:val="146"/>
        </w:numPr>
        <w:ind w:left="567" w:hanging="567"/>
      </w:pPr>
      <w:r>
        <w:t>The second option (and perhaps the one more aligned with the UNESCO Convention 1970) is to apply the date that the UNESCO Convention 1970 came into force, namely, 24 April 1972.</w:t>
      </w:r>
    </w:p>
    <w:p w14:paraId="15C0E1AA" w14:textId="05CBCAD5" w:rsidR="00024A10" w:rsidRDefault="00F8414F" w:rsidP="00E5299D">
      <w:pPr>
        <w:pStyle w:val="List"/>
        <w:numPr>
          <w:ilvl w:val="0"/>
          <w:numId w:val="146"/>
        </w:numPr>
        <w:ind w:left="567" w:hanging="567"/>
      </w:pPr>
      <w:r>
        <w:t xml:space="preserve">Whichever option is chosen, the model incorporates a </w:t>
      </w:r>
      <w:r w:rsidR="009B62AA">
        <w:t>three</w:t>
      </w:r>
      <w:r>
        <w:t>-</w:t>
      </w:r>
      <w:r w:rsidRPr="00D87FA1">
        <w:t>year</w:t>
      </w:r>
      <w:r>
        <w:t xml:space="preserve"> period within</w:t>
      </w:r>
      <w:r w:rsidRPr="00D87FA1">
        <w:t xml:space="preserve"> </w:t>
      </w:r>
      <w:r>
        <w:t>which t</w:t>
      </w:r>
      <w:r w:rsidR="009B62AA">
        <w:t>he claim must be made. This is three</w:t>
      </w:r>
      <w:r>
        <w:t xml:space="preserve"> years from the </w:t>
      </w:r>
      <w:r w:rsidR="00024A10">
        <w:t>date on which the claimant knew:</w:t>
      </w:r>
    </w:p>
    <w:p w14:paraId="2A7E8DBE" w14:textId="77777777" w:rsidR="00024A10" w:rsidRDefault="00F8414F" w:rsidP="00E5299D">
      <w:pPr>
        <w:pStyle w:val="List"/>
        <w:numPr>
          <w:ilvl w:val="1"/>
          <w:numId w:val="146"/>
        </w:numPr>
        <w:ind w:left="1134" w:hanging="567"/>
      </w:pPr>
      <w:r w:rsidRPr="00D87FA1">
        <w:t>the location of that object; and</w:t>
      </w:r>
    </w:p>
    <w:p w14:paraId="309E0EBB" w14:textId="54108B69" w:rsidR="00F8414F" w:rsidRPr="00D87FA1" w:rsidRDefault="00F8414F" w:rsidP="00E5299D">
      <w:pPr>
        <w:pStyle w:val="List"/>
        <w:numPr>
          <w:ilvl w:val="1"/>
          <w:numId w:val="146"/>
        </w:numPr>
        <w:ind w:left="1134" w:hanging="567"/>
      </w:pPr>
      <w:proofErr w:type="gramStart"/>
      <w:r w:rsidRPr="00D87FA1">
        <w:t>the</w:t>
      </w:r>
      <w:proofErr w:type="gramEnd"/>
      <w:r w:rsidRPr="00D87FA1">
        <w:t xml:space="preserve"> identity of the possessor of that object.</w:t>
      </w:r>
    </w:p>
    <w:p w14:paraId="3AA7F972" w14:textId="77777777" w:rsidR="00F8414F" w:rsidRPr="009F6673" w:rsidRDefault="00F8414F" w:rsidP="004C4A19">
      <w:pPr>
        <w:pStyle w:val="Heading3"/>
      </w:pPr>
      <w:r w:rsidRPr="009F6673">
        <w:t>Warrant in respect of cultural material</w:t>
      </w:r>
    </w:p>
    <w:p w14:paraId="61E250CA" w14:textId="77777777" w:rsidR="00AA7153" w:rsidRDefault="00F8414F" w:rsidP="00E5299D">
      <w:pPr>
        <w:pStyle w:val="List"/>
        <w:numPr>
          <w:ilvl w:val="0"/>
          <w:numId w:val="147"/>
        </w:numPr>
        <w:ind w:left="567" w:hanging="567"/>
      </w:pPr>
      <w:r w:rsidRPr="00D142F6">
        <w:t>The Australia Federal Police (AFP), Borde</w:t>
      </w:r>
      <w:r w:rsidR="00F54575">
        <w:t>r Force or Departmental Inspectors</w:t>
      </w:r>
      <w:r w:rsidRPr="00D142F6">
        <w:t xml:space="preserve"> may apply for a warrant for the seizure of the cultural material. This provides an opportunity for further investigation and discussions with both the relevant foreign claimant and the Australian </w:t>
      </w:r>
      <w:r>
        <w:t>possessor</w:t>
      </w:r>
      <w:r w:rsidRPr="00D142F6">
        <w:t>. This application is based on a reasonable suspicion that the material was illegally exported, looted or stolen. That suspicion may be based on relevant evidence from any source.</w:t>
      </w:r>
    </w:p>
    <w:p w14:paraId="13F711F1" w14:textId="448FF622" w:rsidR="00024A10" w:rsidRDefault="00F8414F" w:rsidP="00E5299D">
      <w:pPr>
        <w:pStyle w:val="List"/>
        <w:numPr>
          <w:ilvl w:val="0"/>
          <w:numId w:val="147"/>
        </w:numPr>
        <w:ind w:left="567" w:hanging="567"/>
      </w:pPr>
      <w:r w:rsidRPr="00D142F6">
        <w:t>A request from a foreign government is not n</w:t>
      </w:r>
      <w:r w:rsidR="00024A10">
        <w:t>ecessary to begin this process.</w:t>
      </w:r>
    </w:p>
    <w:p w14:paraId="017BFF7A" w14:textId="77777777" w:rsidR="00AA7153" w:rsidRDefault="00F8414F" w:rsidP="00E5299D">
      <w:pPr>
        <w:pStyle w:val="List"/>
        <w:numPr>
          <w:ilvl w:val="0"/>
          <w:numId w:val="147"/>
        </w:numPr>
        <w:ind w:left="567" w:hanging="567"/>
      </w:pPr>
      <w:r w:rsidRPr="00D142F6">
        <w:t>Warrant applications would be made to an authorised issuing officer, who would be a judge or AAT member acting in their personal capacity.</w:t>
      </w:r>
    </w:p>
    <w:p w14:paraId="632BF02C" w14:textId="42423870" w:rsidR="00024A10" w:rsidRDefault="00F8414F" w:rsidP="00E5299D">
      <w:pPr>
        <w:pStyle w:val="List"/>
        <w:numPr>
          <w:ilvl w:val="0"/>
          <w:numId w:val="147"/>
        </w:numPr>
        <w:ind w:left="567" w:hanging="567"/>
      </w:pPr>
      <w:r w:rsidRPr="00D142F6">
        <w:t>These authorised officers would scrutinise the evidence forming the basis of the application and could apply conditions to the seizure, such as the length of confinement of the object.</w:t>
      </w:r>
    </w:p>
    <w:p w14:paraId="040238A9" w14:textId="77777777" w:rsidR="00AA7153" w:rsidRDefault="00F8414F" w:rsidP="00E5299D">
      <w:pPr>
        <w:pStyle w:val="List"/>
        <w:numPr>
          <w:ilvl w:val="0"/>
          <w:numId w:val="147"/>
        </w:numPr>
        <w:ind w:left="567" w:hanging="567"/>
      </w:pPr>
      <w:r w:rsidRPr="00D142F6">
        <w:t xml:space="preserve">If a warrant is granted, seizure would trigger the need for a Departmental decision regarding the cultural material. </w:t>
      </w:r>
    </w:p>
    <w:p w14:paraId="64C1B026" w14:textId="0D04962F" w:rsidR="00F8414F" w:rsidRPr="009F6673" w:rsidRDefault="00F8414F" w:rsidP="004C4A19">
      <w:pPr>
        <w:pStyle w:val="Heading3"/>
      </w:pPr>
      <w:r w:rsidRPr="009F6673">
        <w:lastRenderedPageBreak/>
        <w:t>Period of seizure</w:t>
      </w:r>
    </w:p>
    <w:p w14:paraId="370D11CB" w14:textId="0F654889" w:rsidR="00024A10" w:rsidRDefault="00F8414F" w:rsidP="00E5299D">
      <w:pPr>
        <w:pStyle w:val="List"/>
        <w:numPr>
          <w:ilvl w:val="0"/>
          <w:numId w:val="148"/>
        </w:numPr>
        <w:ind w:left="567" w:hanging="567"/>
      </w:pPr>
      <w:r w:rsidRPr="00D142F6">
        <w:t>The init</w:t>
      </w:r>
      <w:r w:rsidR="009B62AA">
        <w:t>ial period of seizure is up to six</w:t>
      </w:r>
      <w:r w:rsidRPr="00D142F6">
        <w:t xml:space="preserve"> months (renewable).</w:t>
      </w:r>
    </w:p>
    <w:p w14:paraId="2BE8EA6B" w14:textId="77777777" w:rsidR="00AA7153" w:rsidRDefault="00F8414F" w:rsidP="00E5299D">
      <w:pPr>
        <w:pStyle w:val="List"/>
        <w:numPr>
          <w:ilvl w:val="0"/>
          <w:numId w:val="148"/>
        </w:numPr>
        <w:ind w:left="567" w:hanging="567"/>
      </w:pPr>
      <w:r>
        <w:t xml:space="preserve">Where there is no clear foreign claimant/government at the time, for example material originating from an armed conflict zone, the period of seizure can be extended until the </w:t>
      </w:r>
      <w:r w:rsidR="00F54575">
        <w:t>end of the conflict (or at the G</w:t>
      </w:r>
      <w:r>
        <w:t>overnment’s discretion).</w:t>
      </w:r>
    </w:p>
    <w:p w14:paraId="632309A6" w14:textId="20862B97" w:rsidR="00F8414F" w:rsidRPr="009F6673" w:rsidRDefault="00F8414F" w:rsidP="004C4A19">
      <w:pPr>
        <w:pStyle w:val="Heading3"/>
      </w:pPr>
      <w:r w:rsidRPr="009F6673">
        <w:t>Information gathering and sharing</w:t>
      </w:r>
    </w:p>
    <w:p w14:paraId="3E3C40AF" w14:textId="77777777" w:rsidR="00AA7153" w:rsidRDefault="00F8414F" w:rsidP="00E5299D">
      <w:pPr>
        <w:pStyle w:val="List"/>
        <w:numPr>
          <w:ilvl w:val="0"/>
          <w:numId w:val="149"/>
        </w:numPr>
        <w:ind w:left="567" w:hanging="567"/>
      </w:pPr>
      <w:r w:rsidRPr="00D142F6">
        <w:t xml:space="preserve">The Department will seek evidence about the seized foreign cultural material from the Australian </w:t>
      </w:r>
      <w:r>
        <w:t>possessor</w:t>
      </w:r>
      <w:r w:rsidRPr="00D142F6">
        <w:t xml:space="preserve"> and any foreign claimant.</w:t>
      </w:r>
    </w:p>
    <w:p w14:paraId="0D46BF90" w14:textId="2175C611" w:rsidR="00024A10" w:rsidRDefault="00F8414F" w:rsidP="00E5299D">
      <w:pPr>
        <w:pStyle w:val="List"/>
        <w:numPr>
          <w:ilvl w:val="0"/>
          <w:numId w:val="149"/>
        </w:numPr>
        <w:ind w:left="567" w:hanging="567"/>
      </w:pPr>
      <w:r w:rsidRPr="00D142F6">
        <w:t xml:space="preserve">During this period, the </w:t>
      </w:r>
      <w:r>
        <w:t>possessor</w:t>
      </w:r>
      <w:r w:rsidRPr="00D142F6">
        <w:t xml:space="preserve"> may either:</w:t>
      </w:r>
    </w:p>
    <w:p w14:paraId="4744E0EE" w14:textId="77777777" w:rsidR="00024A10" w:rsidRDefault="00F8414F" w:rsidP="00E5299D">
      <w:pPr>
        <w:pStyle w:val="List"/>
        <w:numPr>
          <w:ilvl w:val="1"/>
          <w:numId w:val="149"/>
        </w:numPr>
        <w:ind w:left="1134" w:hanging="567"/>
      </w:pPr>
      <w:r w:rsidRPr="007C77CF">
        <w:t>cede possession</w:t>
      </w:r>
      <w:r>
        <w:t xml:space="preserve"> and </w:t>
      </w:r>
      <w:r w:rsidRPr="007C77CF">
        <w:t xml:space="preserve">ownership of the </w:t>
      </w:r>
      <w:r>
        <w:t>material</w:t>
      </w:r>
      <w:r w:rsidRPr="007C77CF">
        <w:t xml:space="preserve"> to the Commonwealth or </w:t>
      </w:r>
      <w:r>
        <w:t xml:space="preserve">the </w:t>
      </w:r>
      <w:r w:rsidRPr="007C77CF">
        <w:t>foreign claimant; or</w:t>
      </w:r>
    </w:p>
    <w:p w14:paraId="0F0D2B58" w14:textId="77777777" w:rsidR="00024A10" w:rsidRDefault="00F8414F" w:rsidP="00E5299D">
      <w:pPr>
        <w:pStyle w:val="List"/>
        <w:numPr>
          <w:ilvl w:val="1"/>
          <w:numId w:val="149"/>
        </w:numPr>
        <w:ind w:left="1134" w:hanging="567"/>
      </w:pPr>
      <w:r w:rsidRPr="007C77CF">
        <w:t>provide the Department with evidence that establishes to the reasonable satisfaction of the Department</w:t>
      </w:r>
      <w:r>
        <w:t>:</w:t>
      </w:r>
    </w:p>
    <w:p w14:paraId="2398C90C" w14:textId="77777777" w:rsidR="00024A10" w:rsidRDefault="00F8414F" w:rsidP="00E5299D">
      <w:pPr>
        <w:pStyle w:val="List"/>
        <w:numPr>
          <w:ilvl w:val="2"/>
          <w:numId w:val="149"/>
        </w:numPr>
        <w:ind w:left="1701" w:hanging="567"/>
      </w:pPr>
      <w:r w:rsidRPr="007C77CF">
        <w:t>the country of origin of the material;</w:t>
      </w:r>
    </w:p>
    <w:p w14:paraId="5D3EC039" w14:textId="77777777" w:rsidR="00AA7153" w:rsidRDefault="00F8414F" w:rsidP="00E5299D">
      <w:pPr>
        <w:pStyle w:val="List"/>
        <w:numPr>
          <w:ilvl w:val="2"/>
          <w:numId w:val="149"/>
        </w:numPr>
        <w:ind w:left="1701" w:hanging="567"/>
      </w:pPr>
      <w:r w:rsidRPr="007C77CF">
        <w:t>that the material was lawfully exported from the country of origin;</w:t>
      </w:r>
    </w:p>
    <w:p w14:paraId="69C974C3" w14:textId="77777777" w:rsidR="00AA7153" w:rsidRDefault="00F8414F" w:rsidP="00E5299D">
      <w:pPr>
        <w:pStyle w:val="List"/>
        <w:numPr>
          <w:ilvl w:val="2"/>
          <w:numId w:val="149"/>
        </w:numPr>
        <w:ind w:left="1701" w:hanging="567"/>
      </w:pPr>
      <w:r w:rsidRPr="007C77CF">
        <w:t>that the object was not the product of illicit excavation or theft; and</w:t>
      </w:r>
    </w:p>
    <w:p w14:paraId="3BEEAFAE" w14:textId="4B612B5D" w:rsidR="00F8414F" w:rsidRPr="007C77CF" w:rsidRDefault="00F8414F" w:rsidP="00E5299D">
      <w:pPr>
        <w:pStyle w:val="List"/>
        <w:numPr>
          <w:ilvl w:val="2"/>
          <w:numId w:val="149"/>
        </w:numPr>
        <w:ind w:left="1701" w:hanging="567"/>
      </w:pPr>
      <w:proofErr w:type="gramStart"/>
      <w:r w:rsidRPr="007C77CF">
        <w:t>that</w:t>
      </w:r>
      <w:proofErr w:type="gramEnd"/>
      <w:r w:rsidRPr="007C77CF">
        <w:t xml:space="preserve"> it conducted proper due diligence enquiries prior to purchase.</w:t>
      </w:r>
    </w:p>
    <w:p w14:paraId="0F24D4CA" w14:textId="77777777" w:rsidR="00AA7153" w:rsidRDefault="00F8414F" w:rsidP="00E5299D">
      <w:pPr>
        <w:pStyle w:val="List"/>
        <w:numPr>
          <w:ilvl w:val="0"/>
          <w:numId w:val="149"/>
        </w:numPr>
        <w:ind w:left="567" w:hanging="567"/>
      </w:pPr>
      <w:r w:rsidRPr="00D142F6">
        <w:t xml:space="preserve">Time limits would apply to the provision of information to ensure no unnecessary delays are experienced during this process. </w:t>
      </w:r>
    </w:p>
    <w:p w14:paraId="1CA642F9" w14:textId="6DD0CA51" w:rsidR="00AA7153" w:rsidRDefault="009B62AA" w:rsidP="00E5299D">
      <w:pPr>
        <w:pStyle w:val="List"/>
        <w:numPr>
          <w:ilvl w:val="0"/>
          <w:numId w:val="149"/>
        </w:numPr>
        <w:ind w:left="567" w:hanging="567"/>
      </w:pPr>
      <w:r>
        <w:t>The decision-</w:t>
      </w:r>
      <w:r w:rsidR="00F8414F" w:rsidRPr="00D142F6">
        <w:t>maker would also be able to seek information from any other relevant source.</w:t>
      </w:r>
    </w:p>
    <w:p w14:paraId="670E2918" w14:textId="7DEE8506" w:rsidR="00AA7153" w:rsidRDefault="00F8414F" w:rsidP="00E5299D">
      <w:pPr>
        <w:pStyle w:val="List"/>
        <w:numPr>
          <w:ilvl w:val="0"/>
          <w:numId w:val="149"/>
        </w:numPr>
        <w:ind w:left="567" w:hanging="567"/>
      </w:pPr>
      <w:r w:rsidRPr="00D142F6">
        <w:t xml:space="preserve">If </w:t>
      </w:r>
      <w:r w:rsidR="009B62AA">
        <w:t xml:space="preserve">the </w:t>
      </w:r>
      <w:r>
        <w:t>possessor</w:t>
      </w:r>
      <w:r w:rsidRPr="00D142F6">
        <w:t xml:space="preserve"> fails to provide that information within the time or the decision-maker is not satisfied by the information provided, the officer may order the forfeiture of the material.</w:t>
      </w:r>
    </w:p>
    <w:p w14:paraId="51EFC77C" w14:textId="316411DD" w:rsidR="00F8414F" w:rsidRDefault="00F8414F" w:rsidP="004C4A19">
      <w:pPr>
        <w:pStyle w:val="Heading3"/>
      </w:pPr>
      <w:r>
        <w:t>Evidence to be provided by possessor</w:t>
      </w:r>
    </w:p>
    <w:p w14:paraId="76C4C2CD" w14:textId="12D60857" w:rsidR="00F8414F" w:rsidRPr="007C77CF" w:rsidRDefault="00F8414F" w:rsidP="00E5299D">
      <w:pPr>
        <w:pStyle w:val="List"/>
        <w:numPr>
          <w:ilvl w:val="0"/>
          <w:numId w:val="150"/>
        </w:numPr>
        <w:ind w:left="567" w:hanging="567"/>
      </w:pPr>
      <w:r>
        <w:t>The possessor must provide e</w:t>
      </w:r>
      <w:r w:rsidRPr="007C77CF">
        <w:t>vidence o</w:t>
      </w:r>
      <w:r>
        <w:t>f the due diligence undertaken prior to acquisition.</w:t>
      </w:r>
    </w:p>
    <w:p w14:paraId="75721BBE" w14:textId="77777777" w:rsidR="00F8414F" w:rsidRPr="009F6673" w:rsidRDefault="00F8414F" w:rsidP="004C4A19">
      <w:pPr>
        <w:pStyle w:val="Heading3"/>
      </w:pPr>
      <w:r w:rsidRPr="009F6673">
        <w:t>Evidence to be provided by foreign claimant</w:t>
      </w:r>
    </w:p>
    <w:p w14:paraId="58CC3F34" w14:textId="77777777" w:rsidR="00AA7153" w:rsidRDefault="00F8414F" w:rsidP="00E5299D">
      <w:pPr>
        <w:pStyle w:val="List"/>
        <w:numPr>
          <w:ilvl w:val="0"/>
          <w:numId w:val="151"/>
        </w:numPr>
        <w:ind w:left="567" w:hanging="567"/>
      </w:pPr>
      <w:r w:rsidRPr="00D142F6">
        <w:t>If the foreign claimant makes a formal claim for return, it must adduce the evidence supporting its claim within required time limits.</w:t>
      </w:r>
    </w:p>
    <w:p w14:paraId="2DA52653" w14:textId="254B6772" w:rsidR="00024A10" w:rsidRDefault="00F8414F" w:rsidP="00E5299D">
      <w:pPr>
        <w:pStyle w:val="List"/>
        <w:numPr>
          <w:ilvl w:val="0"/>
          <w:numId w:val="151"/>
        </w:numPr>
        <w:ind w:left="567" w:hanging="567"/>
      </w:pPr>
      <w:r w:rsidRPr="00D142F6">
        <w:lastRenderedPageBreak/>
        <w:t>Any claim by a foreign claimant for the seizure and return of cultural material is expected to be accompanied by:</w:t>
      </w:r>
    </w:p>
    <w:p w14:paraId="0BF968DD" w14:textId="77777777" w:rsidR="00024A10" w:rsidRDefault="00F8414F" w:rsidP="00E5299D">
      <w:pPr>
        <w:pStyle w:val="List"/>
        <w:numPr>
          <w:ilvl w:val="1"/>
          <w:numId w:val="151"/>
        </w:numPr>
        <w:tabs>
          <w:tab w:val="left" w:pos="993"/>
        </w:tabs>
        <w:ind w:left="993" w:hanging="426"/>
      </w:pPr>
      <w:r w:rsidRPr="00D142F6">
        <w:t>a detailed description of the material;</w:t>
      </w:r>
    </w:p>
    <w:p w14:paraId="25D4CC2C" w14:textId="77777777" w:rsidR="00024A10" w:rsidRDefault="00F8414F" w:rsidP="00E5299D">
      <w:pPr>
        <w:pStyle w:val="List"/>
        <w:numPr>
          <w:ilvl w:val="1"/>
          <w:numId w:val="151"/>
        </w:numPr>
        <w:tabs>
          <w:tab w:val="left" w:pos="993"/>
        </w:tabs>
        <w:ind w:left="993" w:hanging="426"/>
      </w:pPr>
      <w:r w:rsidRPr="00D142F6">
        <w:t>evidence that the material is likely to be from the claimant country;</w:t>
      </w:r>
    </w:p>
    <w:p w14:paraId="47BEDF2D" w14:textId="77777777" w:rsidR="00024A10" w:rsidRDefault="00F8414F" w:rsidP="00E5299D">
      <w:pPr>
        <w:pStyle w:val="List"/>
        <w:numPr>
          <w:ilvl w:val="1"/>
          <w:numId w:val="151"/>
        </w:numPr>
        <w:tabs>
          <w:tab w:val="left" w:pos="993"/>
        </w:tabs>
        <w:ind w:left="993" w:hanging="426"/>
      </w:pPr>
      <w:r w:rsidRPr="00D142F6">
        <w:t>where the return is sought on the grounds of illegal export, identification of the laws that make the export illegal; or</w:t>
      </w:r>
    </w:p>
    <w:p w14:paraId="24F7A985" w14:textId="42724445" w:rsidR="00024A10" w:rsidRDefault="009B62AA" w:rsidP="00E5299D">
      <w:pPr>
        <w:pStyle w:val="List"/>
        <w:numPr>
          <w:ilvl w:val="1"/>
          <w:numId w:val="151"/>
        </w:numPr>
        <w:tabs>
          <w:tab w:val="left" w:pos="993"/>
        </w:tabs>
        <w:ind w:left="993" w:hanging="426"/>
      </w:pPr>
      <w:r>
        <w:t xml:space="preserve">where the </w:t>
      </w:r>
      <w:r w:rsidR="00F8414F" w:rsidRPr="00D142F6">
        <w:t>return is sought on the grounds of theft or looting, evidence supporting the allegation such as proof of ownership or inventory; and</w:t>
      </w:r>
    </w:p>
    <w:p w14:paraId="50300930" w14:textId="4C2F0FC8" w:rsidR="00F8414F" w:rsidRPr="00D142F6" w:rsidRDefault="00F8414F" w:rsidP="00E5299D">
      <w:pPr>
        <w:pStyle w:val="List"/>
        <w:numPr>
          <w:ilvl w:val="1"/>
          <w:numId w:val="151"/>
        </w:numPr>
        <w:tabs>
          <w:tab w:val="left" w:pos="993"/>
        </w:tabs>
        <w:ind w:left="993" w:hanging="426"/>
      </w:pPr>
      <w:proofErr w:type="gramStart"/>
      <w:r w:rsidRPr="00D142F6">
        <w:t>all</w:t>
      </w:r>
      <w:proofErr w:type="gramEnd"/>
      <w:r w:rsidRPr="00D142F6">
        <w:t xml:space="preserve"> information that the claimant has in relation to the object, which may include its known provenance, the circumstances of the export of the object and discovery of the identity of its possessor.</w:t>
      </w:r>
    </w:p>
    <w:p w14:paraId="325D4DC4" w14:textId="77777777" w:rsidR="00024A10" w:rsidRDefault="00F8414F" w:rsidP="00E5299D">
      <w:pPr>
        <w:pStyle w:val="List"/>
        <w:numPr>
          <w:ilvl w:val="0"/>
          <w:numId w:val="151"/>
        </w:numPr>
        <w:ind w:left="567" w:hanging="567"/>
      </w:pPr>
      <w:r w:rsidRPr="00D142F6">
        <w:t xml:space="preserve">Where the claim is for the return of illegally exported material, </w:t>
      </w:r>
      <w:r w:rsidRPr="007C77CF">
        <w:t xml:space="preserve">the burden of proof is on the </w:t>
      </w:r>
      <w:r w:rsidR="00024A10">
        <w:t>possessor:</w:t>
      </w:r>
    </w:p>
    <w:p w14:paraId="5868ECB5" w14:textId="77777777" w:rsidR="00024A10" w:rsidRDefault="00F8414F" w:rsidP="00E5299D">
      <w:pPr>
        <w:pStyle w:val="List"/>
        <w:numPr>
          <w:ilvl w:val="1"/>
          <w:numId w:val="151"/>
        </w:numPr>
        <w:ind w:left="1134" w:hanging="567"/>
      </w:pPr>
      <w:r w:rsidRPr="007C77CF">
        <w:t xml:space="preserve">to establish that the </w:t>
      </w:r>
      <w:r>
        <w:t>material originated from the claimed country of origin;</w:t>
      </w:r>
    </w:p>
    <w:p w14:paraId="71713026" w14:textId="7B37347A" w:rsidR="00024A10" w:rsidRDefault="00F8414F" w:rsidP="00E5299D">
      <w:pPr>
        <w:pStyle w:val="List"/>
        <w:numPr>
          <w:ilvl w:val="1"/>
          <w:numId w:val="151"/>
        </w:numPr>
        <w:ind w:left="1134" w:hanging="567"/>
      </w:pPr>
      <w:r>
        <w:t xml:space="preserve">that the </w:t>
      </w:r>
      <w:r w:rsidRPr="007C77CF">
        <w:t>export from the country of origin was lawful</w:t>
      </w:r>
      <w:r>
        <w:t>; and</w:t>
      </w:r>
    </w:p>
    <w:p w14:paraId="071D1462" w14:textId="33B67F1C" w:rsidR="00AA7153" w:rsidRDefault="004C1192" w:rsidP="004C1192">
      <w:pPr>
        <w:pStyle w:val="List"/>
        <w:ind w:left="1080" w:hanging="513"/>
        <w:rPr>
          <w:vertAlign w:val="superscript"/>
        </w:rPr>
      </w:pPr>
      <w:r>
        <w:t>(c)</w:t>
      </w:r>
      <w:r>
        <w:tab/>
      </w:r>
      <w:proofErr w:type="gramStart"/>
      <w:r w:rsidR="00F8414F" w:rsidRPr="007C77CF">
        <w:t>to</w:t>
      </w:r>
      <w:proofErr w:type="gramEnd"/>
      <w:r w:rsidR="00F8414F" w:rsidRPr="007C77CF">
        <w:t xml:space="preserve"> provide documentary evidence of lawful export</w:t>
      </w:r>
      <w:r w:rsidR="00F8414F" w:rsidRPr="00D142F6">
        <w:t>.</w:t>
      </w:r>
      <w:r w:rsidR="00F8414F" w:rsidRPr="005320A4">
        <w:rPr>
          <w:vertAlign w:val="superscript"/>
        </w:rPr>
        <w:footnoteReference w:id="185"/>
      </w:r>
    </w:p>
    <w:p w14:paraId="7F4A708E" w14:textId="77777777" w:rsidR="00AA7153" w:rsidRDefault="00F8414F" w:rsidP="00E5299D">
      <w:pPr>
        <w:pStyle w:val="List"/>
        <w:numPr>
          <w:ilvl w:val="0"/>
          <w:numId w:val="151"/>
        </w:numPr>
        <w:ind w:left="567" w:hanging="567"/>
      </w:pPr>
      <w:r w:rsidRPr="00D142F6">
        <w:t xml:space="preserve">Where the claim is for the </w:t>
      </w:r>
      <w:r>
        <w:t>return</w:t>
      </w:r>
      <w:r w:rsidRPr="00D142F6">
        <w:t xml:space="preserve"> of inventoried cultural material the foreign claimant has an evidentiary burden to provide evidence of the inventory or other identification of the material.</w:t>
      </w:r>
    </w:p>
    <w:p w14:paraId="362FEA63" w14:textId="01A3ADAD" w:rsidR="00F8414F" w:rsidRPr="009F6673" w:rsidRDefault="00F8414F" w:rsidP="004C4A19">
      <w:pPr>
        <w:pStyle w:val="Heading3"/>
      </w:pPr>
      <w:r w:rsidRPr="009F6673">
        <w:t>Information sharing</w:t>
      </w:r>
    </w:p>
    <w:p w14:paraId="009EBC4D" w14:textId="40FF2D48" w:rsidR="00AA7153" w:rsidRDefault="009B62AA" w:rsidP="00E5299D">
      <w:pPr>
        <w:pStyle w:val="List"/>
        <w:numPr>
          <w:ilvl w:val="0"/>
          <w:numId w:val="152"/>
        </w:numPr>
        <w:ind w:left="567" w:hanging="567"/>
        <w:rPr>
          <w:vertAlign w:val="superscript"/>
        </w:rPr>
      </w:pPr>
      <w:r>
        <w:t>The decision-</w:t>
      </w:r>
      <w:r w:rsidR="00F8414F" w:rsidRPr="00D142F6">
        <w:t>maker must provide the information and evidence received from each party</w:t>
      </w:r>
      <w:r w:rsidR="00F8414F">
        <w:t>,</w:t>
      </w:r>
      <w:r w:rsidR="00F8414F" w:rsidRPr="00D142F6">
        <w:t xml:space="preserve"> to the other.</w:t>
      </w:r>
      <w:r w:rsidR="00F8414F" w:rsidRPr="00D142F6">
        <w:rPr>
          <w:vertAlign w:val="superscript"/>
        </w:rPr>
        <w:footnoteReference w:id="186"/>
      </w:r>
    </w:p>
    <w:p w14:paraId="2A60F17A" w14:textId="65CCE5F4" w:rsidR="00024A10" w:rsidRDefault="00F8414F" w:rsidP="00E5299D">
      <w:pPr>
        <w:pStyle w:val="List"/>
        <w:numPr>
          <w:ilvl w:val="0"/>
          <w:numId w:val="152"/>
        </w:numPr>
        <w:ind w:left="567" w:hanging="567"/>
      </w:pPr>
      <w:r>
        <w:t>Each party</w:t>
      </w:r>
      <w:r w:rsidRPr="007C77CF">
        <w:t xml:space="preserve"> will be given a period </w:t>
      </w:r>
      <w:r>
        <w:t>within which to respond to the information provided by the other</w:t>
      </w:r>
      <w:r w:rsidRPr="007C77CF">
        <w:t>.</w:t>
      </w:r>
    </w:p>
    <w:p w14:paraId="7F649B8E" w14:textId="77777777" w:rsidR="00AA7153" w:rsidRDefault="00F8414F" w:rsidP="00E5299D">
      <w:pPr>
        <w:pStyle w:val="List"/>
        <w:numPr>
          <w:ilvl w:val="0"/>
          <w:numId w:val="152"/>
        </w:numPr>
        <w:ind w:left="567" w:hanging="567"/>
      </w:pPr>
      <w:r w:rsidRPr="00D142F6">
        <w:t>If resolution is reached between the parties, the Department will assist the parties to implement the agreed outcomes.</w:t>
      </w:r>
    </w:p>
    <w:p w14:paraId="5F7B1E19" w14:textId="64AA96B5" w:rsidR="00F8414F" w:rsidRPr="009F6673" w:rsidRDefault="00F8414F" w:rsidP="004C4A19">
      <w:pPr>
        <w:pStyle w:val="Heading3"/>
      </w:pPr>
      <w:r w:rsidRPr="009F6673">
        <w:lastRenderedPageBreak/>
        <w:t>Departmental decision</w:t>
      </w:r>
    </w:p>
    <w:p w14:paraId="00280307" w14:textId="77777777" w:rsidR="00AA7153" w:rsidRDefault="00F8414F" w:rsidP="00E5299D">
      <w:pPr>
        <w:pStyle w:val="List"/>
        <w:numPr>
          <w:ilvl w:val="0"/>
          <w:numId w:val="153"/>
        </w:numPr>
        <w:ind w:left="567" w:hanging="567"/>
      </w:pPr>
      <w:r w:rsidRPr="00D142F6">
        <w:t>If negotiation and informal exchange of evidence does not result in a se</w:t>
      </w:r>
      <w:r w:rsidR="00F54575">
        <w:t xml:space="preserve">ttlement of the claim, an </w:t>
      </w:r>
      <w:r w:rsidRPr="00D142F6">
        <w:t>SES officer of the Department will decide the claim.</w:t>
      </w:r>
    </w:p>
    <w:p w14:paraId="60EE43D3" w14:textId="77777777" w:rsidR="00AA7153" w:rsidRDefault="00F8414F" w:rsidP="00E5299D">
      <w:pPr>
        <w:pStyle w:val="List"/>
        <w:numPr>
          <w:ilvl w:val="0"/>
          <w:numId w:val="153"/>
        </w:numPr>
        <w:ind w:left="567" w:hanging="567"/>
      </w:pPr>
      <w:r w:rsidRPr="00D142F6">
        <w:t>The officer will</w:t>
      </w:r>
      <w:r w:rsidRPr="007C77CF">
        <w:t xml:space="preserve"> consider the information provided by the </w:t>
      </w:r>
      <w:r>
        <w:t>possessor</w:t>
      </w:r>
      <w:r w:rsidRPr="00D142F6">
        <w:t xml:space="preserve"> </w:t>
      </w:r>
      <w:r w:rsidRPr="007C77CF">
        <w:t>and the foreign claimant</w:t>
      </w:r>
      <w:r w:rsidRPr="00D142F6">
        <w:t xml:space="preserve"> and decide</w:t>
      </w:r>
      <w:r>
        <w:t>:</w:t>
      </w:r>
    </w:p>
    <w:p w14:paraId="14948382" w14:textId="77777777" w:rsidR="00AA7153" w:rsidRDefault="00F8414F" w:rsidP="00E5299D">
      <w:pPr>
        <w:pStyle w:val="List"/>
        <w:numPr>
          <w:ilvl w:val="1"/>
          <w:numId w:val="153"/>
        </w:numPr>
        <w:ind w:left="1134" w:hanging="567"/>
      </w:pPr>
      <w:r w:rsidRPr="00D142F6">
        <w:t>whether the seized foreign cultural material has been illegally exported, stolen or looted</w:t>
      </w:r>
      <w:r>
        <w:t>;</w:t>
      </w:r>
      <w:r w:rsidRPr="00D142F6">
        <w:t xml:space="preserve"> and</w:t>
      </w:r>
    </w:p>
    <w:p w14:paraId="61D1DF4B" w14:textId="2FACD5D8" w:rsidR="00024A10" w:rsidRDefault="00F8414F" w:rsidP="00E5299D">
      <w:pPr>
        <w:pStyle w:val="List"/>
        <w:numPr>
          <w:ilvl w:val="1"/>
          <w:numId w:val="153"/>
        </w:numPr>
        <w:ind w:left="993" w:hanging="426"/>
      </w:pPr>
      <w:r w:rsidRPr="007C77CF">
        <w:t xml:space="preserve">order either the forfeiture of the material or its return to the </w:t>
      </w:r>
      <w:r>
        <w:t xml:space="preserve">Australian </w:t>
      </w:r>
      <w:r w:rsidRPr="007C77CF">
        <w:t>owner</w:t>
      </w:r>
      <w:r>
        <w:t>; and</w:t>
      </w:r>
    </w:p>
    <w:p w14:paraId="48CAD964" w14:textId="4B703283" w:rsidR="00F8414F" w:rsidRPr="00D142F6" w:rsidRDefault="00F8414F" w:rsidP="00E5299D">
      <w:pPr>
        <w:pStyle w:val="List"/>
        <w:numPr>
          <w:ilvl w:val="1"/>
          <w:numId w:val="153"/>
        </w:numPr>
        <w:ind w:left="993" w:hanging="426"/>
      </w:pPr>
      <w:proofErr w:type="gramStart"/>
      <w:r>
        <w:t>any</w:t>
      </w:r>
      <w:proofErr w:type="gramEnd"/>
      <w:r>
        <w:t xml:space="preserve"> claim for compensation.</w:t>
      </w:r>
    </w:p>
    <w:p w14:paraId="52B08467" w14:textId="77777777" w:rsidR="00024A10" w:rsidRDefault="00F8414F" w:rsidP="00E5299D">
      <w:pPr>
        <w:pStyle w:val="List"/>
        <w:numPr>
          <w:ilvl w:val="0"/>
          <w:numId w:val="153"/>
        </w:numPr>
        <w:ind w:left="567" w:hanging="567"/>
      </w:pPr>
      <w:r w:rsidRPr="00D142F6">
        <w:t>Rules of procedural fairness apply to the making of this decision and affected parties must be given an opportunity to respond to adverse material before a final decision is made.</w:t>
      </w:r>
    </w:p>
    <w:p w14:paraId="38D7EF6F" w14:textId="4E3B6E4A" w:rsidR="00024A10" w:rsidRDefault="00F54575" w:rsidP="00E5299D">
      <w:pPr>
        <w:pStyle w:val="List"/>
        <w:numPr>
          <w:ilvl w:val="0"/>
          <w:numId w:val="153"/>
        </w:numPr>
        <w:ind w:left="567" w:hanging="567"/>
      </w:pPr>
      <w:r>
        <w:t>An SES officer</w:t>
      </w:r>
      <w:r w:rsidR="00F8414F" w:rsidRPr="00D142F6">
        <w:t xml:space="preserve"> (a Deputy Secretary or delegate) would be the responsible </w:t>
      </w:r>
      <w:r w:rsidR="009B62AA">
        <w:t>decision-</w:t>
      </w:r>
      <w:r w:rsidR="00F8414F" w:rsidRPr="00D142F6">
        <w:t>maker. If the decision is made by a delegate rather than a Deputy Secretary, there would be an opportunity for internal review of the decision by the Deputy Secretary.</w:t>
      </w:r>
    </w:p>
    <w:p w14:paraId="4696E0B8" w14:textId="77777777" w:rsidR="00AA7153" w:rsidRDefault="00F8414F" w:rsidP="00E5299D">
      <w:pPr>
        <w:pStyle w:val="List"/>
        <w:numPr>
          <w:ilvl w:val="0"/>
          <w:numId w:val="153"/>
        </w:numPr>
        <w:ind w:left="567" w:hanging="567"/>
      </w:pPr>
      <w:r w:rsidRPr="00D142F6">
        <w:t xml:space="preserve">If the </w:t>
      </w:r>
      <w:r>
        <w:t>possessor</w:t>
      </w:r>
      <w:r w:rsidRPr="00D142F6">
        <w:t xml:space="preserve"> chooses to not challenge </w:t>
      </w:r>
      <w:r>
        <w:t>a</w:t>
      </w:r>
      <w:r w:rsidRPr="00D142F6">
        <w:t xml:space="preserve"> forfeiture</w:t>
      </w:r>
      <w:r>
        <w:t xml:space="preserve"> decision</w:t>
      </w:r>
      <w:r w:rsidRPr="00D142F6">
        <w:t xml:space="preserve"> within the limitation period, the material will be forfeit and transferred to the foreign claimant.</w:t>
      </w:r>
    </w:p>
    <w:p w14:paraId="67DF70D0" w14:textId="77777777" w:rsidR="00AA7153" w:rsidRDefault="00F8414F" w:rsidP="004C4A19">
      <w:pPr>
        <w:pStyle w:val="Heading3"/>
      </w:pPr>
      <w:r w:rsidRPr="009F6673">
        <w:t xml:space="preserve">Alternative dispute resolution in the </w:t>
      </w:r>
      <w:r w:rsidRPr="00D142F6">
        <w:t>Administrative Appeals Tribunal</w:t>
      </w:r>
    </w:p>
    <w:p w14:paraId="1C5AC404" w14:textId="77777777" w:rsidR="00AA7153" w:rsidRDefault="00F8414F" w:rsidP="00E5299D">
      <w:pPr>
        <w:pStyle w:val="List"/>
        <w:numPr>
          <w:ilvl w:val="0"/>
          <w:numId w:val="154"/>
        </w:numPr>
        <w:ind w:left="567" w:hanging="567"/>
      </w:pPr>
      <w:r w:rsidRPr="00D142F6">
        <w:t xml:space="preserve">A person whose interests are affected by the Departmental decision is able to seek merits review of the decision in the </w:t>
      </w:r>
      <w:r w:rsidR="00F54575">
        <w:t>Administrative A</w:t>
      </w:r>
      <w:r>
        <w:t>ppeals Tribunal (</w:t>
      </w:r>
      <w:r w:rsidRPr="00D142F6">
        <w:t>AAT</w:t>
      </w:r>
      <w:r>
        <w:t>)</w:t>
      </w:r>
      <w:r w:rsidRPr="00D142F6">
        <w:t xml:space="preserve">. This includes Australian </w:t>
      </w:r>
      <w:r>
        <w:t>possessors</w:t>
      </w:r>
      <w:r w:rsidRPr="00D142F6">
        <w:t xml:space="preserve"> and foreign claimants. It can include individuals, corporations and governments. </w:t>
      </w:r>
    </w:p>
    <w:p w14:paraId="238173BD" w14:textId="310C72DC" w:rsidR="00F8414F" w:rsidRPr="00D142F6" w:rsidRDefault="00F8414F" w:rsidP="00E5299D">
      <w:pPr>
        <w:pStyle w:val="List"/>
        <w:numPr>
          <w:ilvl w:val="0"/>
          <w:numId w:val="154"/>
        </w:numPr>
        <w:ind w:left="567" w:hanging="567"/>
      </w:pPr>
      <w:r w:rsidRPr="00D142F6">
        <w:t>The initial stage of a review proc</w:t>
      </w:r>
      <w:r w:rsidR="009B62AA">
        <w:t>ess before the AAT requires an A</w:t>
      </w:r>
      <w:r w:rsidRPr="00D142F6">
        <w:t xml:space="preserve">lternative </w:t>
      </w:r>
      <w:r w:rsidR="009B62AA">
        <w:t>D</w:t>
      </w:r>
      <w:r w:rsidRPr="00D142F6">
        <w:t>is</w:t>
      </w:r>
      <w:r w:rsidR="009B62AA">
        <w:t>pute R</w:t>
      </w:r>
      <w:r w:rsidRPr="00D142F6">
        <w:t>esolution (ADR) process. Different dispute resolution models are available within the AAT and the model applied will depend on the particular issues in dispute.</w:t>
      </w:r>
      <w:r w:rsidR="00801A32">
        <w:t xml:space="preserve"> </w:t>
      </w:r>
      <w:r w:rsidRPr="00D142F6">
        <w:t>ADR processes used in the AAT include conferencing, conciliation, mediation, case appraisal and neutral evaluation.</w:t>
      </w:r>
    </w:p>
    <w:p w14:paraId="3841EB68" w14:textId="77777777" w:rsidR="00F8414F" w:rsidRPr="009F6673" w:rsidRDefault="00F8414F" w:rsidP="004C4A19">
      <w:pPr>
        <w:pStyle w:val="Heading3"/>
      </w:pPr>
      <w:r w:rsidRPr="009F6673">
        <w:lastRenderedPageBreak/>
        <w:t>Determination of the matter in the AAT</w:t>
      </w:r>
    </w:p>
    <w:p w14:paraId="21E798BF" w14:textId="77777777" w:rsidR="00024A10" w:rsidRDefault="00F8414F" w:rsidP="00E5299D">
      <w:pPr>
        <w:pStyle w:val="List"/>
        <w:numPr>
          <w:ilvl w:val="0"/>
          <w:numId w:val="155"/>
        </w:numPr>
        <w:ind w:left="567" w:hanging="567"/>
      </w:pPr>
      <w:r w:rsidRPr="00D142F6">
        <w:t xml:space="preserve">If engagement with an ADR process does not lead to resolution, a party can seek listing of their application for hearing by the tribunal. AAT proceedings are designed to be quick, informal, economical, fair, </w:t>
      </w:r>
      <w:r w:rsidR="00024A10">
        <w:t>and accessible for all parties.</w:t>
      </w:r>
    </w:p>
    <w:p w14:paraId="6CB7B6F1" w14:textId="77777777" w:rsidR="00AA7153" w:rsidRDefault="00F8414F" w:rsidP="00E5299D">
      <w:pPr>
        <w:pStyle w:val="List"/>
        <w:numPr>
          <w:ilvl w:val="0"/>
          <w:numId w:val="155"/>
        </w:numPr>
        <w:ind w:left="567" w:hanging="567"/>
      </w:pPr>
      <w:r w:rsidRPr="00D142F6">
        <w:t xml:space="preserve">The AAT may inform itself on any matter it thinks fit in undertaking the review and is not bound by rules of evidence. </w:t>
      </w:r>
    </w:p>
    <w:p w14:paraId="0A16F8E4" w14:textId="77777777" w:rsidR="00AA7153" w:rsidRDefault="00F8414F" w:rsidP="00E5299D">
      <w:pPr>
        <w:pStyle w:val="List"/>
        <w:numPr>
          <w:ilvl w:val="0"/>
          <w:numId w:val="155"/>
        </w:numPr>
        <w:ind w:left="567" w:hanging="567"/>
      </w:pPr>
      <w:r w:rsidRPr="00D142F6">
        <w:t xml:space="preserve">Full merits review would be available at this stage, affording parties the opportunity to have all aspects of the Departmental decision reviewed. </w:t>
      </w:r>
    </w:p>
    <w:p w14:paraId="7B49BE58" w14:textId="5EF22233" w:rsidR="00F8414F" w:rsidRPr="00D142F6" w:rsidRDefault="00F8414F" w:rsidP="00E5299D">
      <w:pPr>
        <w:pStyle w:val="List"/>
        <w:numPr>
          <w:ilvl w:val="0"/>
          <w:numId w:val="155"/>
        </w:numPr>
        <w:ind w:left="567" w:hanging="567"/>
      </w:pPr>
      <w:r w:rsidRPr="00D142F6">
        <w:t>In reviewing a decision on its merits, the AAT will make the legally correct decision or, where there can be more than one correct decision, the preferable decision.</w:t>
      </w:r>
    </w:p>
    <w:p w14:paraId="5718289C" w14:textId="77777777" w:rsidR="00F8414F" w:rsidRPr="009F6673" w:rsidRDefault="00F8414F" w:rsidP="004C4A19">
      <w:pPr>
        <w:pStyle w:val="Heading3"/>
      </w:pPr>
      <w:r w:rsidRPr="009F6673">
        <w:t>Judicial review</w:t>
      </w:r>
    </w:p>
    <w:p w14:paraId="54DABF10" w14:textId="5141140C" w:rsidR="00F8414F" w:rsidRPr="00D142F6" w:rsidRDefault="00F8414F" w:rsidP="00E5299D">
      <w:pPr>
        <w:pStyle w:val="List"/>
        <w:numPr>
          <w:ilvl w:val="0"/>
          <w:numId w:val="156"/>
        </w:numPr>
        <w:ind w:left="567" w:hanging="567"/>
      </w:pPr>
      <w:r w:rsidRPr="00D142F6">
        <w:t>A person will have the opportunity to appeal to the Federal Court of Australia for judicial review of an AAT decision</w:t>
      </w:r>
      <w:r>
        <w:t xml:space="preserve"> on </w:t>
      </w:r>
      <w:r w:rsidRPr="00D142F6">
        <w:t xml:space="preserve">a question of law. Alternatively, judicial review of the original decision of the Department may be available under the </w:t>
      </w:r>
      <w:r w:rsidRPr="00D142F6">
        <w:rPr>
          <w:i/>
        </w:rPr>
        <w:t>Administrative Decisions (Judicial Review) Act 1977</w:t>
      </w:r>
      <w:r w:rsidRPr="00D142F6">
        <w:t>.</w:t>
      </w:r>
    </w:p>
    <w:p w14:paraId="66E0B335" w14:textId="77777777" w:rsidR="00F8414F" w:rsidRPr="009F6673" w:rsidRDefault="00F8414F" w:rsidP="004C4A19">
      <w:pPr>
        <w:pStyle w:val="Heading3"/>
      </w:pPr>
      <w:r w:rsidRPr="009F6673">
        <w:t>Compensation</w:t>
      </w:r>
    </w:p>
    <w:p w14:paraId="4AECD100" w14:textId="74D05CA0" w:rsidR="00024A10" w:rsidRDefault="00F8414F" w:rsidP="00E5299D">
      <w:pPr>
        <w:pStyle w:val="List"/>
        <w:numPr>
          <w:ilvl w:val="0"/>
          <w:numId w:val="188"/>
        </w:numPr>
        <w:ind w:left="567" w:hanging="567"/>
      </w:pPr>
      <w:r w:rsidRPr="007C77CF">
        <w:t xml:space="preserve">An innocent purchaser of cultural material that is returned </w:t>
      </w:r>
      <w:r>
        <w:t xml:space="preserve">to a foreign claimant </w:t>
      </w:r>
      <w:r w:rsidRPr="007C77CF">
        <w:t xml:space="preserve">on the basis of illegal export </w:t>
      </w:r>
      <w:r>
        <w:t xml:space="preserve">or theft of non-inventoried material </w:t>
      </w:r>
      <w:r w:rsidRPr="007C77CF">
        <w:t>may seek just compensation</w:t>
      </w:r>
      <w:r w:rsidRPr="005320A4">
        <w:rPr>
          <w:vertAlign w:val="superscript"/>
        </w:rPr>
        <w:footnoteReference w:id="187"/>
      </w:r>
      <w:r w:rsidRPr="005320A4">
        <w:rPr>
          <w:vertAlign w:val="superscript"/>
        </w:rPr>
        <w:t xml:space="preserve"> </w:t>
      </w:r>
      <w:r w:rsidRPr="007C77CF">
        <w:t>where it is able to demonstrate that it undertook due diligence prior to acquisition and did not know nor ought reasonably have known at the time of acquisition that the obj</w:t>
      </w:r>
      <w:r w:rsidR="00F54575">
        <w:t>ect had been illegally exported or stolen.</w:t>
      </w:r>
    </w:p>
    <w:p w14:paraId="6C83336F" w14:textId="63778882" w:rsidR="00024A10" w:rsidRDefault="00F54575" w:rsidP="00E5299D">
      <w:pPr>
        <w:pStyle w:val="List"/>
        <w:numPr>
          <w:ilvl w:val="0"/>
          <w:numId w:val="188"/>
        </w:numPr>
        <w:ind w:left="567" w:hanging="567"/>
      </w:pPr>
      <w:r>
        <w:t xml:space="preserve">An </w:t>
      </w:r>
      <w:r w:rsidR="00F8414F" w:rsidRPr="007C77CF">
        <w:t xml:space="preserve">SES officer will decide the award of compensation. That decision may be appealed by either party to the </w:t>
      </w:r>
      <w:r w:rsidR="009B62AA">
        <w:t>AAT</w:t>
      </w:r>
      <w:r w:rsidR="00F8414F" w:rsidRPr="007C77CF">
        <w:t>.</w:t>
      </w:r>
    </w:p>
    <w:p w14:paraId="4347208E" w14:textId="77777777" w:rsidR="00024A10" w:rsidRDefault="00F8414F" w:rsidP="00E5299D">
      <w:pPr>
        <w:pStyle w:val="List"/>
        <w:numPr>
          <w:ilvl w:val="0"/>
          <w:numId w:val="188"/>
        </w:numPr>
        <w:ind w:left="567" w:hanging="567"/>
      </w:pPr>
      <w:r w:rsidRPr="00D142F6">
        <w:t>There will be no eligibility for compensation from a foreign claimant where the import is related to the theft of inventoried or looted cultural material.</w:t>
      </w:r>
    </w:p>
    <w:p w14:paraId="5703593A" w14:textId="77777777" w:rsidR="00AA7153" w:rsidRDefault="00F54575" w:rsidP="00E5299D">
      <w:pPr>
        <w:pStyle w:val="List"/>
        <w:numPr>
          <w:ilvl w:val="0"/>
          <w:numId w:val="188"/>
        </w:numPr>
        <w:ind w:left="567" w:hanging="567"/>
      </w:pPr>
      <w:r>
        <w:t>The foreign claimant</w:t>
      </w:r>
      <w:r w:rsidR="00F8414F" w:rsidRPr="00D142F6">
        <w:t xml:space="preserve"> and the possessor may negotiate an alternative to compensation. This can be facilitated by the Department.</w:t>
      </w:r>
    </w:p>
    <w:p w14:paraId="078EEFF0" w14:textId="2E56E7B2" w:rsidR="00F8414F" w:rsidRPr="0062768E" w:rsidRDefault="00F8414F" w:rsidP="00E5299D">
      <w:pPr>
        <w:pStyle w:val="List"/>
        <w:numPr>
          <w:ilvl w:val="0"/>
          <w:numId w:val="188"/>
        </w:numPr>
        <w:ind w:left="567" w:hanging="567"/>
      </w:pPr>
      <w:r w:rsidRPr="007C77CF">
        <w:lastRenderedPageBreak/>
        <w:t xml:space="preserve">The cost of returning a forfeited object is a matter for </w:t>
      </w:r>
      <w:r>
        <w:t>Departmental</w:t>
      </w:r>
      <w:r w:rsidRPr="007C77CF">
        <w:t xml:space="preserve"> discretion. The Commonwealth also has the right to recover those costs from </w:t>
      </w:r>
      <w:r>
        <w:t>‘</w:t>
      </w:r>
      <w:r w:rsidRPr="007C77CF">
        <w:t>the person who was the owner of the object immediately before it was forfeited</w:t>
      </w:r>
      <w:r>
        <w:t>’</w:t>
      </w:r>
      <w:r w:rsidRPr="007C77CF">
        <w:t>.</w:t>
      </w:r>
    </w:p>
    <w:p w14:paraId="11977CB1" w14:textId="17D84B5C" w:rsidR="00F8414F" w:rsidRPr="009F6673" w:rsidRDefault="00F8414F" w:rsidP="00052178">
      <w:pPr>
        <w:pStyle w:val="Heading2"/>
      </w:pPr>
      <w:bookmarkStart w:id="434" w:name="_Toc431223066"/>
      <w:bookmarkStart w:id="435" w:name="_Toc431303212"/>
      <w:bookmarkStart w:id="436" w:name="_Toc431307860"/>
      <w:bookmarkStart w:id="437" w:name="_Toc433906637"/>
      <w:r w:rsidRPr="009F6673">
        <w:t>Specific provisions</w:t>
      </w:r>
      <w:r w:rsidR="00AA7153">
        <w:t>—</w:t>
      </w:r>
      <w:r w:rsidR="009B62AA">
        <w:t>i</w:t>
      </w:r>
      <w:r w:rsidRPr="009F6673">
        <w:t>llegally exported cultural material</w:t>
      </w:r>
      <w:bookmarkEnd w:id="434"/>
      <w:bookmarkEnd w:id="435"/>
      <w:bookmarkEnd w:id="436"/>
      <w:bookmarkEnd w:id="437"/>
    </w:p>
    <w:p w14:paraId="7B97561C" w14:textId="77777777" w:rsidR="00F8414F" w:rsidRPr="009F6673" w:rsidRDefault="00F8414F" w:rsidP="004C4A19">
      <w:pPr>
        <w:pStyle w:val="Heading3"/>
      </w:pPr>
      <w:r w:rsidRPr="009F6673">
        <w:t>The right to seek return</w:t>
      </w:r>
    </w:p>
    <w:p w14:paraId="7E36E7CB" w14:textId="77777777" w:rsidR="00024A10" w:rsidRDefault="00F8414F" w:rsidP="00E5299D">
      <w:pPr>
        <w:pStyle w:val="List"/>
        <w:numPr>
          <w:ilvl w:val="0"/>
          <w:numId w:val="157"/>
        </w:numPr>
        <w:ind w:left="567" w:hanging="567"/>
      </w:pPr>
      <w:r w:rsidRPr="00AC65DD">
        <w:t xml:space="preserve">The claim for the return of illegally exported cultural material must be made by the government of </w:t>
      </w:r>
      <w:r>
        <w:t xml:space="preserve">the country of </w:t>
      </w:r>
      <w:r w:rsidRPr="00AC65DD">
        <w:t>origin.</w:t>
      </w:r>
    </w:p>
    <w:p w14:paraId="124E6BCA" w14:textId="52B8071B" w:rsidR="008B0DDE" w:rsidRDefault="00F8414F" w:rsidP="00E5299D">
      <w:pPr>
        <w:pStyle w:val="List"/>
        <w:numPr>
          <w:ilvl w:val="0"/>
          <w:numId w:val="157"/>
        </w:numPr>
        <w:ind w:left="567" w:hanging="567"/>
      </w:pPr>
      <w:r>
        <w:t>There is no right to seek return under the Act if the material</w:t>
      </w:r>
      <w:r w:rsidRPr="007C77CF">
        <w:t xml:space="preserve"> was imported into Australia before 1 July 1987</w:t>
      </w:r>
      <w:r>
        <w:t>.</w:t>
      </w:r>
    </w:p>
    <w:p w14:paraId="63CD2CE5" w14:textId="0D806925" w:rsidR="00024A10" w:rsidRDefault="00F8414F" w:rsidP="00E5299D">
      <w:pPr>
        <w:pStyle w:val="List"/>
        <w:numPr>
          <w:ilvl w:val="0"/>
          <w:numId w:val="157"/>
        </w:numPr>
        <w:ind w:left="567" w:hanging="567"/>
      </w:pPr>
      <w:r w:rsidRPr="00D142F6">
        <w:t xml:space="preserve">There </w:t>
      </w:r>
      <w:r>
        <w:t xml:space="preserve">are some additional matters which can be added to the model following further Government consideration. These include that there would be </w:t>
      </w:r>
      <w:r w:rsidRPr="00D142F6">
        <w:t>no right to seek return under the Act if:</w:t>
      </w:r>
    </w:p>
    <w:p w14:paraId="1F710B98" w14:textId="77777777" w:rsidR="00024A10" w:rsidRDefault="00F8414F" w:rsidP="00E5299D">
      <w:pPr>
        <w:pStyle w:val="List"/>
        <w:numPr>
          <w:ilvl w:val="1"/>
          <w:numId w:val="157"/>
        </w:numPr>
        <w:ind w:left="1134" w:hanging="567"/>
      </w:pPr>
      <w:r w:rsidRPr="007C77CF">
        <w:t>the export of the material is no longer unlawful in the foreign State at the time that the object was imported into Australia or its return is requested; or</w:t>
      </w:r>
    </w:p>
    <w:p w14:paraId="694315BA" w14:textId="4ED68C20" w:rsidR="00F8414F" w:rsidRPr="00D142F6" w:rsidRDefault="00F8414F" w:rsidP="00E5299D">
      <w:pPr>
        <w:pStyle w:val="List"/>
        <w:numPr>
          <w:ilvl w:val="1"/>
          <w:numId w:val="157"/>
        </w:numPr>
        <w:ind w:left="1134" w:hanging="567"/>
      </w:pPr>
      <w:proofErr w:type="gramStart"/>
      <w:r w:rsidRPr="007C77CF">
        <w:t>the</w:t>
      </w:r>
      <w:proofErr w:type="gramEnd"/>
      <w:r w:rsidRPr="007C77CF">
        <w:t xml:space="preserve"> foreign material </w:t>
      </w:r>
      <w:r>
        <w:t xml:space="preserve">is visual arts, craft and design material and </w:t>
      </w:r>
      <w:r w:rsidRPr="007C77CF">
        <w:t>was exported</w:t>
      </w:r>
      <w:r w:rsidRPr="00D142F6">
        <w:t xml:space="preserve"> </w:t>
      </w:r>
      <w:r w:rsidRPr="007C77CF">
        <w:t>from</w:t>
      </w:r>
      <w:r w:rsidRPr="00D142F6">
        <w:t xml:space="preserve"> </w:t>
      </w:r>
      <w:r w:rsidRPr="007C77CF">
        <w:t>the</w:t>
      </w:r>
      <w:r w:rsidRPr="00D142F6">
        <w:t xml:space="preserve"> </w:t>
      </w:r>
      <w:r w:rsidRPr="007C77CF">
        <w:t>relevant</w:t>
      </w:r>
      <w:r w:rsidRPr="00D142F6">
        <w:t xml:space="preserve"> </w:t>
      </w:r>
      <w:r w:rsidRPr="007C77CF">
        <w:t>State</w:t>
      </w:r>
      <w:r w:rsidRPr="00D142F6">
        <w:t xml:space="preserve"> </w:t>
      </w:r>
      <w:r w:rsidRPr="007C77CF">
        <w:t>during</w:t>
      </w:r>
      <w:r w:rsidRPr="00D142F6">
        <w:t xml:space="preserve"> </w:t>
      </w:r>
      <w:r w:rsidRPr="007C77CF">
        <w:t>the</w:t>
      </w:r>
      <w:r w:rsidRPr="00D142F6">
        <w:t xml:space="preserve"> </w:t>
      </w:r>
      <w:r w:rsidRPr="007C77CF">
        <w:t>lifetime</w:t>
      </w:r>
      <w:r>
        <w:rPr>
          <w:rStyle w:val="FootnoteReference"/>
        </w:rPr>
        <w:footnoteReference w:id="188"/>
      </w:r>
      <w:r w:rsidRPr="00D142F6">
        <w:t xml:space="preserve"> </w:t>
      </w:r>
      <w:r w:rsidRPr="007C77CF">
        <w:t>of</w:t>
      </w:r>
      <w:r w:rsidRPr="00D142F6">
        <w:t xml:space="preserve"> </w:t>
      </w:r>
      <w:r w:rsidRPr="007C77CF">
        <w:t>the</w:t>
      </w:r>
      <w:r w:rsidRPr="00D142F6">
        <w:t xml:space="preserve"> per</w:t>
      </w:r>
      <w:r w:rsidRPr="007C77CF">
        <w:t>son who</w:t>
      </w:r>
      <w:r w:rsidRPr="00D142F6">
        <w:t xml:space="preserve"> </w:t>
      </w:r>
      <w:r w:rsidRPr="007C77CF">
        <w:t>created</w:t>
      </w:r>
      <w:r w:rsidRPr="00D142F6">
        <w:t xml:space="preserve"> </w:t>
      </w:r>
      <w:r w:rsidRPr="007C77CF">
        <w:t>it</w:t>
      </w:r>
      <w:r>
        <w:t>.</w:t>
      </w:r>
    </w:p>
    <w:p w14:paraId="4DA57A8E" w14:textId="6E2361D6" w:rsidR="00F8414F" w:rsidRPr="009F6673" w:rsidRDefault="00F8414F" w:rsidP="00052178">
      <w:pPr>
        <w:pStyle w:val="Heading2"/>
      </w:pPr>
      <w:bookmarkStart w:id="438" w:name="_Toc431223067"/>
      <w:bookmarkStart w:id="439" w:name="_Toc431303213"/>
      <w:bookmarkStart w:id="440" w:name="_Toc431307861"/>
      <w:bookmarkStart w:id="441" w:name="_Toc433906638"/>
      <w:r w:rsidRPr="009F6673">
        <w:t>Specific provisions</w:t>
      </w:r>
      <w:r w:rsidR="00AA7153">
        <w:t>—</w:t>
      </w:r>
      <w:r w:rsidRPr="009F6673">
        <w:t>stolen cultural material</w:t>
      </w:r>
      <w:bookmarkEnd w:id="438"/>
      <w:bookmarkEnd w:id="439"/>
      <w:bookmarkEnd w:id="440"/>
      <w:bookmarkEnd w:id="441"/>
    </w:p>
    <w:p w14:paraId="605B6855" w14:textId="77777777" w:rsidR="00F8414F" w:rsidRPr="009F6673" w:rsidRDefault="00F8414F" w:rsidP="004C4A19">
      <w:pPr>
        <w:pStyle w:val="Heading3"/>
      </w:pPr>
      <w:r w:rsidRPr="009F6673">
        <w:t>Claimant</w:t>
      </w:r>
    </w:p>
    <w:p w14:paraId="2DBE8169" w14:textId="31073FBF" w:rsidR="00F8414F" w:rsidRPr="00D142F6" w:rsidRDefault="00F8414F" w:rsidP="00E5299D">
      <w:pPr>
        <w:pStyle w:val="List"/>
        <w:numPr>
          <w:ilvl w:val="0"/>
          <w:numId w:val="158"/>
        </w:numPr>
        <w:ind w:left="567" w:hanging="567"/>
      </w:pPr>
      <w:r w:rsidRPr="00D142F6">
        <w:t>Claim for restitution of stolen cultural material is available to all owners</w:t>
      </w:r>
      <w:r w:rsidR="00801A32">
        <w:t>—</w:t>
      </w:r>
      <w:r w:rsidRPr="00D142F6">
        <w:t>not just governments.</w:t>
      </w:r>
    </w:p>
    <w:p w14:paraId="00776EA4" w14:textId="77777777" w:rsidR="00F8414F" w:rsidRPr="009F6673" w:rsidRDefault="00F8414F" w:rsidP="004C4A19">
      <w:pPr>
        <w:pStyle w:val="Heading3"/>
      </w:pPr>
      <w:r w:rsidRPr="009F6673">
        <w:t>No innocent purchaser defence</w:t>
      </w:r>
    </w:p>
    <w:p w14:paraId="00DC46B9" w14:textId="2DE40C4A" w:rsidR="00F8414F" w:rsidRPr="00D142F6" w:rsidRDefault="00F8414F" w:rsidP="00E5299D">
      <w:pPr>
        <w:pStyle w:val="List"/>
        <w:numPr>
          <w:ilvl w:val="0"/>
          <w:numId w:val="159"/>
        </w:numPr>
        <w:tabs>
          <w:tab w:val="left" w:pos="567"/>
        </w:tabs>
        <w:ind w:left="567" w:hanging="567"/>
      </w:pPr>
      <w:r w:rsidRPr="00D142F6">
        <w:t>No good faith, innocent purchaser defence is available against restitution claims for stolen inventoried cultural material.</w:t>
      </w:r>
    </w:p>
    <w:p w14:paraId="1C737F95" w14:textId="77777777" w:rsidR="00F54575" w:rsidRDefault="00F54575">
      <w:pPr>
        <w:spacing w:line="276" w:lineRule="auto"/>
        <w:rPr>
          <w:rFonts w:asciiTheme="majorHAnsi" w:eastAsiaTheme="majorEastAsia" w:hAnsiTheme="majorHAnsi" w:cstheme="majorBidi"/>
          <w:b/>
          <w:bCs/>
          <w:color w:val="026582"/>
          <w:sz w:val="26"/>
          <w:szCs w:val="26"/>
        </w:rPr>
      </w:pPr>
      <w:bookmarkStart w:id="442" w:name="_Toc431223068"/>
      <w:r>
        <w:br w:type="page"/>
      </w:r>
    </w:p>
    <w:p w14:paraId="1D91E314" w14:textId="208921F6" w:rsidR="00F8414F" w:rsidRPr="009F6673" w:rsidRDefault="00F8414F" w:rsidP="00052178">
      <w:pPr>
        <w:pStyle w:val="Heading2"/>
      </w:pPr>
      <w:bookmarkStart w:id="443" w:name="_Toc431303214"/>
      <w:bookmarkStart w:id="444" w:name="_Toc431307862"/>
      <w:bookmarkStart w:id="445" w:name="_Toc433906639"/>
      <w:r w:rsidRPr="009F6673">
        <w:lastRenderedPageBreak/>
        <w:t>Specific provisions</w:t>
      </w:r>
      <w:r w:rsidR="00AA7153">
        <w:t>—</w:t>
      </w:r>
      <w:r w:rsidRPr="009F6673">
        <w:t>looted cultural material</w:t>
      </w:r>
      <w:bookmarkEnd w:id="442"/>
      <w:bookmarkEnd w:id="443"/>
      <w:bookmarkEnd w:id="444"/>
      <w:bookmarkEnd w:id="445"/>
    </w:p>
    <w:p w14:paraId="00C13A44" w14:textId="77777777" w:rsidR="00F8414F" w:rsidRPr="009F6673" w:rsidRDefault="00F8414F" w:rsidP="004C4A19">
      <w:pPr>
        <w:pStyle w:val="Heading3"/>
      </w:pPr>
      <w:r w:rsidRPr="009F6673">
        <w:t>Claimant</w:t>
      </w:r>
    </w:p>
    <w:p w14:paraId="0FE4EC2E" w14:textId="765C1C43" w:rsidR="00F8414F" w:rsidRPr="00D142F6" w:rsidRDefault="00F8414F" w:rsidP="00E5299D">
      <w:pPr>
        <w:pStyle w:val="List"/>
        <w:numPr>
          <w:ilvl w:val="0"/>
          <w:numId w:val="160"/>
        </w:numPr>
        <w:ind w:left="567" w:hanging="567"/>
      </w:pPr>
      <w:r w:rsidRPr="00D142F6">
        <w:t>Claim for restitution of looted cultural material is available to all owners</w:t>
      </w:r>
      <w:r w:rsidR="00801A32">
        <w:t>—</w:t>
      </w:r>
      <w:r w:rsidRPr="00D142F6">
        <w:t>not just governments.</w:t>
      </w:r>
    </w:p>
    <w:p w14:paraId="5C4555A6" w14:textId="77777777" w:rsidR="00F8414F" w:rsidRPr="009F6673" w:rsidRDefault="00F8414F" w:rsidP="004C4A19">
      <w:pPr>
        <w:pStyle w:val="Heading3"/>
      </w:pPr>
      <w:r w:rsidRPr="009F6673">
        <w:t>No innocent purchaser defence</w:t>
      </w:r>
    </w:p>
    <w:p w14:paraId="6AF3A016" w14:textId="0AC32339" w:rsidR="00F8414F" w:rsidRPr="00D142F6" w:rsidRDefault="00F8414F" w:rsidP="00E5299D">
      <w:pPr>
        <w:pStyle w:val="List"/>
        <w:numPr>
          <w:ilvl w:val="0"/>
          <w:numId w:val="161"/>
        </w:numPr>
        <w:ind w:left="567" w:hanging="567"/>
      </w:pPr>
      <w:r w:rsidRPr="00D142F6">
        <w:t>No good faith, innocent purchaser defence is available against restitution claims for looted cultural material.</w:t>
      </w:r>
    </w:p>
    <w:p w14:paraId="1F516394" w14:textId="77777777" w:rsidR="00F8414F" w:rsidRPr="009F6673" w:rsidRDefault="00F8414F" w:rsidP="004C1192">
      <w:pPr>
        <w:pStyle w:val="Heading3"/>
      </w:pPr>
      <w:r w:rsidRPr="009F6673">
        <w:t>Safeguarding of cultural property</w:t>
      </w:r>
    </w:p>
    <w:p w14:paraId="5575E395" w14:textId="77777777" w:rsidR="00AA7153" w:rsidRDefault="00F8414F" w:rsidP="00E5299D">
      <w:pPr>
        <w:pStyle w:val="List"/>
        <w:numPr>
          <w:ilvl w:val="0"/>
          <w:numId w:val="162"/>
        </w:numPr>
        <w:ind w:left="576" w:hanging="576"/>
      </w:pPr>
      <w:r w:rsidRPr="00D142F6">
        <w:t>There is</w:t>
      </w:r>
      <w:r>
        <w:t xml:space="preserve"> </w:t>
      </w:r>
      <w:r w:rsidRPr="00D142F6">
        <w:t>an obligation to take into custody cultural material imported into Australia, either directly or indirectly, from an occupied territory (either automatically upon the importation of the material or, at the request of the authorities of that territory) for the purposes of safeguarding.</w:t>
      </w:r>
    </w:p>
    <w:p w14:paraId="31DE4C76" w14:textId="77777777" w:rsidR="00AA7153" w:rsidRDefault="00F8414F" w:rsidP="00E5299D">
      <w:pPr>
        <w:pStyle w:val="List"/>
        <w:numPr>
          <w:ilvl w:val="0"/>
          <w:numId w:val="162"/>
        </w:numPr>
        <w:ind w:left="576" w:hanging="576"/>
      </w:pPr>
      <w:r w:rsidRPr="00D142F6">
        <w:t>There is an obligation to return such material, at the close of hostilities, to the competent authorities of the territory previously occupied.</w:t>
      </w:r>
    </w:p>
    <w:p w14:paraId="19396143" w14:textId="26A8B96D" w:rsidR="00F8414F" w:rsidRPr="009F6673" w:rsidRDefault="00F8414F" w:rsidP="004C4A19">
      <w:pPr>
        <w:pStyle w:val="Heading3"/>
      </w:pPr>
      <w:r w:rsidRPr="009F6673">
        <w:t>Recognition and protection of the Blue Shield emblem</w:t>
      </w:r>
    </w:p>
    <w:p w14:paraId="7523BBCC" w14:textId="77777777" w:rsidR="00AA7153" w:rsidRDefault="00F8414F" w:rsidP="00E5299D">
      <w:pPr>
        <w:pStyle w:val="List"/>
        <w:numPr>
          <w:ilvl w:val="0"/>
          <w:numId w:val="163"/>
        </w:numPr>
        <w:ind w:left="567" w:hanging="567"/>
      </w:pPr>
      <w:r w:rsidRPr="00D142F6">
        <w:t>Legislative protection is given to the Blue Shield emblem to prohibit its unauthorised use.</w:t>
      </w:r>
    </w:p>
    <w:p w14:paraId="5D3DC90D" w14:textId="382817BF" w:rsidR="00F8414F" w:rsidRDefault="00F8414F" w:rsidP="00E5299D">
      <w:pPr>
        <w:pStyle w:val="List"/>
        <w:numPr>
          <w:ilvl w:val="0"/>
          <w:numId w:val="163"/>
        </w:numPr>
        <w:ind w:left="567" w:hanging="567"/>
      </w:pPr>
      <w:r w:rsidRPr="00D142F6">
        <w:t>Provision of a legislative implementation framework to allow the authorised use of the emblem on movable cultural heritage material.</w:t>
      </w:r>
    </w:p>
    <w:p w14:paraId="2656E75E" w14:textId="77777777" w:rsidR="00F8414F" w:rsidRDefault="00F8414F" w:rsidP="004C4A19">
      <w:pPr>
        <w:pStyle w:val="Heading3"/>
      </w:pPr>
      <w:r>
        <w:t>Offences and sanctions</w:t>
      </w:r>
    </w:p>
    <w:p w14:paraId="5A0E5D4A" w14:textId="2E23D660" w:rsidR="00024A10" w:rsidRPr="00F54575" w:rsidRDefault="00F8414F" w:rsidP="00E5299D">
      <w:pPr>
        <w:pStyle w:val="List"/>
        <w:numPr>
          <w:ilvl w:val="0"/>
          <w:numId w:val="164"/>
        </w:numPr>
        <w:ind w:left="567" w:hanging="567"/>
      </w:pPr>
      <w:r>
        <w:t xml:space="preserve">A new range of offences is introduced to include the import of cultural material </w:t>
      </w:r>
      <w:r w:rsidRPr="00F54575">
        <w:t>that is stolen, looted, and unlawfully removed</w:t>
      </w:r>
      <w:r w:rsidR="00F54575">
        <w:t xml:space="preserve"> from a zone of armed conflict, whether by </w:t>
      </w:r>
      <w:r w:rsidRPr="00F54575">
        <w:t>mili</w:t>
      </w:r>
      <w:r w:rsidR="00F54575">
        <w:t xml:space="preserve">tary or </w:t>
      </w:r>
      <w:r w:rsidR="00024A10" w:rsidRPr="00F54575">
        <w:t>non-military personnel.</w:t>
      </w:r>
    </w:p>
    <w:p w14:paraId="4E40280E" w14:textId="77777777" w:rsidR="00AA7153" w:rsidRDefault="00F8414F" w:rsidP="00E5299D">
      <w:pPr>
        <w:pStyle w:val="List"/>
        <w:numPr>
          <w:ilvl w:val="0"/>
          <w:numId w:val="164"/>
        </w:numPr>
        <w:ind w:left="567" w:hanging="567"/>
      </w:pPr>
      <w:r>
        <w:t>Existing sanctions are modernised and the penalties made appropriate.</w:t>
      </w:r>
    </w:p>
    <w:p w14:paraId="27F4E927" w14:textId="76E870E6" w:rsidR="00F8414F" w:rsidRDefault="00F8414F" w:rsidP="004C1192">
      <w:pPr>
        <w:pStyle w:val="List"/>
        <w:ind w:left="0" w:firstLine="0"/>
      </w:pPr>
    </w:p>
    <w:sectPr w:rsidR="00F8414F" w:rsidSect="00E333A4">
      <w:footerReference w:type="default" r:id="rId43"/>
      <w:pgSz w:w="11906" w:h="16838"/>
      <w:pgMar w:top="1440" w:right="1274" w:bottom="1418" w:left="1440" w:header="708" w:footer="4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3B6588" w14:textId="77777777" w:rsidR="005F4E29" w:rsidRDefault="005F4E29" w:rsidP="00A1700F">
      <w:pPr>
        <w:spacing w:after="0" w:line="240" w:lineRule="auto"/>
      </w:pPr>
      <w:r>
        <w:separator/>
      </w:r>
    </w:p>
  </w:endnote>
  <w:endnote w:type="continuationSeparator" w:id="0">
    <w:p w14:paraId="405E6C49" w14:textId="77777777" w:rsidR="005F4E29" w:rsidRDefault="005F4E29" w:rsidP="00A17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B336C" w14:textId="77777777" w:rsidR="005F4E29" w:rsidRDefault="005F4E29">
    <w:pPr>
      <w:pStyle w:val="Footer"/>
      <w:jc w:val="center"/>
    </w:pPr>
  </w:p>
  <w:p w14:paraId="59F09B9C" w14:textId="77777777" w:rsidR="005F4E29" w:rsidRDefault="005F4E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CD039" w14:textId="03E58938" w:rsidR="005F4E29" w:rsidRPr="00E2435E" w:rsidRDefault="005F4E29">
    <w:pPr>
      <w:pStyle w:val="Footer"/>
      <w:jc w:val="right"/>
      <w:rPr>
        <w:sz w:val="20"/>
        <w:szCs w:val="20"/>
      </w:rPr>
    </w:pPr>
  </w:p>
  <w:p w14:paraId="7F451FA1" w14:textId="77777777" w:rsidR="005F4E29" w:rsidRDefault="005F4E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1036398"/>
      <w:docPartObj>
        <w:docPartGallery w:val="Page Numbers (Bottom of Page)"/>
        <w:docPartUnique/>
      </w:docPartObj>
    </w:sdtPr>
    <w:sdtEndPr>
      <w:rPr>
        <w:rFonts w:asciiTheme="minorHAnsi" w:hAnsiTheme="minorHAnsi"/>
        <w:sz w:val="18"/>
        <w:szCs w:val="18"/>
      </w:rPr>
    </w:sdtEndPr>
    <w:sdtContent>
      <w:sdt>
        <w:sdtPr>
          <w:id w:val="860082579"/>
          <w:docPartObj>
            <w:docPartGallery w:val="Page Numbers (Top of Page)"/>
            <w:docPartUnique/>
          </w:docPartObj>
        </w:sdtPr>
        <w:sdtEndPr>
          <w:rPr>
            <w:rFonts w:asciiTheme="minorHAnsi" w:hAnsiTheme="minorHAnsi"/>
            <w:sz w:val="18"/>
            <w:szCs w:val="18"/>
          </w:rPr>
        </w:sdtEndPr>
        <w:sdtContent>
          <w:p w14:paraId="370A7534" w14:textId="582DAB0F" w:rsidR="005F4E29" w:rsidRPr="00801A32" w:rsidRDefault="005F4E29">
            <w:pPr>
              <w:pStyle w:val="Footer"/>
              <w:jc w:val="right"/>
              <w:rPr>
                <w:rFonts w:asciiTheme="minorHAnsi" w:hAnsiTheme="minorHAnsi"/>
                <w:sz w:val="18"/>
                <w:szCs w:val="18"/>
              </w:rPr>
            </w:pPr>
            <w:r w:rsidRPr="00801A32">
              <w:rPr>
                <w:rFonts w:asciiTheme="minorHAnsi" w:hAnsiTheme="minorHAnsi"/>
                <w:sz w:val="18"/>
                <w:szCs w:val="18"/>
              </w:rPr>
              <w:t xml:space="preserve">Page </w:t>
            </w:r>
            <w:r w:rsidRPr="00801A32">
              <w:rPr>
                <w:rFonts w:asciiTheme="minorHAnsi" w:hAnsiTheme="minorHAnsi"/>
                <w:bCs/>
                <w:sz w:val="18"/>
                <w:szCs w:val="18"/>
              </w:rPr>
              <w:fldChar w:fldCharType="begin"/>
            </w:r>
            <w:r w:rsidRPr="00801A32">
              <w:rPr>
                <w:rFonts w:asciiTheme="minorHAnsi" w:hAnsiTheme="minorHAnsi"/>
                <w:bCs/>
                <w:sz w:val="18"/>
                <w:szCs w:val="18"/>
              </w:rPr>
              <w:instrText xml:space="preserve"> PAGE </w:instrText>
            </w:r>
            <w:r w:rsidRPr="00801A32">
              <w:rPr>
                <w:rFonts w:asciiTheme="minorHAnsi" w:hAnsiTheme="minorHAnsi"/>
                <w:bCs/>
                <w:sz w:val="18"/>
                <w:szCs w:val="18"/>
              </w:rPr>
              <w:fldChar w:fldCharType="separate"/>
            </w:r>
            <w:r w:rsidR="000B51F5">
              <w:rPr>
                <w:rFonts w:asciiTheme="minorHAnsi" w:hAnsiTheme="minorHAnsi"/>
                <w:bCs/>
                <w:noProof/>
                <w:sz w:val="18"/>
                <w:szCs w:val="18"/>
              </w:rPr>
              <w:t>139</w:t>
            </w:r>
            <w:r w:rsidRPr="00801A32">
              <w:rPr>
                <w:rFonts w:asciiTheme="minorHAnsi" w:hAnsiTheme="minorHAnsi"/>
                <w:bCs/>
                <w:sz w:val="18"/>
                <w:szCs w:val="18"/>
              </w:rPr>
              <w:fldChar w:fldCharType="end"/>
            </w:r>
            <w:r w:rsidRPr="00801A32">
              <w:rPr>
                <w:rFonts w:asciiTheme="minorHAnsi" w:hAnsiTheme="minorHAnsi"/>
                <w:sz w:val="18"/>
                <w:szCs w:val="18"/>
              </w:rPr>
              <w:t xml:space="preserve"> of </w:t>
            </w:r>
            <w:r w:rsidRPr="00801A32">
              <w:rPr>
                <w:rFonts w:asciiTheme="minorHAnsi" w:hAnsiTheme="minorHAnsi"/>
                <w:bCs/>
                <w:sz w:val="18"/>
                <w:szCs w:val="18"/>
              </w:rPr>
              <w:fldChar w:fldCharType="begin"/>
            </w:r>
            <w:r w:rsidRPr="00801A32">
              <w:rPr>
                <w:rFonts w:asciiTheme="minorHAnsi" w:hAnsiTheme="minorHAnsi"/>
                <w:bCs/>
                <w:sz w:val="18"/>
                <w:szCs w:val="18"/>
              </w:rPr>
              <w:instrText xml:space="preserve"> NUMPAGES  </w:instrText>
            </w:r>
            <w:r w:rsidRPr="00801A32">
              <w:rPr>
                <w:rFonts w:asciiTheme="minorHAnsi" w:hAnsiTheme="minorHAnsi"/>
                <w:bCs/>
                <w:sz w:val="18"/>
                <w:szCs w:val="18"/>
              </w:rPr>
              <w:fldChar w:fldCharType="separate"/>
            </w:r>
            <w:r w:rsidR="000B51F5">
              <w:rPr>
                <w:rFonts w:asciiTheme="minorHAnsi" w:hAnsiTheme="minorHAnsi"/>
                <w:bCs/>
                <w:noProof/>
                <w:sz w:val="18"/>
                <w:szCs w:val="18"/>
              </w:rPr>
              <w:t>223</w:t>
            </w:r>
            <w:r w:rsidRPr="00801A32">
              <w:rPr>
                <w:rFonts w:asciiTheme="minorHAnsi" w:hAnsiTheme="minorHAnsi"/>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2111CE" w14:textId="77777777" w:rsidR="005F4E29" w:rsidRDefault="005F4E29" w:rsidP="00A1700F">
      <w:pPr>
        <w:spacing w:after="0" w:line="240" w:lineRule="auto"/>
      </w:pPr>
      <w:r>
        <w:separator/>
      </w:r>
    </w:p>
  </w:footnote>
  <w:footnote w:type="continuationSeparator" w:id="0">
    <w:p w14:paraId="44F6D36A" w14:textId="77777777" w:rsidR="005F4E29" w:rsidRDefault="005F4E29" w:rsidP="00A1700F">
      <w:pPr>
        <w:spacing w:after="0" w:line="240" w:lineRule="auto"/>
      </w:pPr>
      <w:r>
        <w:continuationSeparator/>
      </w:r>
    </w:p>
  </w:footnote>
  <w:footnote w:id="1">
    <w:p w14:paraId="39EBE06A" w14:textId="77777777" w:rsidR="005F4E29" w:rsidRPr="00DB2A78" w:rsidRDefault="005F4E29" w:rsidP="001A20CD">
      <w:pPr>
        <w:pStyle w:val="Footer"/>
        <w:rPr>
          <w:rFonts w:cs="Arial"/>
        </w:rPr>
      </w:pPr>
      <w:r w:rsidRPr="00422CDD">
        <w:rPr>
          <w:rStyle w:val="FootnoteReference"/>
          <w:rFonts w:cs="Arial"/>
          <w:sz w:val="20"/>
          <w:szCs w:val="20"/>
        </w:rPr>
        <w:footnoteRef/>
      </w:r>
      <w:r w:rsidRPr="00DB2A78">
        <w:rPr>
          <w:rFonts w:cs="Arial"/>
          <w:sz w:val="20"/>
          <w:szCs w:val="20"/>
        </w:rPr>
        <w:t xml:space="preserve"> Article 27</w:t>
      </w:r>
    </w:p>
  </w:footnote>
  <w:footnote w:id="2">
    <w:p w14:paraId="290D0652" w14:textId="77777777" w:rsidR="005F4E29" w:rsidRPr="00DB2A78" w:rsidRDefault="005F4E29" w:rsidP="001A20CD">
      <w:pPr>
        <w:pStyle w:val="Footer"/>
        <w:rPr>
          <w:rFonts w:cs="Arial"/>
          <w:lang w:val="en-US"/>
        </w:rPr>
      </w:pPr>
      <w:r w:rsidRPr="00422CDD">
        <w:rPr>
          <w:rStyle w:val="FootnoteReference"/>
          <w:rFonts w:cs="Arial"/>
          <w:sz w:val="20"/>
          <w:szCs w:val="20"/>
        </w:rPr>
        <w:footnoteRef/>
      </w:r>
      <w:r w:rsidRPr="00DB2A78">
        <w:rPr>
          <w:rFonts w:cs="Arial"/>
          <w:sz w:val="20"/>
          <w:szCs w:val="20"/>
        </w:rPr>
        <w:t xml:space="preserve"> Article 15</w:t>
      </w:r>
    </w:p>
  </w:footnote>
  <w:footnote w:id="3">
    <w:p w14:paraId="73B83A06" w14:textId="77777777" w:rsidR="005F4E29" w:rsidRPr="00DB2A78" w:rsidRDefault="005F4E29" w:rsidP="00B51AD0">
      <w:pPr>
        <w:pStyle w:val="Footer"/>
        <w:ind w:left="142" w:hanging="142"/>
        <w:rPr>
          <w:rFonts w:cs="Arial"/>
          <w:lang w:val="en-US"/>
        </w:rPr>
      </w:pPr>
      <w:r w:rsidRPr="00422CDD">
        <w:rPr>
          <w:rStyle w:val="FootnoteReference"/>
          <w:rFonts w:cs="Arial"/>
          <w:sz w:val="20"/>
          <w:szCs w:val="20"/>
        </w:rPr>
        <w:footnoteRef/>
      </w:r>
      <w:r w:rsidRPr="00DB2A78">
        <w:rPr>
          <w:rFonts w:cs="Arial"/>
          <w:sz w:val="20"/>
          <w:szCs w:val="20"/>
        </w:rPr>
        <w:t xml:space="preserve"> This is recognised in a variety of Australian legislative schemes and programs, such as the </w:t>
      </w:r>
      <w:hyperlink r:id="rId1" w:tooltip="External link (will open in new window)" w:history="1">
        <w:r w:rsidRPr="008F7F09">
          <w:rPr>
            <w:rStyle w:val="Hyperlink"/>
            <w:rFonts w:cs="Arial"/>
            <w:i/>
            <w:color w:val="auto"/>
            <w:sz w:val="20"/>
            <w:szCs w:val="20"/>
            <w:u w:val="none"/>
          </w:rPr>
          <w:t>Aboriginal Heritage Act 2006</w:t>
        </w:r>
      </w:hyperlink>
      <w:r w:rsidRPr="003B4493">
        <w:rPr>
          <w:rFonts w:cs="Arial"/>
          <w:sz w:val="20"/>
          <w:szCs w:val="20"/>
        </w:rPr>
        <w:t xml:space="preserve"> </w:t>
      </w:r>
      <w:r w:rsidRPr="00C640C3">
        <w:rPr>
          <w:rFonts w:cs="Arial"/>
          <w:sz w:val="20"/>
          <w:szCs w:val="20"/>
        </w:rPr>
        <w:t>(Vic).</w:t>
      </w:r>
    </w:p>
  </w:footnote>
  <w:footnote w:id="4">
    <w:p w14:paraId="214B35CD" w14:textId="4F57013F" w:rsidR="005F4E29" w:rsidRPr="00B51AD0" w:rsidRDefault="005F4E29" w:rsidP="00B51AD0">
      <w:pPr>
        <w:pStyle w:val="Footer"/>
        <w:ind w:left="142" w:hanging="142"/>
        <w:rPr>
          <w:rFonts w:cs="Arial"/>
          <w:lang w:val="en"/>
        </w:rPr>
      </w:pPr>
      <w:r w:rsidRPr="00422CDD">
        <w:rPr>
          <w:rStyle w:val="FootnoteReference"/>
          <w:rFonts w:cs="Arial"/>
          <w:sz w:val="20"/>
          <w:szCs w:val="20"/>
        </w:rPr>
        <w:footnoteRef/>
      </w:r>
      <w:r w:rsidRPr="00422CDD">
        <w:rPr>
          <w:rFonts w:cs="Arial"/>
          <w:sz w:val="20"/>
          <w:szCs w:val="20"/>
          <w:vertAlign w:val="superscript"/>
        </w:rPr>
        <w:t xml:space="preserve"> </w:t>
      </w:r>
      <w:r w:rsidRPr="00DB2A78">
        <w:rPr>
          <w:rFonts w:cs="Arial"/>
          <w:sz w:val="20"/>
          <w:szCs w:val="20"/>
        </w:rPr>
        <w:t xml:space="preserve">UN Security Council Resolution 2199 (2015), S/RES/2199 </w:t>
      </w:r>
      <w:r w:rsidRPr="00DB2A78">
        <w:rPr>
          <w:rFonts w:cs="Arial"/>
          <w:sz w:val="20"/>
          <w:szCs w:val="20"/>
          <w:lang w:val="en"/>
        </w:rPr>
        <w:t>(</w:t>
      </w:r>
      <w:r w:rsidRPr="00DB2A78">
        <w:rPr>
          <w:rFonts w:cs="Arial"/>
          <w:sz w:val="20"/>
          <w:szCs w:val="20"/>
        </w:rPr>
        <w:t>12 February 2015</w:t>
      </w:r>
      <w:r w:rsidRPr="00DB2A78">
        <w:rPr>
          <w:rFonts w:cs="Arial"/>
          <w:sz w:val="20"/>
          <w:szCs w:val="20"/>
          <w:lang w:val="en"/>
        </w:rPr>
        <w:t>).</w:t>
      </w:r>
      <w:r w:rsidRPr="00DB2A78">
        <w:rPr>
          <w:rFonts w:cs="Arial"/>
          <w:sz w:val="20"/>
          <w:szCs w:val="20"/>
        </w:rPr>
        <w:t>The resolution prohibits the import of cultural material from Iraq and Syria illegally removed from Iraq since</w:t>
      </w:r>
      <w:r>
        <w:rPr>
          <w:rFonts w:cs="Arial"/>
          <w:sz w:val="20"/>
          <w:szCs w:val="20"/>
        </w:rPr>
        <w:br/>
      </w:r>
      <w:r w:rsidRPr="00DB2A78">
        <w:rPr>
          <w:rFonts w:cs="Arial"/>
          <w:sz w:val="20"/>
          <w:szCs w:val="20"/>
        </w:rPr>
        <w:t>6 August 1990 and from Syria since 15 March 2011.</w:t>
      </w:r>
    </w:p>
  </w:footnote>
  <w:footnote w:id="5">
    <w:p w14:paraId="25A702AB" w14:textId="7436286D" w:rsidR="005F4E29" w:rsidRPr="00DB2A78" w:rsidRDefault="005F4E29" w:rsidP="00B51AD0">
      <w:pPr>
        <w:pStyle w:val="Footer"/>
        <w:ind w:left="142" w:hanging="142"/>
        <w:rPr>
          <w:rFonts w:cs="Arial"/>
        </w:rPr>
      </w:pPr>
      <w:r w:rsidRPr="00422CDD">
        <w:rPr>
          <w:rStyle w:val="FootnoteReference"/>
          <w:rFonts w:cs="Arial"/>
          <w:sz w:val="20"/>
          <w:szCs w:val="20"/>
        </w:rPr>
        <w:footnoteRef/>
      </w:r>
      <w:r w:rsidRPr="00DB2A78">
        <w:rPr>
          <w:rFonts w:cs="Arial"/>
          <w:sz w:val="20"/>
          <w:szCs w:val="20"/>
        </w:rPr>
        <w:t xml:space="preserve"> Neil Brodie, Jenny </w:t>
      </w:r>
      <w:proofErr w:type="spellStart"/>
      <w:r w:rsidRPr="00DB2A78">
        <w:rPr>
          <w:rFonts w:cs="Arial"/>
          <w:sz w:val="20"/>
          <w:szCs w:val="20"/>
        </w:rPr>
        <w:t>Toole</w:t>
      </w:r>
      <w:proofErr w:type="spellEnd"/>
      <w:r w:rsidRPr="00DB2A78">
        <w:rPr>
          <w:rFonts w:cs="Arial"/>
          <w:sz w:val="20"/>
          <w:szCs w:val="20"/>
        </w:rPr>
        <w:t xml:space="preserve"> and Peter Watson, </w:t>
      </w:r>
      <w:r w:rsidRPr="00DB2A78">
        <w:rPr>
          <w:rFonts w:cs="Arial"/>
          <w:i/>
          <w:sz w:val="20"/>
          <w:szCs w:val="20"/>
        </w:rPr>
        <w:t>Stealing History</w:t>
      </w:r>
      <w:r>
        <w:rPr>
          <w:rFonts w:cs="Arial"/>
          <w:i/>
          <w:sz w:val="20"/>
          <w:szCs w:val="20"/>
        </w:rPr>
        <w:t>—</w:t>
      </w:r>
      <w:r w:rsidRPr="00DB2A78">
        <w:rPr>
          <w:rFonts w:cs="Arial"/>
          <w:i/>
          <w:sz w:val="20"/>
          <w:szCs w:val="20"/>
        </w:rPr>
        <w:t>the Illicit Trade in Cultural Material</w:t>
      </w:r>
      <w:r w:rsidRPr="00DB2A78">
        <w:rPr>
          <w:rFonts w:cs="Arial"/>
          <w:sz w:val="20"/>
          <w:szCs w:val="20"/>
        </w:rPr>
        <w:t xml:space="preserve"> (The McDonald Institute for Archaeological Research, 2000).</w:t>
      </w:r>
      <w:r>
        <w:rPr>
          <w:rFonts w:cs="Arial"/>
        </w:rPr>
        <w:t xml:space="preserve"> </w:t>
      </w:r>
      <w:r w:rsidRPr="003B4493">
        <w:rPr>
          <w:rFonts w:cs="Arial"/>
          <w:sz w:val="20"/>
          <w:szCs w:val="20"/>
          <w:lang w:val="en"/>
        </w:rPr>
        <w:t xml:space="preserve">Andrea Watson, </w:t>
      </w:r>
      <w:r w:rsidRPr="004C5F5C">
        <w:rPr>
          <w:rFonts w:cs="Arial"/>
          <w:i/>
          <w:sz w:val="20"/>
          <w:szCs w:val="20"/>
          <w:lang w:val="en"/>
        </w:rPr>
        <w:t>Islamic State and the ‘blood antique’ trade</w:t>
      </w:r>
      <w:r w:rsidRPr="003B4493">
        <w:rPr>
          <w:rFonts w:cs="Arial"/>
          <w:sz w:val="20"/>
          <w:szCs w:val="20"/>
          <w:lang w:val="en"/>
        </w:rPr>
        <w:t xml:space="preserve"> </w:t>
      </w:r>
      <w:r w:rsidRPr="001C66D7">
        <w:rPr>
          <w:rFonts w:cs="Arial"/>
          <w:sz w:val="20"/>
          <w:szCs w:val="20"/>
          <w:lang w:val="en"/>
        </w:rPr>
        <w:t>BBC</w:t>
      </w:r>
      <w:r w:rsidRPr="003B4493">
        <w:rPr>
          <w:rFonts w:cs="Arial"/>
          <w:sz w:val="20"/>
          <w:szCs w:val="20"/>
          <w:lang w:val="en"/>
        </w:rPr>
        <w:t xml:space="preserve">, 2 April 2015 at </w:t>
      </w:r>
      <w:hyperlink r:id="rId2" w:history="1">
        <w:r w:rsidRPr="001B5D3A">
          <w:rPr>
            <w:rStyle w:val="Hyperlink"/>
            <w:rFonts w:cs="Arial"/>
            <w:color w:val="auto"/>
            <w:sz w:val="20"/>
            <w:szCs w:val="20"/>
            <w:lang w:val="en"/>
          </w:rPr>
          <w:t>http://www.bbc.com/culture/story/20150402-is-and-the-blood-antique-trade</w:t>
        </w:r>
      </w:hyperlink>
      <w:r>
        <w:rPr>
          <w:rStyle w:val="Hyperlink"/>
          <w:rFonts w:cs="Arial"/>
          <w:color w:val="auto"/>
          <w:sz w:val="20"/>
          <w:szCs w:val="20"/>
          <w:lang w:val="en"/>
        </w:rPr>
        <w:t xml:space="preserve"> </w:t>
      </w:r>
      <w:r w:rsidRPr="00DB2A78">
        <w:rPr>
          <w:rFonts w:cs="Arial"/>
          <w:sz w:val="20"/>
          <w:szCs w:val="20"/>
          <w:lang w:val="en"/>
        </w:rPr>
        <w:t>(accessed 26 August 2015).</w:t>
      </w:r>
    </w:p>
  </w:footnote>
  <w:footnote w:id="6">
    <w:p w14:paraId="6D85A995" w14:textId="18E0F11F" w:rsidR="005F4E29" w:rsidRDefault="005F4E29" w:rsidP="0029656D">
      <w:pPr>
        <w:pStyle w:val="FootnoteText"/>
      </w:pPr>
      <w:r>
        <w:rPr>
          <w:rStyle w:val="FootnoteReference"/>
        </w:rPr>
        <w:footnoteRef/>
      </w:r>
      <w:r>
        <w:t xml:space="preserve"> </w:t>
      </w:r>
      <w:r>
        <w:rPr>
          <w:rFonts w:ascii="Arial" w:hAnsi="Arial" w:cs="Arial"/>
          <w:sz w:val="20"/>
          <w:szCs w:val="20"/>
        </w:rPr>
        <w:t>Data from responses to q</w:t>
      </w:r>
      <w:r w:rsidRPr="001B5D3A">
        <w:rPr>
          <w:rFonts w:ascii="Arial" w:hAnsi="Arial" w:cs="Arial"/>
          <w:sz w:val="20"/>
          <w:szCs w:val="20"/>
        </w:rPr>
        <w:t>uestion 6 of the survey. Total responses n=117.</w:t>
      </w:r>
    </w:p>
  </w:footnote>
  <w:footnote w:id="7">
    <w:p w14:paraId="072F87E4" w14:textId="60688257" w:rsidR="005F4E29" w:rsidRPr="00DB2A78" w:rsidRDefault="005F4E29" w:rsidP="001A20CD">
      <w:pPr>
        <w:pStyle w:val="Footer"/>
        <w:rPr>
          <w:rFonts w:cs="Arial"/>
          <w:lang w:val="en-US"/>
        </w:rPr>
      </w:pPr>
      <w:r w:rsidRPr="00422CDD">
        <w:rPr>
          <w:rStyle w:val="FootnoteReference"/>
          <w:rFonts w:cs="Arial"/>
          <w:sz w:val="20"/>
          <w:szCs w:val="20"/>
        </w:rPr>
        <w:footnoteRef/>
      </w:r>
      <w:r w:rsidRPr="00DB2A78">
        <w:rPr>
          <w:rFonts w:cs="Arial"/>
          <w:sz w:val="20"/>
          <w:szCs w:val="20"/>
        </w:rPr>
        <w:t xml:space="preserve"> </w:t>
      </w:r>
      <w:r w:rsidRPr="00DB2A78">
        <w:rPr>
          <w:rFonts w:cs="Arial"/>
          <w:sz w:val="20"/>
          <w:szCs w:val="20"/>
          <w:lang w:val="en-US"/>
        </w:rPr>
        <w:t>Such as the Washington Principles and see too ICOMOS ethical guidelines</w:t>
      </w:r>
      <w:r>
        <w:rPr>
          <w:rFonts w:cs="Arial"/>
          <w:sz w:val="20"/>
          <w:szCs w:val="20"/>
          <w:lang w:val="en-US"/>
        </w:rPr>
        <w:t>.</w:t>
      </w:r>
      <w:r w:rsidRPr="00DB2A78">
        <w:rPr>
          <w:rFonts w:cs="Arial"/>
          <w:sz w:val="20"/>
          <w:szCs w:val="20"/>
          <w:lang w:val="en-US"/>
        </w:rPr>
        <w:t xml:space="preserve"> </w:t>
      </w:r>
    </w:p>
  </w:footnote>
  <w:footnote w:id="8">
    <w:p w14:paraId="457CE21C" w14:textId="77777777" w:rsidR="005F4E29" w:rsidRPr="00C640C3" w:rsidRDefault="005F4E29" w:rsidP="00B51AD0">
      <w:pPr>
        <w:pStyle w:val="Footer"/>
        <w:ind w:left="142" w:hanging="142"/>
        <w:rPr>
          <w:rStyle w:val="FootnoteReference"/>
          <w:rFonts w:cs="Arial"/>
          <w:sz w:val="20"/>
          <w:szCs w:val="20"/>
        </w:rPr>
      </w:pPr>
      <w:r w:rsidRPr="00422CDD">
        <w:rPr>
          <w:rStyle w:val="FootnoteReference"/>
          <w:rFonts w:cs="Arial"/>
          <w:sz w:val="20"/>
          <w:szCs w:val="20"/>
        </w:rPr>
        <w:footnoteRef/>
      </w:r>
      <w:r w:rsidRPr="00C640C3">
        <w:rPr>
          <w:rStyle w:val="FootnoteReference"/>
          <w:rFonts w:cs="Arial"/>
          <w:sz w:val="20"/>
          <w:szCs w:val="20"/>
        </w:rPr>
        <w:t xml:space="preserve"> </w:t>
      </w:r>
      <w:r w:rsidRPr="00C640C3">
        <w:rPr>
          <w:rFonts w:cs="Arial"/>
          <w:sz w:val="20"/>
          <w:szCs w:val="20"/>
        </w:rPr>
        <w:t>For example, the American Association of</w:t>
      </w:r>
      <w:r w:rsidRPr="00C640C3">
        <w:rPr>
          <w:rStyle w:val="FootnoteReference"/>
          <w:rFonts w:cs="Arial"/>
          <w:sz w:val="20"/>
          <w:szCs w:val="20"/>
        </w:rPr>
        <w:t xml:space="preserve"> </w:t>
      </w:r>
      <w:r w:rsidRPr="003A5D13">
        <w:rPr>
          <w:rStyle w:val="FootnoteReference"/>
          <w:rFonts w:cs="Arial"/>
          <w:sz w:val="20"/>
          <w:szCs w:val="20"/>
          <w:vertAlign w:val="baseline"/>
        </w:rPr>
        <w:t>Art Museum Directors’ taskforce on archaeological materials and ancient art.</w:t>
      </w:r>
    </w:p>
  </w:footnote>
  <w:footnote w:id="9">
    <w:p w14:paraId="743C17A8" w14:textId="612C630D" w:rsidR="005F4E29" w:rsidRPr="00DA5101" w:rsidRDefault="005F4E29" w:rsidP="001A20CD">
      <w:pPr>
        <w:pStyle w:val="Footer"/>
        <w:rPr>
          <w:lang w:val="en-US"/>
        </w:rPr>
      </w:pPr>
      <w:r w:rsidRPr="00704C4B">
        <w:rPr>
          <w:rStyle w:val="FootnoteReference"/>
          <w:rFonts w:cs="Arial"/>
          <w:sz w:val="20"/>
          <w:szCs w:val="20"/>
        </w:rPr>
        <w:footnoteRef/>
      </w:r>
      <w:r w:rsidRPr="00DA5101">
        <w:t xml:space="preserve"> </w:t>
      </w:r>
      <w:r w:rsidRPr="00172D73">
        <w:rPr>
          <w:sz w:val="20"/>
          <w:szCs w:val="20"/>
        </w:rPr>
        <w:t xml:space="preserve">The proposed Control List is set out in </w:t>
      </w:r>
      <w:r w:rsidRPr="008105F7">
        <w:rPr>
          <w:sz w:val="20"/>
          <w:szCs w:val="20"/>
        </w:rPr>
        <w:t xml:space="preserve">Part </w:t>
      </w:r>
      <w:r>
        <w:rPr>
          <w:sz w:val="20"/>
          <w:szCs w:val="20"/>
        </w:rPr>
        <w:t>E</w:t>
      </w:r>
      <w:r w:rsidRPr="008105F7">
        <w:rPr>
          <w:sz w:val="20"/>
          <w:szCs w:val="20"/>
        </w:rPr>
        <w:t>.</w:t>
      </w:r>
      <w:r w:rsidRPr="00DA5101">
        <w:t xml:space="preserve"> </w:t>
      </w:r>
    </w:p>
  </w:footnote>
  <w:footnote w:id="10">
    <w:p w14:paraId="40647F51" w14:textId="4BAE7C7D" w:rsidR="005F4E29" w:rsidRPr="00582D00" w:rsidRDefault="005F4E29" w:rsidP="001A20CD">
      <w:pPr>
        <w:pStyle w:val="Footer"/>
      </w:pPr>
      <w:r w:rsidRPr="00273139">
        <w:rPr>
          <w:rStyle w:val="FootnoteReference"/>
          <w:sz w:val="20"/>
          <w:szCs w:val="20"/>
        </w:rPr>
        <w:footnoteRef/>
      </w:r>
      <w:r w:rsidRPr="00DA5101">
        <w:t xml:space="preserve"> </w:t>
      </w:r>
      <w:r w:rsidRPr="001B5D3A">
        <w:rPr>
          <w:sz w:val="20"/>
          <w:szCs w:val="20"/>
        </w:rPr>
        <w:t xml:space="preserve">Data from responses to </w:t>
      </w:r>
      <w:r>
        <w:rPr>
          <w:sz w:val="20"/>
          <w:szCs w:val="20"/>
        </w:rPr>
        <w:t>q</w:t>
      </w:r>
      <w:r w:rsidRPr="001B5D3A">
        <w:rPr>
          <w:sz w:val="20"/>
          <w:szCs w:val="20"/>
        </w:rPr>
        <w:t>uestion 8 of the survey. Total responses n=114.</w:t>
      </w:r>
    </w:p>
  </w:footnote>
  <w:footnote w:id="11">
    <w:p w14:paraId="6A7526DB" w14:textId="77777777" w:rsidR="005F4E29" w:rsidRPr="008601DF" w:rsidRDefault="005F4E29" w:rsidP="001703AA">
      <w:pPr>
        <w:pStyle w:val="Footer"/>
        <w:ind w:left="284" w:hanging="284"/>
        <w:rPr>
          <w:sz w:val="20"/>
          <w:szCs w:val="20"/>
          <w:lang w:val="en-US"/>
        </w:rPr>
      </w:pPr>
      <w:r w:rsidRPr="00652AF1">
        <w:rPr>
          <w:rStyle w:val="FootnoteReference"/>
          <w:rFonts w:cs="Arial"/>
          <w:sz w:val="20"/>
          <w:szCs w:val="20"/>
        </w:rPr>
        <w:footnoteRef/>
      </w:r>
      <w:r w:rsidRPr="00DA5101">
        <w:t xml:space="preserve"> </w:t>
      </w:r>
      <w:r w:rsidRPr="008601DF">
        <w:rPr>
          <w:sz w:val="20"/>
          <w:szCs w:val="20"/>
        </w:rPr>
        <w:t>Note that there is no requirement that the association be with a notable person or event – it may be an ‘ordinary’ life. It is just as important that we have an understanding of what ordinary life was like in earlier times and not just the glory bits.</w:t>
      </w:r>
    </w:p>
  </w:footnote>
  <w:footnote w:id="12">
    <w:p w14:paraId="2B6096FF" w14:textId="0DF24D21" w:rsidR="005F4E29" w:rsidRPr="00DA5101" w:rsidRDefault="005F4E29" w:rsidP="001703AA">
      <w:pPr>
        <w:pStyle w:val="Footer"/>
        <w:ind w:left="142" w:hanging="142"/>
      </w:pPr>
      <w:r w:rsidRPr="00652AF1">
        <w:rPr>
          <w:rStyle w:val="FootnoteReference"/>
          <w:rFonts w:cs="Arial"/>
          <w:sz w:val="20"/>
          <w:szCs w:val="20"/>
        </w:rPr>
        <w:footnoteRef/>
      </w:r>
      <w:r w:rsidRPr="00DA5101">
        <w:t xml:space="preserve"> </w:t>
      </w:r>
      <w:r>
        <w:rPr>
          <w:sz w:val="20"/>
          <w:szCs w:val="20"/>
        </w:rPr>
        <w:t>Data from responses to q</w:t>
      </w:r>
      <w:r w:rsidRPr="001B5D3A">
        <w:rPr>
          <w:sz w:val="20"/>
          <w:szCs w:val="20"/>
        </w:rPr>
        <w:t>uestion 9 of the survey. Total responses n=116.</w:t>
      </w:r>
    </w:p>
  </w:footnote>
  <w:footnote w:id="13">
    <w:p w14:paraId="338D7CA5" w14:textId="4A3F1AD3" w:rsidR="005F4E29" w:rsidRPr="008601DF" w:rsidRDefault="005F4E29" w:rsidP="001A20CD">
      <w:pPr>
        <w:pStyle w:val="Footer"/>
        <w:rPr>
          <w:sz w:val="20"/>
          <w:szCs w:val="20"/>
        </w:rPr>
      </w:pPr>
      <w:r w:rsidRPr="00652AF1">
        <w:rPr>
          <w:rStyle w:val="FootnoteReference"/>
          <w:rFonts w:cs="Arial"/>
          <w:sz w:val="20"/>
          <w:szCs w:val="20"/>
        </w:rPr>
        <w:footnoteRef/>
      </w:r>
      <w:r w:rsidRPr="00DA5101">
        <w:t xml:space="preserve"> </w:t>
      </w:r>
      <w:r w:rsidRPr="00172D73">
        <w:rPr>
          <w:sz w:val="20"/>
          <w:szCs w:val="20"/>
        </w:rPr>
        <w:t xml:space="preserve">Offence provisions are further </w:t>
      </w:r>
      <w:r w:rsidRPr="000A59D1">
        <w:rPr>
          <w:sz w:val="20"/>
          <w:szCs w:val="20"/>
        </w:rPr>
        <w:t>discussed in Part D</w:t>
      </w:r>
      <w:r w:rsidRPr="008601DF">
        <w:rPr>
          <w:sz w:val="20"/>
          <w:szCs w:val="20"/>
        </w:rPr>
        <w:t>.</w:t>
      </w:r>
      <w:r>
        <w:rPr>
          <w:sz w:val="20"/>
          <w:szCs w:val="20"/>
        </w:rPr>
        <w:t xml:space="preserve"> </w:t>
      </w:r>
    </w:p>
  </w:footnote>
  <w:footnote w:id="14">
    <w:p w14:paraId="55F38EC5" w14:textId="77777777" w:rsidR="005F4E29" w:rsidRPr="001B5D3A" w:rsidRDefault="005F4E29" w:rsidP="001703AA">
      <w:pPr>
        <w:pStyle w:val="Footer"/>
        <w:ind w:left="284" w:hanging="284"/>
        <w:rPr>
          <w:sz w:val="20"/>
          <w:szCs w:val="20"/>
          <w:lang w:val="en-US"/>
        </w:rPr>
      </w:pPr>
      <w:r w:rsidRPr="00652AF1">
        <w:rPr>
          <w:rStyle w:val="FootnoteReference"/>
          <w:rFonts w:cs="Arial"/>
          <w:sz w:val="20"/>
          <w:szCs w:val="20"/>
        </w:rPr>
        <w:footnoteRef/>
      </w:r>
      <w:r w:rsidRPr="00DA5101">
        <w:t xml:space="preserve"> </w:t>
      </w:r>
      <w:r w:rsidRPr="001B5D3A">
        <w:rPr>
          <w:sz w:val="20"/>
          <w:szCs w:val="20"/>
          <w:lang w:val="en-US"/>
        </w:rPr>
        <w:t>For example meteorites or fossils.</w:t>
      </w:r>
      <w:r w:rsidRPr="001B5D3A">
        <w:rPr>
          <w:sz w:val="20"/>
          <w:szCs w:val="20"/>
        </w:rPr>
        <w:t xml:space="preserve"> Material which has been declared to be Australian Heritage Material would be listed in the Regulations (and on the Department’s website). </w:t>
      </w:r>
    </w:p>
  </w:footnote>
  <w:footnote w:id="15">
    <w:p w14:paraId="7BB90AAF" w14:textId="51F0C273" w:rsidR="005F4E29" w:rsidRPr="001B5D3A" w:rsidRDefault="005F4E29" w:rsidP="001703AA">
      <w:pPr>
        <w:pStyle w:val="Footer"/>
        <w:ind w:left="284" w:hanging="284"/>
        <w:rPr>
          <w:sz w:val="20"/>
          <w:szCs w:val="20"/>
        </w:rPr>
      </w:pPr>
      <w:r w:rsidRPr="00730880">
        <w:rPr>
          <w:rStyle w:val="FootnoteReference"/>
          <w:rFonts w:cs="Arial"/>
          <w:sz w:val="20"/>
          <w:szCs w:val="20"/>
        </w:rPr>
        <w:footnoteRef/>
      </w:r>
      <w:r w:rsidRPr="001B5D3A">
        <w:rPr>
          <w:sz w:val="20"/>
          <w:szCs w:val="20"/>
        </w:rPr>
        <w:t xml:space="preserve"> </w:t>
      </w:r>
      <w:r w:rsidRPr="001B5D3A">
        <w:rPr>
          <w:sz w:val="20"/>
          <w:szCs w:val="20"/>
          <w:lang w:val="en-US"/>
        </w:rPr>
        <w:t xml:space="preserve">Self-assessment does not mean lax or self-serving assessment. Sanctions are applicable (see </w:t>
      </w:r>
      <w:r w:rsidRPr="000A59D1">
        <w:rPr>
          <w:sz w:val="20"/>
          <w:szCs w:val="20"/>
          <w:lang w:val="en-US"/>
        </w:rPr>
        <w:t>Part D).</w:t>
      </w:r>
    </w:p>
  </w:footnote>
  <w:footnote w:id="16">
    <w:p w14:paraId="04DBC3BA" w14:textId="77777777" w:rsidR="005F4E29" w:rsidRPr="00E65016" w:rsidRDefault="005F4E29" w:rsidP="001703AA">
      <w:pPr>
        <w:pStyle w:val="Footer"/>
        <w:ind w:left="284" w:hanging="284"/>
        <w:rPr>
          <w:lang w:val="en-US"/>
        </w:rPr>
      </w:pPr>
      <w:r w:rsidRPr="00730880">
        <w:rPr>
          <w:rStyle w:val="FootnoteReference"/>
          <w:rFonts w:cs="Arial"/>
          <w:sz w:val="20"/>
          <w:szCs w:val="20"/>
        </w:rPr>
        <w:footnoteRef/>
      </w:r>
      <w:r w:rsidRPr="001B5D3A">
        <w:rPr>
          <w:sz w:val="20"/>
          <w:szCs w:val="20"/>
        </w:rPr>
        <w:t xml:space="preserve"> </w:t>
      </w:r>
      <w:r w:rsidRPr="001B5D3A">
        <w:rPr>
          <w:sz w:val="20"/>
          <w:szCs w:val="20"/>
          <w:lang w:val="en-US"/>
        </w:rPr>
        <w:t xml:space="preserve">Note that it does </w:t>
      </w:r>
      <w:r w:rsidRPr="001B5D3A">
        <w:rPr>
          <w:b/>
          <w:sz w:val="20"/>
          <w:szCs w:val="20"/>
          <w:lang w:val="en-US"/>
        </w:rPr>
        <w:t>not</w:t>
      </w:r>
      <w:r w:rsidRPr="001B5D3A">
        <w:rPr>
          <w:sz w:val="20"/>
          <w:szCs w:val="20"/>
          <w:lang w:val="en-US"/>
        </w:rPr>
        <w:t xml:space="preserve"> mean that it must be assessed for significance or representation – only that an application must be made.</w:t>
      </w:r>
    </w:p>
  </w:footnote>
  <w:footnote w:id="17">
    <w:p w14:paraId="7DF07C7A" w14:textId="77777777" w:rsidR="005F4E29" w:rsidRPr="001B5D3A" w:rsidRDefault="005F4E29" w:rsidP="001A20CD">
      <w:pPr>
        <w:pStyle w:val="Footer"/>
        <w:rPr>
          <w:sz w:val="20"/>
          <w:szCs w:val="20"/>
          <w:lang w:val="en-US"/>
        </w:rPr>
      </w:pPr>
      <w:r w:rsidRPr="00273139">
        <w:rPr>
          <w:rStyle w:val="FootnoteReference"/>
          <w:sz w:val="20"/>
          <w:szCs w:val="20"/>
        </w:rPr>
        <w:footnoteRef/>
      </w:r>
      <w:r w:rsidRPr="00DA5101">
        <w:t xml:space="preserve"> </w:t>
      </w:r>
      <w:r w:rsidRPr="001B5D3A">
        <w:rPr>
          <w:sz w:val="20"/>
          <w:szCs w:val="20"/>
          <w:lang w:val="en-US"/>
        </w:rPr>
        <w:t>Whether or not the material complies with age or value thresholds.</w:t>
      </w:r>
    </w:p>
  </w:footnote>
  <w:footnote w:id="18">
    <w:p w14:paraId="0DE44038" w14:textId="77777777" w:rsidR="005F4E29" w:rsidRPr="001B5D3A" w:rsidRDefault="005F4E29" w:rsidP="001A20CD">
      <w:pPr>
        <w:pStyle w:val="Footer"/>
        <w:rPr>
          <w:sz w:val="20"/>
          <w:szCs w:val="20"/>
          <w:lang w:val="en-US"/>
        </w:rPr>
      </w:pPr>
      <w:r w:rsidRPr="00730880">
        <w:rPr>
          <w:rStyle w:val="FootnoteReference"/>
          <w:sz w:val="20"/>
          <w:szCs w:val="20"/>
        </w:rPr>
        <w:footnoteRef/>
      </w:r>
      <w:r w:rsidRPr="001B5D3A">
        <w:rPr>
          <w:sz w:val="20"/>
          <w:szCs w:val="20"/>
        </w:rPr>
        <w:t xml:space="preserve"> Ibid.</w:t>
      </w:r>
    </w:p>
  </w:footnote>
  <w:footnote w:id="19">
    <w:p w14:paraId="08806D67" w14:textId="436FCC3E" w:rsidR="005F4E29" w:rsidRPr="00FB5D99" w:rsidRDefault="005F4E29" w:rsidP="001A20CD">
      <w:pPr>
        <w:pStyle w:val="Footer"/>
        <w:rPr>
          <w:sz w:val="20"/>
          <w:szCs w:val="20"/>
        </w:rPr>
      </w:pPr>
      <w:r w:rsidRPr="00730880">
        <w:rPr>
          <w:rStyle w:val="FootnoteReference"/>
          <w:sz w:val="20"/>
          <w:szCs w:val="20"/>
        </w:rPr>
        <w:footnoteRef/>
      </w:r>
      <w:r w:rsidRPr="001B5D3A">
        <w:rPr>
          <w:sz w:val="20"/>
          <w:szCs w:val="20"/>
        </w:rPr>
        <w:t xml:space="preserve"> Permanent export may be granted under exceptional </w:t>
      </w:r>
      <w:r w:rsidRPr="00FB5D99">
        <w:rPr>
          <w:sz w:val="20"/>
          <w:szCs w:val="20"/>
        </w:rPr>
        <w:t>circumstances see Part 9.3.2.</w:t>
      </w:r>
    </w:p>
  </w:footnote>
  <w:footnote w:id="20">
    <w:p w14:paraId="41F1BFB7" w14:textId="4D2CEA5D" w:rsidR="005F4E29" w:rsidRPr="00FB5D99" w:rsidRDefault="005F4E29" w:rsidP="001A20CD">
      <w:pPr>
        <w:pStyle w:val="Footer"/>
        <w:rPr>
          <w:sz w:val="20"/>
          <w:szCs w:val="20"/>
        </w:rPr>
      </w:pPr>
      <w:r w:rsidRPr="00FB5D99">
        <w:rPr>
          <w:rStyle w:val="FootnoteReference"/>
          <w:rFonts w:cs="Arial"/>
          <w:sz w:val="20"/>
          <w:szCs w:val="20"/>
        </w:rPr>
        <w:footnoteRef/>
      </w:r>
      <w:r w:rsidRPr="00FB5D99">
        <w:rPr>
          <w:sz w:val="20"/>
          <w:szCs w:val="20"/>
        </w:rPr>
        <w:t xml:space="preserve"> Temporary export permits are further discussed at Part 18.2. </w:t>
      </w:r>
    </w:p>
  </w:footnote>
  <w:footnote w:id="21">
    <w:p w14:paraId="7254AB44" w14:textId="7C6ED860" w:rsidR="005F4E29" w:rsidRPr="00E65016" w:rsidRDefault="005F4E29" w:rsidP="001A20CD">
      <w:pPr>
        <w:pStyle w:val="Footer"/>
      </w:pPr>
      <w:r w:rsidRPr="00FB5D99">
        <w:rPr>
          <w:rStyle w:val="FootnoteReference"/>
          <w:sz w:val="20"/>
          <w:szCs w:val="20"/>
        </w:rPr>
        <w:footnoteRef/>
      </w:r>
      <w:r w:rsidRPr="00FB5D99">
        <w:rPr>
          <w:sz w:val="20"/>
          <w:szCs w:val="20"/>
        </w:rPr>
        <w:t xml:space="preserve"> Permanent export may be granted under exceptional circumstances see Part 9.3.2.</w:t>
      </w:r>
    </w:p>
  </w:footnote>
  <w:footnote w:id="22">
    <w:p w14:paraId="353B3D19" w14:textId="77777777" w:rsidR="005F4E29" w:rsidRPr="00FB5D99" w:rsidRDefault="005F4E29" w:rsidP="001A20CD">
      <w:pPr>
        <w:pStyle w:val="Footer"/>
        <w:rPr>
          <w:sz w:val="20"/>
          <w:szCs w:val="20"/>
          <w:lang w:val="en-US"/>
        </w:rPr>
      </w:pPr>
      <w:r w:rsidRPr="00273139">
        <w:rPr>
          <w:rStyle w:val="FootnoteReference"/>
          <w:sz w:val="20"/>
          <w:szCs w:val="20"/>
        </w:rPr>
        <w:footnoteRef/>
      </w:r>
      <w:r w:rsidRPr="00DA5101">
        <w:t xml:space="preserve"> </w:t>
      </w:r>
      <w:r w:rsidRPr="00FB5D99">
        <w:rPr>
          <w:sz w:val="20"/>
          <w:szCs w:val="20"/>
          <w:lang w:val="en-US"/>
        </w:rPr>
        <w:t>Whether or not the material complies with age or value thresholds.</w:t>
      </w:r>
    </w:p>
  </w:footnote>
  <w:footnote w:id="23">
    <w:p w14:paraId="3CA3C96A" w14:textId="77777777" w:rsidR="005F4E29" w:rsidRPr="00E65016" w:rsidRDefault="005F4E29" w:rsidP="001A20CD">
      <w:pPr>
        <w:pStyle w:val="Footer"/>
        <w:rPr>
          <w:lang w:val="en-US"/>
        </w:rPr>
      </w:pPr>
      <w:r w:rsidRPr="00FB5D99">
        <w:rPr>
          <w:rStyle w:val="FootnoteReference"/>
          <w:sz w:val="20"/>
          <w:szCs w:val="20"/>
        </w:rPr>
        <w:footnoteRef/>
      </w:r>
      <w:r w:rsidRPr="00FB5D99">
        <w:rPr>
          <w:sz w:val="20"/>
          <w:szCs w:val="20"/>
        </w:rPr>
        <w:t xml:space="preserve"> </w:t>
      </w:r>
      <w:r w:rsidRPr="00FB5D99">
        <w:rPr>
          <w:sz w:val="20"/>
          <w:szCs w:val="20"/>
          <w:lang w:val="en-US"/>
        </w:rPr>
        <w:t>Ibid.</w:t>
      </w:r>
    </w:p>
  </w:footnote>
  <w:footnote w:id="24">
    <w:p w14:paraId="1E076789" w14:textId="57B55B89" w:rsidR="005F4E29" w:rsidRPr="001B5D3A" w:rsidRDefault="005F4E29" w:rsidP="0041491F">
      <w:pPr>
        <w:pStyle w:val="Footer"/>
        <w:rPr>
          <w:sz w:val="20"/>
          <w:szCs w:val="20"/>
        </w:rPr>
      </w:pPr>
      <w:r w:rsidRPr="00730880">
        <w:rPr>
          <w:rStyle w:val="FootnoteReference"/>
          <w:rFonts w:cs="Arial"/>
          <w:sz w:val="20"/>
          <w:szCs w:val="20"/>
        </w:rPr>
        <w:footnoteRef/>
      </w:r>
      <w:r w:rsidRPr="001B5D3A">
        <w:rPr>
          <w:sz w:val="20"/>
          <w:szCs w:val="20"/>
        </w:rPr>
        <w:t xml:space="preserve"> Data from responses to </w:t>
      </w:r>
      <w:r>
        <w:rPr>
          <w:sz w:val="20"/>
          <w:szCs w:val="20"/>
        </w:rPr>
        <w:t>q</w:t>
      </w:r>
      <w:r w:rsidRPr="001B5D3A">
        <w:rPr>
          <w:sz w:val="20"/>
          <w:szCs w:val="20"/>
        </w:rPr>
        <w:t>uestion 11 of the survey. Total responses n=107.</w:t>
      </w:r>
    </w:p>
  </w:footnote>
  <w:footnote w:id="25">
    <w:p w14:paraId="3728683D" w14:textId="77777777" w:rsidR="005F4E29" w:rsidRPr="00E65016" w:rsidRDefault="005F4E29" w:rsidP="00B51AD0">
      <w:pPr>
        <w:pStyle w:val="Footer"/>
        <w:ind w:left="142" w:hanging="142"/>
        <w:rPr>
          <w:lang w:val="en-US"/>
        </w:rPr>
      </w:pPr>
      <w:r w:rsidRPr="00730880">
        <w:rPr>
          <w:rStyle w:val="FootnoteReference"/>
          <w:rFonts w:cs="Arial"/>
          <w:sz w:val="20"/>
          <w:szCs w:val="20"/>
        </w:rPr>
        <w:footnoteRef/>
      </w:r>
      <w:r w:rsidRPr="001B5D3A">
        <w:rPr>
          <w:sz w:val="20"/>
          <w:szCs w:val="20"/>
        </w:rPr>
        <w:t xml:space="preserve"> Note that the list would not include the inventories of national, state or territory collecting institutions as these objects are not at risk of permanent export.</w:t>
      </w:r>
    </w:p>
  </w:footnote>
  <w:footnote w:id="26">
    <w:p w14:paraId="2433B990" w14:textId="2E72AFB8" w:rsidR="005F4E29" w:rsidRPr="00E65016" w:rsidRDefault="005F4E29" w:rsidP="00B51AD0">
      <w:pPr>
        <w:pStyle w:val="Footer"/>
        <w:ind w:left="142" w:hanging="142"/>
        <w:rPr>
          <w:lang w:val="en-US"/>
        </w:rPr>
      </w:pPr>
      <w:r w:rsidRPr="00652AF1">
        <w:rPr>
          <w:rStyle w:val="FootnoteReference"/>
          <w:rFonts w:cs="Arial"/>
          <w:sz w:val="20"/>
          <w:szCs w:val="20"/>
        </w:rPr>
        <w:footnoteRef/>
      </w:r>
      <w:r w:rsidRPr="00DA5101">
        <w:t xml:space="preserve"> </w:t>
      </w:r>
      <w:r w:rsidRPr="001B5D3A">
        <w:rPr>
          <w:sz w:val="20"/>
          <w:szCs w:val="20"/>
          <w:lang w:val="en-US"/>
        </w:rPr>
        <w:t xml:space="preserve">To properly determine ‘adequate representation’ </w:t>
      </w:r>
      <w:r w:rsidRPr="00FB5D99">
        <w:rPr>
          <w:sz w:val="20"/>
          <w:szCs w:val="20"/>
          <w:lang w:val="en-US"/>
        </w:rPr>
        <w:t>see Part 16.8.</w:t>
      </w:r>
      <w:r w:rsidRPr="00E65016">
        <w:rPr>
          <w:lang w:val="en-US"/>
        </w:rPr>
        <w:t xml:space="preserve"> </w:t>
      </w:r>
    </w:p>
  </w:footnote>
  <w:footnote w:id="27">
    <w:p w14:paraId="0FC7473A" w14:textId="79EC193B" w:rsidR="005F4E29" w:rsidRPr="00FA1720" w:rsidRDefault="005F4E29" w:rsidP="00730880">
      <w:pPr>
        <w:pStyle w:val="Footer"/>
        <w:rPr>
          <w:rFonts w:cs="Arial"/>
          <w:sz w:val="18"/>
          <w:szCs w:val="18"/>
        </w:rPr>
      </w:pPr>
      <w:r w:rsidRPr="00FA1720">
        <w:rPr>
          <w:rStyle w:val="FootnoteReference"/>
          <w:rFonts w:cs="Arial"/>
          <w:sz w:val="18"/>
          <w:szCs w:val="18"/>
        </w:rPr>
        <w:footnoteRef/>
      </w:r>
      <w:r w:rsidRPr="00FA1720">
        <w:rPr>
          <w:rFonts w:cs="Arial"/>
          <w:sz w:val="18"/>
          <w:szCs w:val="18"/>
        </w:rPr>
        <w:t xml:space="preserve"> </w:t>
      </w:r>
      <w:r w:rsidRPr="00172D73">
        <w:rPr>
          <w:rFonts w:cs="Arial"/>
          <w:sz w:val="20"/>
          <w:szCs w:val="20"/>
        </w:rPr>
        <w:t xml:space="preserve">Data from responses to </w:t>
      </w:r>
      <w:r>
        <w:rPr>
          <w:rFonts w:cs="Arial"/>
          <w:sz w:val="20"/>
          <w:szCs w:val="20"/>
        </w:rPr>
        <w:t>q</w:t>
      </w:r>
      <w:r w:rsidRPr="00172D73">
        <w:rPr>
          <w:rFonts w:cs="Arial"/>
          <w:sz w:val="20"/>
          <w:szCs w:val="20"/>
        </w:rPr>
        <w:t>uestion 15 of the survey. Total responses n=104.</w:t>
      </w:r>
    </w:p>
  </w:footnote>
  <w:footnote w:id="28">
    <w:p w14:paraId="34005906" w14:textId="3665BC17" w:rsidR="005F4E29" w:rsidRPr="001B5D3A" w:rsidRDefault="005F4E29" w:rsidP="001A20CD">
      <w:pPr>
        <w:pStyle w:val="Footer"/>
        <w:rPr>
          <w:sz w:val="20"/>
          <w:szCs w:val="20"/>
          <w:lang w:val="en-US"/>
        </w:rPr>
      </w:pPr>
      <w:r w:rsidRPr="00730880">
        <w:rPr>
          <w:rStyle w:val="FootnoteReference"/>
          <w:rFonts w:cs="Arial"/>
          <w:sz w:val="20"/>
          <w:szCs w:val="20"/>
        </w:rPr>
        <w:footnoteRef/>
      </w:r>
      <w:r>
        <w:rPr>
          <w:sz w:val="20"/>
          <w:szCs w:val="20"/>
        </w:rPr>
        <w:t xml:space="preserve"> Including samples.</w:t>
      </w:r>
    </w:p>
  </w:footnote>
  <w:footnote w:id="29">
    <w:p w14:paraId="0C641805" w14:textId="77777777" w:rsidR="005F4E29" w:rsidRPr="00E65016" w:rsidRDefault="005F4E29" w:rsidP="001A20CD">
      <w:pPr>
        <w:pStyle w:val="Footer"/>
      </w:pPr>
      <w:r w:rsidRPr="00730880">
        <w:rPr>
          <w:rStyle w:val="FootnoteReference"/>
          <w:rFonts w:cs="Arial"/>
          <w:sz w:val="20"/>
          <w:szCs w:val="20"/>
        </w:rPr>
        <w:footnoteRef/>
      </w:r>
      <w:r w:rsidRPr="001B5D3A">
        <w:rPr>
          <w:sz w:val="20"/>
          <w:szCs w:val="20"/>
        </w:rPr>
        <w:t xml:space="preserve"> AIATSIS </w:t>
      </w:r>
      <w:r w:rsidRPr="001B5D3A">
        <w:rPr>
          <w:i/>
          <w:sz w:val="20"/>
          <w:szCs w:val="20"/>
        </w:rPr>
        <w:t>Guidelines for Ethical Research in Australian Indigenous Studies</w:t>
      </w:r>
      <w:r w:rsidRPr="001B5D3A">
        <w:rPr>
          <w:sz w:val="20"/>
          <w:szCs w:val="20"/>
        </w:rPr>
        <w:t xml:space="preserve"> 2012</w:t>
      </w:r>
    </w:p>
  </w:footnote>
  <w:footnote w:id="30">
    <w:p w14:paraId="76FA2D50" w14:textId="1258FEDB" w:rsidR="005F4E29" w:rsidRPr="00172D73" w:rsidRDefault="005F4E29" w:rsidP="001A20CD">
      <w:pPr>
        <w:pStyle w:val="Footer"/>
        <w:rPr>
          <w:sz w:val="20"/>
          <w:szCs w:val="20"/>
          <w:lang w:val="en-US"/>
        </w:rPr>
      </w:pPr>
      <w:r w:rsidRPr="00172D73">
        <w:rPr>
          <w:rStyle w:val="FootnoteReference"/>
          <w:rFonts w:cs="Arial"/>
          <w:sz w:val="20"/>
          <w:szCs w:val="20"/>
        </w:rPr>
        <w:footnoteRef/>
      </w:r>
      <w:r w:rsidRPr="00172D73">
        <w:rPr>
          <w:sz w:val="20"/>
          <w:szCs w:val="20"/>
        </w:rPr>
        <w:t xml:space="preserve"> The detail of the material that would receive this protection is at </w:t>
      </w:r>
      <w:r w:rsidRPr="00FB5D99">
        <w:rPr>
          <w:sz w:val="20"/>
          <w:szCs w:val="20"/>
        </w:rPr>
        <w:t xml:space="preserve">Part </w:t>
      </w:r>
      <w:r>
        <w:rPr>
          <w:sz w:val="20"/>
          <w:szCs w:val="20"/>
        </w:rPr>
        <w:t>E</w:t>
      </w:r>
      <w:r w:rsidRPr="00FB5D99">
        <w:rPr>
          <w:sz w:val="20"/>
          <w:szCs w:val="20"/>
        </w:rPr>
        <w:t>.</w:t>
      </w:r>
    </w:p>
  </w:footnote>
  <w:footnote w:id="31">
    <w:p w14:paraId="17E575C7" w14:textId="662114B8" w:rsidR="005F4E29" w:rsidRPr="00FA1720" w:rsidRDefault="005F4E29" w:rsidP="00730880">
      <w:pPr>
        <w:pStyle w:val="Footer"/>
        <w:rPr>
          <w:rFonts w:cs="Arial"/>
          <w:sz w:val="18"/>
          <w:szCs w:val="18"/>
        </w:rPr>
      </w:pPr>
      <w:r w:rsidRPr="00FA1720">
        <w:rPr>
          <w:rStyle w:val="FootnoteReference"/>
          <w:rFonts w:cs="Arial"/>
          <w:sz w:val="18"/>
          <w:szCs w:val="18"/>
        </w:rPr>
        <w:footnoteRef/>
      </w:r>
      <w:r w:rsidRPr="00FA1720">
        <w:rPr>
          <w:rFonts w:cs="Arial"/>
          <w:sz w:val="18"/>
          <w:szCs w:val="18"/>
        </w:rPr>
        <w:t xml:space="preserve"> </w:t>
      </w:r>
      <w:r>
        <w:rPr>
          <w:rFonts w:cs="Arial"/>
          <w:sz w:val="20"/>
          <w:szCs w:val="20"/>
        </w:rPr>
        <w:t>Data from responses to q</w:t>
      </w:r>
      <w:r w:rsidRPr="001B5D3A">
        <w:rPr>
          <w:rFonts w:cs="Arial"/>
          <w:sz w:val="20"/>
          <w:szCs w:val="20"/>
        </w:rPr>
        <w:t>uestion 12 of the survey. Total responses n=107.</w:t>
      </w:r>
    </w:p>
  </w:footnote>
  <w:footnote w:id="32">
    <w:p w14:paraId="76A94A6C" w14:textId="0755CACF" w:rsidR="005F4E29" w:rsidRPr="001B5D3A" w:rsidRDefault="005F4E29" w:rsidP="008C32C8">
      <w:pPr>
        <w:pStyle w:val="Footer"/>
        <w:ind w:left="284" w:hanging="284"/>
        <w:rPr>
          <w:sz w:val="20"/>
          <w:szCs w:val="20"/>
        </w:rPr>
      </w:pPr>
      <w:r w:rsidRPr="00273139">
        <w:rPr>
          <w:rStyle w:val="FootnoteReference"/>
          <w:sz w:val="20"/>
          <w:szCs w:val="20"/>
        </w:rPr>
        <w:footnoteRef/>
      </w:r>
      <w:r w:rsidRPr="00DA5101">
        <w:t xml:space="preserve"> </w:t>
      </w:r>
      <w:r w:rsidRPr="001B5D3A">
        <w:rPr>
          <w:sz w:val="20"/>
          <w:szCs w:val="20"/>
        </w:rPr>
        <w:t>This category will encompass Aboriginal Papunya paintings (pre-1974) having a current market value of at least $100,000 (excluding those with secret/sacred imagery which are cover</w:t>
      </w:r>
      <w:r>
        <w:rPr>
          <w:sz w:val="20"/>
          <w:szCs w:val="20"/>
        </w:rPr>
        <w:t>ed under Part </w:t>
      </w:r>
      <w:r w:rsidRPr="001B5D3A">
        <w:rPr>
          <w:sz w:val="20"/>
          <w:szCs w:val="20"/>
        </w:rPr>
        <w:t>1).</w:t>
      </w:r>
    </w:p>
  </w:footnote>
  <w:footnote w:id="33">
    <w:p w14:paraId="579914E2" w14:textId="0D92B962" w:rsidR="005F4E29" w:rsidRPr="00273139" w:rsidRDefault="005F4E29" w:rsidP="008C32C8">
      <w:pPr>
        <w:pStyle w:val="Footer"/>
        <w:ind w:left="284" w:hanging="284"/>
        <w:rPr>
          <w:lang w:val="en-US"/>
        </w:rPr>
      </w:pPr>
      <w:r w:rsidRPr="00730880">
        <w:rPr>
          <w:rStyle w:val="FootnoteReference"/>
          <w:sz w:val="20"/>
          <w:szCs w:val="20"/>
        </w:rPr>
        <w:footnoteRef/>
      </w:r>
      <w:r>
        <w:rPr>
          <w:sz w:val="20"/>
          <w:szCs w:val="20"/>
        </w:rPr>
        <w:t xml:space="preserve"> F</w:t>
      </w:r>
      <w:r w:rsidRPr="001B5D3A">
        <w:rPr>
          <w:sz w:val="20"/>
          <w:szCs w:val="20"/>
        </w:rPr>
        <w:t>rom regions such as Arnhem Land, Kakadu, Groote Eylandt, Tiwi Islands, Wadeye, Mornington Island, Kimberley and Far North Queensland.</w:t>
      </w:r>
    </w:p>
  </w:footnote>
  <w:footnote w:id="34">
    <w:p w14:paraId="26C3017D" w14:textId="77777777" w:rsidR="005F4E29" w:rsidRPr="006E5C8E" w:rsidRDefault="005F4E29" w:rsidP="001A20CD">
      <w:pPr>
        <w:pStyle w:val="Footer"/>
      </w:pPr>
      <w:r w:rsidRPr="006E5C8E">
        <w:rPr>
          <w:rStyle w:val="FootnoteReference"/>
          <w:sz w:val="20"/>
          <w:szCs w:val="20"/>
        </w:rPr>
        <w:footnoteRef/>
      </w:r>
      <w:r w:rsidRPr="006E5C8E">
        <w:t xml:space="preserve"> </w:t>
      </w:r>
      <w:r w:rsidRPr="001B5D3A">
        <w:rPr>
          <w:sz w:val="20"/>
          <w:szCs w:val="20"/>
        </w:rPr>
        <w:t>Registered as H1914</w:t>
      </w:r>
    </w:p>
  </w:footnote>
  <w:footnote w:id="35">
    <w:p w14:paraId="221CD4A8" w14:textId="77777777" w:rsidR="005F4E29" w:rsidRPr="001B5D3A" w:rsidRDefault="005F4E29" w:rsidP="008C32C8">
      <w:pPr>
        <w:pStyle w:val="Footer"/>
        <w:ind w:left="284" w:hanging="284"/>
        <w:rPr>
          <w:sz w:val="20"/>
          <w:szCs w:val="20"/>
        </w:rPr>
      </w:pPr>
      <w:r w:rsidRPr="00652AF1">
        <w:rPr>
          <w:rStyle w:val="FootnoteReference"/>
          <w:rFonts w:cs="Arial"/>
          <w:sz w:val="20"/>
          <w:szCs w:val="20"/>
        </w:rPr>
        <w:footnoteRef/>
      </w:r>
      <w:r w:rsidRPr="005744CF">
        <w:t xml:space="preserve"> </w:t>
      </w:r>
      <w:r w:rsidRPr="001B5D3A">
        <w:rPr>
          <w:sz w:val="20"/>
          <w:szCs w:val="20"/>
        </w:rPr>
        <w:t>Ethnographic collections under Part 3 and stamp collections under Part 8 of the current Control List.</w:t>
      </w:r>
    </w:p>
  </w:footnote>
  <w:footnote w:id="36">
    <w:p w14:paraId="4716E601" w14:textId="77777777" w:rsidR="005F4E29" w:rsidRPr="005744CF" w:rsidRDefault="005F4E29" w:rsidP="0035682E">
      <w:pPr>
        <w:pStyle w:val="Footer"/>
        <w:ind w:left="142" w:hanging="142"/>
      </w:pPr>
      <w:r w:rsidRPr="00B23B74">
        <w:rPr>
          <w:rStyle w:val="FootnoteReference"/>
          <w:rFonts w:cs="Arial"/>
          <w:sz w:val="20"/>
          <w:szCs w:val="20"/>
        </w:rPr>
        <w:footnoteRef/>
      </w:r>
      <w:r w:rsidRPr="001B5D3A">
        <w:rPr>
          <w:sz w:val="20"/>
          <w:szCs w:val="20"/>
        </w:rPr>
        <w:t xml:space="preserve"> For example, an archive of documents or a collection of photographs from a theatre company, or a collection of rocks or insects.</w:t>
      </w:r>
    </w:p>
  </w:footnote>
  <w:footnote w:id="37">
    <w:p w14:paraId="54829E50" w14:textId="35179713" w:rsidR="005F4E29" w:rsidRPr="001B5D3A" w:rsidRDefault="005F4E29" w:rsidP="008C32C8">
      <w:pPr>
        <w:pStyle w:val="Footer"/>
        <w:ind w:left="284" w:hanging="284"/>
        <w:rPr>
          <w:sz w:val="20"/>
          <w:szCs w:val="20"/>
          <w:lang w:val="en-US"/>
        </w:rPr>
      </w:pPr>
      <w:r w:rsidRPr="00652AF1">
        <w:rPr>
          <w:rStyle w:val="FootnoteReference"/>
          <w:rFonts w:cs="Arial"/>
          <w:sz w:val="20"/>
          <w:szCs w:val="20"/>
        </w:rPr>
        <w:footnoteRef/>
      </w:r>
      <w:r w:rsidRPr="009A3CAE">
        <w:t xml:space="preserve"> </w:t>
      </w:r>
      <w:r w:rsidRPr="001B5D3A">
        <w:rPr>
          <w:sz w:val="20"/>
          <w:szCs w:val="20"/>
        </w:rPr>
        <w:t xml:space="preserve">For example the </w:t>
      </w:r>
      <w:r w:rsidRPr="00244279">
        <w:rPr>
          <w:rStyle w:val="Emphasis"/>
          <w:rFonts w:cs="Arial"/>
          <w:b w:val="0"/>
          <w:sz w:val="20"/>
          <w:szCs w:val="20"/>
          <w:lang w:val="en-US"/>
        </w:rPr>
        <w:t xml:space="preserve">Convention Concerning the Protection of the World Cultural and </w:t>
      </w:r>
      <w:r>
        <w:rPr>
          <w:rStyle w:val="Emphasis"/>
          <w:rFonts w:cs="Arial"/>
          <w:b w:val="0"/>
          <w:sz w:val="20"/>
          <w:szCs w:val="20"/>
          <w:lang w:val="en-US"/>
        </w:rPr>
        <w:t>Natural Heritage</w:t>
      </w:r>
      <w:r w:rsidRPr="001B5D3A">
        <w:rPr>
          <w:sz w:val="20"/>
          <w:szCs w:val="20"/>
        </w:rPr>
        <w:t xml:space="preserve"> 1972, the </w:t>
      </w:r>
      <w:r w:rsidRPr="00244279">
        <w:rPr>
          <w:i/>
          <w:sz w:val="20"/>
          <w:szCs w:val="20"/>
        </w:rPr>
        <w:t>Convention on the Protection of the Underwater Cultural Heritage</w:t>
      </w:r>
      <w:r>
        <w:rPr>
          <w:sz w:val="20"/>
          <w:szCs w:val="20"/>
        </w:rPr>
        <w:t xml:space="preserve"> 2001, UNESCO </w:t>
      </w:r>
      <w:r w:rsidRPr="001B5D3A">
        <w:rPr>
          <w:sz w:val="20"/>
          <w:szCs w:val="20"/>
        </w:rPr>
        <w:t>Convention</w:t>
      </w:r>
      <w:r>
        <w:rPr>
          <w:sz w:val="20"/>
          <w:szCs w:val="20"/>
        </w:rPr>
        <w:t xml:space="preserve"> 1970</w:t>
      </w:r>
      <w:r w:rsidRPr="001B5D3A">
        <w:rPr>
          <w:sz w:val="20"/>
          <w:szCs w:val="20"/>
        </w:rPr>
        <w:t xml:space="preserve"> and the Hague Convention 1954</w:t>
      </w:r>
      <w:r>
        <w:rPr>
          <w:sz w:val="20"/>
          <w:szCs w:val="20"/>
        </w:rPr>
        <w:t>.</w:t>
      </w:r>
    </w:p>
  </w:footnote>
  <w:footnote w:id="38">
    <w:p w14:paraId="320036C2" w14:textId="0D581F06" w:rsidR="005F4E29" w:rsidRPr="009A3CAE" w:rsidRDefault="005F4E29" w:rsidP="008C32C8">
      <w:pPr>
        <w:pStyle w:val="Footer"/>
        <w:ind w:left="284" w:hanging="284"/>
      </w:pPr>
      <w:r w:rsidRPr="00B23B74">
        <w:rPr>
          <w:rStyle w:val="FootnoteReference"/>
          <w:rFonts w:cs="Arial"/>
          <w:sz w:val="20"/>
          <w:szCs w:val="20"/>
        </w:rPr>
        <w:footnoteRef/>
      </w:r>
      <w:r w:rsidRPr="001B5D3A">
        <w:rPr>
          <w:sz w:val="20"/>
          <w:szCs w:val="20"/>
        </w:rPr>
        <w:t xml:space="preserve"> The Burra Charter: The Australia ICOMOS Charter for Places of Cultural Significance,</w:t>
      </w:r>
      <w:r>
        <w:rPr>
          <w:sz w:val="20"/>
          <w:szCs w:val="20"/>
        </w:rPr>
        <w:t xml:space="preserve"> </w:t>
      </w:r>
      <w:r w:rsidRPr="001B5D3A">
        <w:rPr>
          <w:sz w:val="20"/>
          <w:szCs w:val="20"/>
        </w:rPr>
        <w:t>2013</w:t>
      </w:r>
      <w:r>
        <w:rPr>
          <w:sz w:val="20"/>
          <w:szCs w:val="20"/>
        </w:rPr>
        <w:t>.</w:t>
      </w:r>
    </w:p>
  </w:footnote>
  <w:footnote w:id="39">
    <w:p w14:paraId="4AFDB0E9" w14:textId="0596764F" w:rsidR="005F4E29" w:rsidRPr="00FE61A1" w:rsidRDefault="005F4E29" w:rsidP="008C32C8">
      <w:pPr>
        <w:pStyle w:val="Footer"/>
        <w:ind w:left="284" w:hanging="284"/>
      </w:pPr>
      <w:r w:rsidRPr="00FE61A1">
        <w:rPr>
          <w:rStyle w:val="FootnoteReference"/>
          <w:sz w:val="20"/>
          <w:szCs w:val="20"/>
        </w:rPr>
        <w:footnoteRef/>
      </w:r>
      <w:r w:rsidRPr="00FE61A1">
        <w:t xml:space="preserve"> </w:t>
      </w:r>
      <w:r w:rsidRPr="001B5D3A">
        <w:rPr>
          <w:sz w:val="20"/>
          <w:szCs w:val="20"/>
        </w:rPr>
        <w:t>These criteria go to the classification of the level of significance through consideration of eight ways in which a place can be of importance. For example Criteria A is of importance due to the course o</w:t>
      </w:r>
      <w:r>
        <w:rPr>
          <w:sz w:val="20"/>
          <w:szCs w:val="20"/>
        </w:rPr>
        <w:t>r</w:t>
      </w:r>
      <w:r w:rsidRPr="001B5D3A">
        <w:rPr>
          <w:sz w:val="20"/>
          <w:szCs w:val="20"/>
        </w:rPr>
        <w:t xml:space="preserve"> pattern of our cultural or natural history while Criterion H has special association with the life or works of a person, or group of persons, of importance in our history.</w:t>
      </w:r>
    </w:p>
  </w:footnote>
  <w:footnote w:id="40">
    <w:p w14:paraId="4D418632" w14:textId="5E6417F5" w:rsidR="005F4E29" w:rsidRPr="009A3CAE" w:rsidRDefault="005F4E29" w:rsidP="008C32C8">
      <w:pPr>
        <w:pStyle w:val="Footer"/>
        <w:ind w:left="284" w:hanging="284"/>
      </w:pPr>
      <w:r w:rsidRPr="00652AF1">
        <w:rPr>
          <w:rStyle w:val="FootnoteReference"/>
          <w:rFonts w:cs="Arial"/>
          <w:sz w:val="20"/>
          <w:szCs w:val="20"/>
        </w:rPr>
        <w:footnoteRef/>
      </w:r>
      <w:r w:rsidRPr="009A3CAE">
        <w:t xml:space="preserve"> </w:t>
      </w:r>
      <w:r w:rsidRPr="00244279">
        <w:rPr>
          <w:i/>
          <w:sz w:val="20"/>
          <w:szCs w:val="20"/>
        </w:rPr>
        <w:t>Significance 2.0: a guide to assessing the significance of collections</w:t>
      </w:r>
      <w:r w:rsidRPr="001B5D3A">
        <w:rPr>
          <w:sz w:val="20"/>
          <w:szCs w:val="20"/>
        </w:rPr>
        <w:t xml:space="preserve">, Roslyn Russell and Kylie </w:t>
      </w:r>
      <w:proofErr w:type="spellStart"/>
      <w:r w:rsidRPr="001B5D3A">
        <w:rPr>
          <w:sz w:val="20"/>
          <w:szCs w:val="20"/>
        </w:rPr>
        <w:t>Winkworth</w:t>
      </w:r>
      <w:proofErr w:type="spellEnd"/>
      <w:r w:rsidRPr="001B5D3A">
        <w:rPr>
          <w:sz w:val="20"/>
          <w:szCs w:val="20"/>
        </w:rPr>
        <w:t>, Collections Council of Australia Ltd 2009.</w:t>
      </w:r>
      <w:r>
        <w:t xml:space="preserve"> </w:t>
      </w:r>
    </w:p>
  </w:footnote>
  <w:footnote w:id="41">
    <w:p w14:paraId="22EFE4EE" w14:textId="1E6B7ECB" w:rsidR="005F4E29" w:rsidRPr="008601DF" w:rsidRDefault="005F4E29">
      <w:pPr>
        <w:pStyle w:val="FootnoteText"/>
        <w:rPr>
          <w:rFonts w:ascii="Arial" w:hAnsi="Arial" w:cs="Arial"/>
          <w:sz w:val="20"/>
          <w:szCs w:val="20"/>
        </w:rPr>
      </w:pPr>
      <w:r>
        <w:rPr>
          <w:rStyle w:val="FootnoteReference"/>
        </w:rPr>
        <w:footnoteRef/>
      </w:r>
      <w:r>
        <w:t xml:space="preserve"> </w:t>
      </w:r>
      <w:r>
        <w:rPr>
          <w:rFonts w:ascii="Arial" w:hAnsi="Arial" w:cs="Arial"/>
          <w:sz w:val="20"/>
          <w:szCs w:val="20"/>
        </w:rPr>
        <w:t>Data from responses to q</w:t>
      </w:r>
      <w:r w:rsidRPr="008601DF">
        <w:rPr>
          <w:rFonts w:ascii="Arial" w:hAnsi="Arial" w:cs="Arial"/>
          <w:sz w:val="20"/>
          <w:szCs w:val="20"/>
        </w:rPr>
        <w:t>uestion 17 of the survey. Total responses n=102.</w:t>
      </w:r>
    </w:p>
  </w:footnote>
  <w:footnote w:id="42">
    <w:p w14:paraId="77B6337B" w14:textId="04F9AE4C" w:rsidR="005F4E29" w:rsidRPr="001B5D3A" w:rsidRDefault="005F4E29" w:rsidP="008C32C8">
      <w:pPr>
        <w:pStyle w:val="Footer"/>
        <w:ind w:left="284" w:hanging="284"/>
        <w:rPr>
          <w:sz w:val="20"/>
          <w:szCs w:val="20"/>
          <w:lang w:val="en-US"/>
        </w:rPr>
      </w:pPr>
      <w:r w:rsidRPr="00DC003A">
        <w:rPr>
          <w:rStyle w:val="FootnoteReference"/>
          <w:rFonts w:cs="Arial"/>
          <w:sz w:val="20"/>
          <w:szCs w:val="20"/>
        </w:rPr>
        <w:footnoteRef/>
      </w:r>
      <w:r w:rsidRPr="001B5D3A">
        <w:rPr>
          <w:sz w:val="20"/>
          <w:szCs w:val="20"/>
        </w:rPr>
        <w:t xml:space="preserve"> To assist with place-based heritage assessment the Australian Heritage Commission (together with the sector) developed the Australia</w:t>
      </w:r>
      <w:r>
        <w:rPr>
          <w:sz w:val="20"/>
          <w:szCs w:val="20"/>
        </w:rPr>
        <w:t>n</w:t>
      </w:r>
      <w:r w:rsidRPr="001B5D3A">
        <w:rPr>
          <w:sz w:val="20"/>
          <w:szCs w:val="20"/>
        </w:rPr>
        <w:t xml:space="preserve"> Historic Themes Framework: (www.environment.gov.au/resource/australian-historic-themes). Where the object relates to a heritage place this category of ‘interpretive capacity’ permits the application of this approach.</w:t>
      </w:r>
      <w:r>
        <w:rPr>
          <w:sz w:val="20"/>
          <w:szCs w:val="20"/>
        </w:rPr>
        <w:t xml:space="preserve"> </w:t>
      </w:r>
    </w:p>
  </w:footnote>
  <w:footnote w:id="43">
    <w:p w14:paraId="23E1FC08" w14:textId="64CE39F4" w:rsidR="005F4E29" w:rsidRPr="00FE61A1" w:rsidRDefault="005F4E29" w:rsidP="001A20CD">
      <w:pPr>
        <w:pStyle w:val="Footer"/>
        <w:rPr>
          <w:lang w:val="en-US"/>
        </w:rPr>
      </w:pPr>
      <w:r w:rsidRPr="00DC003A">
        <w:rPr>
          <w:rStyle w:val="FootnoteReference"/>
          <w:rFonts w:cs="Arial"/>
          <w:sz w:val="20"/>
          <w:szCs w:val="20"/>
        </w:rPr>
        <w:footnoteRef/>
      </w:r>
      <w:r w:rsidRPr="001B5D3A">
        <w:rPr>
          <w:sz w:val="20"/>
          <w:szCs w:val="20"/>
        </w:rPr>
        <w:t xml:space="preserve"> </w:t>
      </w:r>
      <w:r w:rsidRPr="001B5D3A">
        <w:rPr>
          <w:sz w:val="20"/>
          <w:szCs w:val="20"/>
          <w:lang w:val="en-US"/>
        </w:rPr>
        <w:t>Something that is missing from the current framework</w:t>
      </w:r>
      <w:r>
        <w:rPr>
          <w:sz w:val="20"/>
          <w:szCs w:val="20"/>
          <w:lang w:val="en-US"/>
        </w:rPr>
        <w:t>.</w:t>
      </w:r>
    </w:p>
  </w:footnote>
  <w:footnote w:id="44">
    <w:p w14:paraId="0AB4FE03" w14:textId="5B0DD8B0" w:rsidR="005F4E29" w:rsidRPr="00FE61A1" w:rsidRDefault="005F4E29" w:rsidP="00257056">
      <w:pPr>
        <w:pStyle w:val="Footer"/>
        <w:ind w:left="284" w:hanging="284"/>
        <w:rPr>
          <w:lang w:val="en-US"/>
        </w:rPr>
      </w:pPr>
      <w:r w:rsidRPr="00652AF1">
        <w:rPr>
          <w:rStyle w:val="FootnoteReference"/>
          <w:rFonts w:cs="Arial"/>
          <w:sz w:val="20"/>
          <w:szCs w:val="20"/>
        </w:rPr>
        <w:footnoteRef/>
      </w:r>
      <w:r w:rsidRPr="00FE61A1">
        <w:t xml:space="preserve"> </w:t>
      </w:r>
      <w:r>
        <w:rPr>
          <w:sz w:val="20"/>
          <w:szCs w:val="20"/>
        </w:rPr>
        <w:t>F</w:t>
      </w:r>
      <w:r w:rsidRPr="001B5D3A">
        <w:rPr>
          <w:sz w:val="20"/>
          <w:szCs w:val="20"/>
        </w:rPr>
        <w:t>or example, where export permission was sought prior to an auction but the material was purchased by a domestic buyer</w:t>
      </w:r>
      <w:r>
        <w:rPr>
          <w:sz w:val="20"/>
          <w:szCs w:val="20"/>
        </w:rPr>
        <w:t>.</w:t>
      </w:r>
    </w:p>
  </w:footnote>
  <w:footnote w:id="45">
    <w:p w14:paraId="5C817B8D" w14:textId="77777777" w:rsidR="005F4E29" w:rsidRPr="001B5D3A" w:rsidRDefault="005F4E29" w:rsidP="001A20CD">
      <w:pPr>
        <w:pStyle w:val="Footer"/>
        <w:rPr>
          <w:sz w:val="20"/>
          <w:szCs w:val="20"/>
        </w:rPr>
      </w:pPr>
      <w:r w:rsidRPr="00DC003A">
        <w:rPr>
          <w:rStyle w:val="FootnoteReference"/>
          <w:rFonts w:cs="Arial"/>
          <w:sz w:val="20"/>
          <w:szCs w:val="20"/>
        </w:rPr>
        <w:footnoteRef/>
      </w:r>
      <w:r w:rsidRPr="001B5D3A">
        <w:rPr>
          <w:sz w:val="20"/>
          <w:szCs w:val="20"/>
        </w:rPr>
        <w:t xml:space="preserve"> </w:t>
      </w:r>
      <w:r w:rsidRPr="001B5D3A">
        <w:rPr>
          <w:sz w:val="20"/>
          <w:szCs w:val="20"/>
          <w:lang w:val="en-US"/>
        </w:rPr>
        <w:t>Whether grouped by ethnicity, beliefs, profession or other criteria.</w:t>
      </w:r>
    </w:p>
  </w:footnote>
  <w:footnote w:id="46">
    <w:p w14:paraId="6E6DAE7B" w14:textId="77777777" w:rsidR="005F4E29" w:rsidRPr="001B5D3A" w:rsidRDefault="005F4E29" w:rsidP="00257056">
      <w:pPr>
        <w:pStyle w:val="Footer"/>
        <w:ind w:left="284" w:hanging="284"/>
        <w:rPr>
          <w:sz w:val="20"/>
          <w:szCs w:val="20"/>
        </w:rPr>
      </w:pPr>
      <w:r w:rsidRPr="00DC003A">
        <w:rPr>
          <w:rStyle w:val="FootnoteReference"/>
          <w:rFonts w:cs="Arial"/>
          <w:sz w:val="20"/>
          <w:szCs w:val="20"/>
        </w:rPr>
        <w:footnoteRef/>
      </w:r>
      <w:r w:rsidRPr="001B5D3A">
        <w:rPr>
          <w:sz w:val="20"/>
          <w:szCs w:val="20"/>
        </w:rPr>
        <w:t xml:space="preserve"> For example material protected under the </w:t>
      </w:r>
      <w:r w:rsidRPr="00B33AF7">
        <w:rPr>
          <w:i/>
          <w:sz w:val="20"/>
          <w:szCs w:val="20"/>
        </w:rPr>
        <w:t>Aboriginal and Torres Strait Islander Heritage Protection Act 1984</w:t>
      </w:r>
      <w:r w:rsidRPr="001B5D3A">
        <w:rPr>
          <w:sz w:val="20"/>
          <w:szCs w:val="20"/>
        </w:rPr>
        <w:t xml:space="preserve">. </w:t>
      </w:r>
    </w:p>
  </w:footnote>
  <w:footnote w:id="47">
    <w:p w14:paraId="00CB91DC" w14:textId="4FA69A83" w:rsidR="005F4E29" w:rsidRPr="00DA5101" w:rsidRDefault="005F4E29" w:rsidP="00257056">
      <w:pPr>
        <w:pStyle w:val="Footer"/>
        <w:ind w:left="284" w:hanging="284"/>
      </w:pPr>
      <w:r w:rsidRPr="00DC003A">
        <w:rPr>
          <w:rStyle w:val="FootnoteReference"/>
          <w:sz w:val="20"/>
          <w:szCs w:val="20"/>
        </w:rPr>
        <w:footnoteRef/>
      </w:r>
      <w:r w:rsidRPr="001B5D3A">
        <w:rPr>
          <w:sz w:val="20"/>
          <w:szCs w:val="20"/>
        </w:rPr>
        <w:t xml:space="preserve"> If the authority delists the material then the material ceases to ha</w:t>
      </w:r>
      <w:r>
        <w:rPr>
          <w:sz w:val="20"/>
          <w:szCs w:val="20"/>
        </w:rPr>
        <w:t>ve Declared Australian Protected Material s</w:t>
      </w:r>
      <w:r w:rsidRPr="001B5D3A">
        <w:rPr>
          <w:sz w:val="20"/>
          <w:szCs w:val="20"/>
        </w:rPr>
        <w:t>tatus.</w:t>
      </w:r>
    </w:p>
  </w:footnote>
  <w:footnote w:id="48">
    <w:p w14:paraId="1CA74B10" w14:textId="4136DF2C" w:rsidR="005F4E29" w:rsidRPr="00DA5101" w:rsidRDefault="005F4E29" w:rsidP="00257056">
      <w:pPr>
        <w:pStyle w:val="Footer"/>
        <w:ind w:left="284" w:hanging="284"/>
        <w:rPr>
          <w:lang w:val="en-US"/>
        </w:rPr>
      </w:pPr>
      <w:r>
        <w:rPr>
          <w:rStyle w:val="FootnoteReference"/>
        </w:rPr>
        <w:footnoteRef/>
      </w:r>
      <w:r>
        <w:t xml:space="preserve"> </w:t>
      </w:r>
      <w:r w:rsidRPr="001B5D3A">
        <w:rPr>
          <w:sz w:val="20"/>
          <w:szCs w:val="20"/>
          <w:lang w:val="en-US"/>
        </w:rPr>
        <w:t xml:space="preserve">In drafting, consideration could </w:t>
      </w:r>
      <w:r>
        <w:rPr>
          <w:sz w:val="20"/>
          <w:szCs w:val="20"/>
          <w:lang w:val="en-US"/>
        </w:rPr>
        <w:t>be given to making such objects</w:t>
      </w:r>
      <w:r w:rsidRPr="001B5D3A">
        <w:rPr>
          <w:sz w:val="20"/>
          <w:szCs w:val="20"/>
          <w:lang w:val="en-US"/>
        </w:rPr>
        <w:t xml:space="preserve"> Australian Heritage Material.</w:t>
      </w:r>
    </w:p>
  </w:footnote>
  <w:footnote w:id="49">
    <w:p w14:paraId="58F769BF" w14:textId="77777777" w:rsidR="005F4E29" w:rsidRPr="00DA5101" w:rsidRDefault="005F4E29" w:rsidP="001A20CD">
      <w:pPr>
        <w:pStyle w:val="Footer"/>
      </w:pPr>
      <w:r w:rsidRPr="00652AF1">
        <w:rPr>
          <w:rStyle w:val="FootnoteReference"/>
          <w:rFonts w:cs="Arial"/>
          <w:sz w:val="20"/>
          <w:szCs w:val="20"/>
        </w:rPr>
        <w:footnoteRef/>
      </w:r>
      <w:r w:rsidRPr="00DA5101">
        <w:t xml:space="preserve"> </w:t>
      </w:r>
      <w:r w:rsidRPr="001B5D3A">
        <w:rPr>
          <w:sz w:val="20"/>
          <w:szCs w:val="20"/>
        </w:rPr>
        <w:t>Section 16 of the Act.</w:t>
      </w:r>
    </w:p>
  </w:footnote>
  <w:footnote w:id="50">
    <w:p w14:paraId="3DC3863A" w14:textId="687E1FEF" w:rsidR="005F4E29" w:rsidRPr="001B5D3A" w:rsidRDefault="005F4E29">
      <w:pPr>
        <w:pStyle w:val="FootnoteText"/>
        <w:rPr>
          <w:rFonts w:ascii="Arial" w:hAnsi="Arial" w:cs="Arial"/>
          <w:sz w:val="20"/>
          <w:szCs w:val="20"/>
        </w:rPr>
      </w:pPr>
      <w:r w:rsidRPr="001B5D3A">
        <w:rPr>
          <w:rStyle w:val="FootnoteReference"/>
          <w:rFonts w:ascii="Arial" w:hAnsi="Arial" w:cs="Arial"/>
          <w:sz w:val="20"/>
          <w:szCs w:val="20"/>
        </w:rPr>
        <w:footnoteRef/>
      </w:r>
      <w:r w:rsidRPr="001B5D3A">
        <w:rPr>
          <w:rFonts w:ascii="Arial" w:hAnsi="Arial" w:cs="Arial"/>
          <w:sz w:val="20"/>
          <w:szCs w:val="20"/>
        </w:rPr>
        <w:t xml:space="preserve"> Data from responses</w:t>
      </w:r>
      <w:r>
        <w:rPr>
          <w:rFonts w:ascii="Arial" w:hAnsi="Arial" w:cs="Arial"/>
          <w:sz w:val="20"/>
          <w:szCs w:val="20"/>
        </w:rPr>
        <w:t xml:space="preserve"> to question 18 of the survey. </w:t>
      </w:r>
      <w:r w:rsidRPr="001B5D3A">
        <w:rPr>
          <w:rFonts w:ascii="Arial" w:hAnsi="Arial" w:cs="Arial"/>
          <w:sz w:val="20"/>
          <w:szCs w:val="20"/>
        </w:rPr>
        <w:t>Total responses n=100.</w:t>
      </w:r>
    </w:p>
  </w:footnote>
  <w:footnote w:id="51">
    <w:p w14:paraId="7D3D1DAF" w14:textId="28051B3B" w:rsidR="005F4E29" w:rsidRPr="00582D00" w:rsidRDefault="005F4E29" w:rsidP="001A20CD">
      <w:pPr>
        <w:pStyle w:val="Footer"/>
      </w:pPr>
      <w:r w:rsidRPr="00652AF1">
        <w:rPr>
          <w:rStyle w:val="FootnoteReference"/>
          <w:rFonts w:cs="Arial"/>
          <w:sz w:val="20"/>
          <w:szCs w:val="20"/>
        </w:rPr>
        <w:footnoteRef/>
      </w:r>
      <w:r w:rsidRPr="00DA5101">
        <w:t xml:space="preserve"> </w:t>
      </w:r>
      <w:r w:rsidRPr="001B5D3A">
        <w:rPr>
          <w:sz w:val="20"/>
          <w:szCs w:val="20"/>
        </w:rPr>
        <w:t xml:space="preserve">As outlined </w:t>
      </w:r>
      <w:r w:rsidRPr="00B33AF7">
        <w:rPr>
          <w:sz w:val="20"/>
          <w:szCs w:val="20"/>
        </w:rPr>
        <w:t>in Part 18.</w:t>
      </w:r>
    </w:p>
  </w:footnote>
  <w:footnote w:id="52">
    <w:p w14:paraId="67A2D616" w14:textId="63AB3E23" w:rsidR="005F4E29" w:rsidRDefault="005F4E29">
      <w:pPr>
        <w:pStyle w:val="FootnoteText"/>
      </w:pPr>
      <w:r w:rsidRPr="001B5D3A">
        <w:rPr>
          <w:rStyle w:val="FootnoteReference"/>
          <w:rFonts w:ascii="Arial" w:hAnsi="Arial" w:cs="Arial"/>
          <w:sz w:val="20"/>
          <w:szCs w:val="20"/>
        </w:rPr>
        <w:footnoteRef/>
      </w:r>
      <w:r>
        <w:rPr>
          <w:rFonts w:ascii="Arial" w:hAnsi="Arial" w:cs="Arial"/>
          <w:sz w:val="20"/>
          <w:szCs w:val="20"/>
        </w:rPr>
        <w:t xml:space="preserve"> Data from responses to q</w:t>
      </w:r>
      <w:r w:rsidRPr="001B5D3A">
        <w:rPr>
          <w:rFonts w:ascii="Arial" w:hAnsi="Arial" w:cs="Arial"/>
          <w:sz w:val="20"/>
          <w:szCs w:val="20"/>
        </w:rPr>
        <w:t>uestion 20 of the survey. Total responses n=99.</w:t>
      </w:r>
      <w:r>
        <w:t xml:space="preserve"> </w:t>
      </w:r>
    </w:p>
  </w:footnote>
  <w:footnote w:id="53">
    <w:p w14:paraId="5ED27A3B" w14:textId="3C2797FB" w:rsidR="005F4E29" w:rsidRPr="00582D00" w:rsidRDefault="005F4E29" w:rsidP="00257056">
      <w:pPr>
        <w:pStyle w:val="Footer"/>
        <w:ind w:left="284" w:hanging="284"/>
        <w:rPr>
          <w:lang w:val="en-US"/>
        </w:rPr>
      </w:pPr>
      <w:r w:rsidRPr="00652AF1">
        <w:rPr>
          <w:rStyle w:val="FootnoteReference"/>
          <w:rFonts w:cs="Arial"/>
          <w:sz w:val="20"/>
          <w:szCs w:val="20"/>
        </w:rPr>
        <w:footnoteRef/>
      </w:r>
      <w:r w:rsidRPr="00DA5101">
        <w:t xml:space="preserve"> </w:t>
      </w:r>
      <w:r>
        <w:rPr>
          <w:sz w:val="20"/>
          <w:szCs w:val="20"/>
        </w:rPr>
        <w:t>T</w:t>
      </w:r>
      <w:r w:rsidRPr="001B5D3A">
        <w:rPr>
          <w:sz w:val="20"/>
          <w:szCs w:val="20"/>
        </w:rPr>
        <w:t xml:space="preserve">his would be </w:t>
      </w:r>
      <w:r>
        <w:rPr>
          <w:sz w:val="20"/>
          <w:szCs w:val="20"/>
        </w:rPr>
        <w:t>in alignment with the General P</w:t>
      </w:r>
      <w:r w:rsidRPr="001B5D3A">
        <w:rPr>
          <w:sz w:val="20"/>
          <w:szCs w:val="20"/>
        </w:rPr>
        <w:t xml:space="preserve">ermit allowed for touring exhibitions and the </w:t>
      </w:r>
      <w:r w:rsidRPr="00B33AF7">
        <w:rPr>
          <w:i/>
          <w:sz w:val="20"/>
          <w:szCs w:val="20"/>
        </w:rPr>
        <w:t>Protection of Cultural Objects on Loan Act 2013</w:t>
      </w:r>
      <w:r w:rsidRPr="001B5D3A">
        <w:rPr>
          <w:sz w:val="20"/>
          <w:szCs w:val="20"/>
        </w:rPr>
        <w:t xml:space="preserve"> which also allows inwards loans for up to 2 years.</w:t>
      </w:r>
    </w:p>
  </w:footnote>
  <w:footnote w:id="54">
    <w:p w14:paraId="4BA819D3" w14:textId="77777777" w:rsidR="005F4E29" w:rsidRPr="00582D00" w:rsidRDefault="005F4E29" w:rsidP="00257056">
      <w:pPr>
        <w:pStyle w:val="Footer"/>
        <w:ind w:left="284" w:hanging="284"/>
        <w:rPr>
          <w:lang w:val="en-US"/>
        </w:rPr>
      </w:pPr>
      <w:r w:rsidRPr="00652AF1">
        <w:rPr>
          <w:rStyle w:val="FootnoteReference"/>
          <w:rFonts w:cs="Arial"/>
          <w:sz w:val="20"/>
          <w:szCs w:val="20"/>
        </w:rPr>
        <w:footnoteRef/>
      </w:r>
      <w:r w:rsidRPr="00DA5101">
        <w:t xml:space="preserve"> </w:t>
      </w:r>
      <w:r w:rsidRPr="001B5D3A">
        <w:rPr>
          <w:sz w:val="20"/>
          <w:szCs w:val="20"/>
        </w:rPr>
        <w:t>Normally cultural property is classified as Australian Protected Material only after significance and representation assessment but the new model allows low risk material to be granted a temporary export permit without formal assessment.</w:t>
      </w:r>
      <w:r w:rsidRPr="00582D00">
        <w:t xml:space="preserve"> </w:t>
      </w:r>
    </w:p>
  </w:footnote>
  <w:footnote w:id="55">
    <w:p w14:paraId="0AF39F2E" w14:textId="1907E048" w:rsidR="005F4E29" w:rsidRPr="00582D00" w:rsidRDefault="005F4E29" w:rsidP="001A20CD">
      <w:pPr>
        <w:pStyle w:val="Footer"/>
        <w:rPr>
          <w:lang w:val="en-US"/>
        </w:rPr>
      </w:pPr>
      <w:r w:rsidRPr="00652AF1">
        <w:rPr>
          <w:rStyle w:val="FootnoteReference"/>
          <w:rFonts w:cs="Arial"/>
          <w:sz w:val="20"/>
          <w:szCs w:val="20"/>
        </w:rPr>
        <w:footnoteRef/>
      </w:r>
      <w:r w:rsidRPr="00DA5101">
        <w:t xml:space="preserve"> </w:t>
      </w:r>
      <w:r w:rsidRPr="001B5D3A">
        <w:rPr>
          <w:sz w:val="20"/>
          <w:szCs w:val="20"/>
          <w:lang w:val="en-US"/>
        </w:rPr>
        <w:t>S</w:t>
      </w:r>
      <w:r>
        <w:rPr>
          <w:sz w:val="20"/>
          <w:szCs w:val="20"/>
          <w:lang w:val="en-US"/>
        </w:rPr>
        <w:t xml:space="preserve">ection </w:t>
      </w:r>
      <w:r w:rsidRPr="001B5D3A">
        <w:rPr>
          <w:sz w:val="20"/>
          <w:szCs w:val="20"/>
          <w:lang w:val="en-US"/>
        </w:rPr>
        <w:t>10A</w:t>
      </w:r>
      <w:r>
        <w:rPr>
          <w:sz w:val="20"/>
          <w:szCs w:val="20"/>
          <w:lang w:val="en-US"/>
        </w:rPr>
        <w:t xml:space="preserve">. </w:t>
      </w:r>
    </w:p>
  </w:footnote>
  <w:footnote w:id="56">
    <w:p w14:paraId="3F2E4DED" w14:textId="77777777" w:rsidR="005F4E29" w:rsidRPr="00582D00" w:rsidRDefault="005F4E29" w:rsidP="00257056">
      <w:pPr>
        <w:pStyle w:val="Footer"/>
        <w:ind w:left="284" w:hanging="284"/>
        <w:rPr>
          <w:lang w:val="en-US"/>
        </w:rPr>
      </w:pPr>
      <w:r w:rsidRPr="00652AF1">
        <w:rPr>
          <w:rStyle w:val="FootnoteReference"/>
          <w:rFonts w:cs="Arial"/>
          <w:sz w:val="20"/>
          <w:szCs w:val="20"/>
        </w:rPr>
        <w:footnoteRef/>
      </w:r>
      <w:r w:rsidRPr="00DA5101">
        <w:t xml:space="preserve"> </w:t>
      </w:r>
      <w:r w:rsidRPr="001B5D3A">
        <w:rPr>
          <w:sz w:val="20"/>
          <w:szCs w:val="20"/>
        </w:rPr>
        <w:t>Accordingly, unless there are special circumstances, the issue of General Permits to special interest groups should usually be limited to national or state bodies.</w:t>
      </w:r>
    </w:p>
  </w:footnote>
  <w:footnote w:id="57">
    <w:p w14:paraId="6E7048FF" w14:textId="499059AD" w:rsidR="005F4E29" w:rsidRPr="00DA5101" w:rsidRDefault="005F4E29" w:rsidP="001A20CD">
      <w:pPr>
        <w:pStyle w:val="Footer"/>
      </w:pPr>
      <w:r w:rsidRPr="00652AF1">
        <w:rPr>
          <w:rStyle w:val="FootnoteReference"/>
          <w:rFonts w:cs="Arial"/>
          <w:sz w:val="20"/>
          <w:szCs w:val="20"/>
        </w:rPr>
        <w:footnoteRef/>
      </w:r>
      <w:r w:rsidRPr="00DA5101">
        <w:t xml:space="preserve"> </w:t>
      </w:r>
      <w:r w:rsidRPr="001B5D3A">
        <w:rPr>
          <w:sz w:val="20"/>
          <w:szCs w:val="20"/>
        </w:rPr>
        <w:t>These</w:t>
      </w:r>
      <w:r>
        <w:rPr>
          <w:sz w:val="20"/>
          <w:szCs w:val="20"/>
        </w:rPr>
        <w:t xml:space="preserve"> are further outlined at Part D</w:t>
      </w:r>
      <w:r w:rsidRPr="001B5D3A">
        <w:rPr>
          <w:sz w:val="20"/>
          <w:szCs w:val="20"/>
        </w:rPr>
        <w:t xml:space="preserve">. </w:t>
      </w:r>
    </w:p>
  </w:footnote>
  <w:footnote w:id="58">
    <w:p w14:paraId="15C8CC50" w14:textId="362D511B" w:rsidR="005F4E29" w:rsidRPr="001B5D3A" w:rsidRDefault="005F4E29">
      <w:pPr>
        <w:pStyle w:val="FootnoteText"/>
        <w:rPr>
          <w:rFonts w:ascii="Arial" w:hAnsi="Arial" w:cs="Arial"/>
          <w:sz w:val="20"/>
          <w:szCs w:val="20"/>
        </w:rPr>
      </w:pPr>
      <w:r w:rsidRPr="001B5D3A">
        <w:rPr>
          <w:rStyle w:val="FootnoteReference"/>
          <w:rFonts w:ascii="Arial" w:hAnsi="Arial" w:cs="Arial"/>
          <w:sz w:val="20"/>
          <w:szCs w:val="20"/>
        </w:rPr>
        <w:footnoteRef/>
      </w:r>
      <w:r>
        <w:rPr>
          <w:rFonts w:ascii="Arial" w:hAnsi="Arial" w:cs="Arial"/>
          <w:sz w:val="20"/>
          <w:szCs w:val="20"/>
        </w:rPr>
        <w:t xml:space="preserve"> Data from responses to q</w:t>
      </w:r>
      <w:r w:rsidRPr="001B5D3A">
        <w:rPr>
          <w:rFonts w:ascii="Arial" w:hAnsi="Arial" w:cs="Arial"/>
          <w:sz w:val="20"/>
          <w:szCs w:val="20"/>
        </w:rPr>
        <w:t xml:space="preserve">uestion 21 of the survey. Total responses n=99. </w:t>
      </w:r>
    </w:p>
  </w:footnote>
  <w:footnote w:id="59">
    <w:p w14:paraId="6A1F0FA5" w14:textId="794CA02B" w:rsidR="005F4E29" w:rsidRPr="006A0205" w:rsidRDefault="005F4E29" w:rsidP="001A20CD">
      <w:pPr>
        <w:pStyle w:val="FootnoteText"/>
        <w:rPr>
          <w:lang w:val="en-US"/>
        </w:rPr>
      </w:pPr>
      <w:r w:rsidRPr="001B5D3A">
        <w:rPr>
          <w:rStyle w:val="FootnoteReference"/>
          <w:rFonts w:ascii="Arial" w:hAnsi="Arial" w:cs="Arial"/>
          <w:sz w:val="20"/>
          <w:szCs w:val="20"/>
        </w:rPr>
        <w:footnoteRef/>
      </w:r>
      <w:r w:rsidRPr="001B5D3A">
        <w:rPr>
          <w:rFonts w:ascii="Arial" w:hAnsi="Arial" w:cs="Arial"/>
          <w:sz w:val="20"/>
          <w:szCs w:val="20"/>
        </w:rPr>
        <w:t xml:space="preserve"> Alignment with the Customs regime broadly is discussed </w:t>
      </w:r>
      <w:r w:rsidRPr="00B33AF7">
        <w:rPr>
          <w:rFonts w:ascii="Arial" w:hAnsi="Arial" w:cs="Arial"/>
          <w:sz w:val="20"/>
          <w:szCs w:val="20"/>
        </w:rPr>
        <w:t>further at Part D.</w:t>
      </w:r>
    </w:p>
  </w:footnote>
  <w:footnote w:id="60">
    <w:p w14:paraId="44A82893" w14:textId="6990BA0A" w:rsidR="005F4E29" w:rsidRPr="001B5D3A" w:rsidRDefault="005F4E29" w:rsidP="001A20CD">
      <w:pPr>
        <w:pStyle w:val="FootnoteText"/>
        <w:rPr>
          <w:rFonts w:ascii="Arial" w:hAnsi="Arial" w:cs="Arial"/>
          <w:sz w:val="20"/>
          <w:szCs w:val="20"/>
          <w:lang w:val="en-US"/>
        </w:rPr>
      </w:pPr>
      <w:r w:rsidRPr="001B5D3A">
        <w:rPr>
          <w:rStyle w:val="FootnoteReference"/>
          <w:rFonts w:ascii="Arial" w:hAnsi="Arial" w:cs="Arial"/>
          <w:sz w:val="20"/>
          <w:szCs w:val="20"/>
        </w:rPr>
        <w:footnoteRef/>
      </w:r>
      <w:r w:rsidRPr="001B5D3A">
        <w:rPr>
          <w:rFonts w:ascii="Arial" w:hAnsi="Arial" w:cs="Arial"/>
          <w:sz w:val="20"/>
          <w:szCs w:val="20"/>
        </w:rPr>
        <w:t xml:space="preserve"> </w:t>
      </w:r>
      <w:r>
        <w:rPr>
          <w:rFonts w:ascii="Arial" w:hAnsi="Arial" w:cs="Arial"/>
          <w:sz w:val="20"/>
          <w:szCs w:val="20"/>
        </w:rPr>
        <w:t>D</w:t>
      </w:r>
      <w:r w:rsidRPr="001B5D3A">
        <w:rPr>
          <w:rFonts w:ascii="Arial" w:hAnsi="Arial" w:cs="Arial"/>
          <w:sz w:val="20"/>
          <w:szCs w:val="20"/>
        </w:rPr>
        <w:t xml:space="preserve">iscussed below </w:t>
      </w:r>
      <w:r w:rsidRPr="00B33AF7">
        <w:rPr>
          <w:rFonts w:ascii="Arial" w:hAnsi="Arial" w:cs="Arial"/>
          <w:sz w:val="20"/>
          <w:szCs w:val="20"/>
        </w:rPr>
        <w:t>at Part 24.</w:t>
      </w:r>
    </w:p>
  </w:footnote>
  <w:footnote w:id="61">
    <w:p w14:paraId="2038133D" w14:textId="77777777" w:rsidR="005F4E29" w:rsidRPr="001B5D3A" w:rsidRDefault="005F4E29" w:rsidP="00E5347D">
      <w:pPr>
        <w:pStyle w:val="Footer"/>
        <w:rPr>
          <w:sz w:val="20"/>
          <w:szCs w:val="20"/>
        </w:rPr>
      </w:pPr>
      <w:r w:rsidRPr="00540235">
        <w:rPr>
          <w:rStyle w:val="FootnoteReference"/>
          <w:sz w:val="20"/>
          <w:szCs w:val="20"/>
        </w:rPr>
        <w:footnoteRef/>
      </w:r>
      <w:r w:rsidRPr="001B5D3A">
        <w:rPr>
          <w:sz w:val="20"/>
          <w:szCs w:val="20"/>
        </w:rPr>
        <w:t xml:space="preserve"> Figures based on the analysis of applications received in 2013.</w:t>
      </w:r>
    </w:p>
  </w:footnote>
  <w:footnote w:id="62">
    <w:p w14:paraId="08081499" w14:textId="005596FA" w:rsidR="005F4E29" w:rsidRPr="001B5D3A" w:rsidRDefault="005F4E29" w:rsidP="001A20CD">
      <w:pPr>
        <w:pStyle w:val="Footer"/>
        <w:rPr>
          <w:sz w:val="20"/>
          <w:szCs w:val="20"/>
          <w:lang w:val="en-US"/>
        </w:rPr>
      </w:pPr>
      <w:r w:rsidRPr="00540235">
        <w:rPr>
          <w:rStyle w:val="FootnoteReference"/>
          <w:rFonts w:cs="Arial"/>
          <w:sz w:val="20"/>
          <w:szCs w:val="20"/>
        </w:rPr>
        <w:footnoteRef/>
      </w:r>
      <w:r w:rsidRPr="001B5D3A">
        <w:rPr>
          <w:sz w:val="20"/>
          <w:szCs w:val="20"/>
        </w:rPr>
        <w:t xml:space="preserve"> </w:t>
      </w:r>
      <w:r w:rsidRPr="001B5D3A">
        <w:rPr>
          <w:sz w:val="20"/>
          <w:szCs w:val="20"/>
          <w:lang w:val="en-US"/>
        </w:rPr>
        <w:t>Perhaps two weeks</w:t>
      </w:r>
      <w:r>
        <w:rPr>
          <w:sz w:val="20"/>
          <w:szCs w:val="20"/>
          <w:lang w:val="en-US"/>
        </w:rPr>
        <w:t>.</w:t>
      </w:r>
    </w:p>
  </w:footnote>
  <w:footnote w:id="63">
    <w:p w14:paraId="390AE8F5" w14:textId="0094FE70" w:rsidR="005F4E29" w:rsidRPr="00582D00" w:rsidRDefault="005F4E29" w:rsidP="00257056">
      <w:pPr>
        <w:pStyle w:val="Footer"/>
        <w:ind w:left="284" w:hanging="284"/>
      </w:pPr>
      <w:r w:rsidRPr="00540235">
        <w:rPr>
          <w:rStyle w:val="FootnoteReference"/>
          <w:rFonts w:cs="Arial"/>
          <w:sz w:val="20"/>
          <w:szCs w:val="20"/>
        </w:rPr>
        <w:footnoteRef/>
      </w:r>
      <w:r w:rsidRPr="001B5D3A">
        <w:rPr>
          <w:sz w:val="20"/>
          <w:szCs w:val="20"/>
        </w:rPr>
        <w:t xml:space="preserve"> This may mirror other simi</w:t>
      </w:r>
      <w:r>
        <w:rPr>
          <w:sz w:val="20"/>
          <w:szCs w:val="20"/>
        </w:rPr>
        <w:t>lar processes for example, the one</w:t>
      </w:r>
      <w:r w:rsidRPr="001B5D3A">
        <w:rPr>
          <w:sz w:val="20"/>
          <w:szCs w:val="20"/>
        </w:rPr>
        <w:t xml:space="preserve"> used by the Australian Government Department of the Environment for exceptional wildlife trade permit applications.</w:t>
      </w:r>
      <w:r w:rsidRPr="00582D00">
        <w:t xml:space="preserve"> </w:t>
      </w:r>
    </w:p>
  </w:footnote>
  <w:footnote w:id="64">
    <w:p w14:paraId="2C331C15" w14:textId="54CDBD45" w:rsidR="005F4E29" w:rsidRPr="001B5D3A" w:rsidRDefault="005F4E29">
      <w:pPr>
        <w:pStyle w:val="FootnoteText"/>
        <w:rPr>
          <w:rFonts w:ascii="Arial" w:hAnsi="Arial" w:cs="Arial"/>
          <w:sz w:val="20"/>
          <w:szCs w:val="20"/>
        </w:rPr>
      </w:pPr>
      <w:r w:rsidRPr="001B5D3A">
        <w:rPr>
          <w:rStyle w:val="FootnoteReference"/>
          <w:rFonts w:ascii="Arial" w:hAnsi="Arial" w:cs="Arial"/>
          <w:sz w:val="20"/>
          <w:szCs w:val="20"/>
        </w:rPr>
        <w:footnoteRef/>
      </w:r>
      <w:r>
        <w:rPr>
          <w:rFonts w:ascii="Arial" w:hAnsi="Arial" w:cs="Arial"/>
          <w:sz w:val="20"/>
          <w:szCs w:val="20"/>
        </w:rPr>
        <w:t xml:space="preserve"> Data from responses to q</w:t>
      </w:r>
      <w:r w:rsidRPr="001B5D3A">
        <w:rPr>
          <w:rFonts w:ascii="Arial" w:hAnsi="Arial" w:cs="Arial"/>
          <w:sz w:val="20"/>
          <w:szCs w:val="20"/>
        </w:rPr>
        <w:t xml:space="preserve">uestion 22 of the survey. Total responses n=95. </w:t>
      </w:r>
    </w:p>
  </w:footnote>
  <w:footnote w:id="65">
    <w:p w14:paraId="456F1740" w14:textId="77777777" w:rsidR="005F4E29" w:rsidRPr="00582D00" w:rsidRDefault="005F4E29" w:rsidP="00257056">
      <w:pPr>
        <w:pStyle w:val="Footer"/>
        <w:ind w:left="284" w:hanging="284"/>
      </w:pPr>
      <w:r w:rsidRPr="00540235">
        <w:rPr>
          <w:rStyle w:val="FootnoteReference"/>
          <w:rFonts w:cs="Arial"/>
          <w:sz w:val="20"/>
          <w:szCs w:val="20"/>
        </w:rPr>
        <w:footnoteRef/>
      </w:r>
      <w:r w:rsidRPr="001B5D3A">
        <w:rPr>
          <w:sz w:val="20"/>
          <w:szCs w:val="20"/>
        </w:rPr>
        <w:t xml:space="preserve"> It should also be noted that the funding mechanism referred to in the Second Reading Speech was the National Cultural Heritage Fund, which had initially been envisaged as a different type of funding mechanism. This may go some way to explaining the discrepancies.</w:t>
      </w:r>
    </w:p>
  </w:footnote>
  <w:footnote w:id="66">
    <w:p w14:paraId="51DBD2AF" w14:textId="77777777" w:rsidR="005F4E29" w:rsidRPr="001B5D3A" w:rsidRDefault="005F4E29" w:rsidP="003978AD">
      <w:pPr>
        <w:pStyle w:val="Footer"/>
        <w:ind w:left="284" w:hanging="284"/>
        <w:rPr>
          <w:sz w:val="20"/>
          <w:szCs w:val="20"/>
        </w:rPr>
      </w:pPr>
      <w:r w:rsidRPr="00540235">
        <w:rPr>
          <w:rStyle w:val="FootnoteReference"/>
          <w:rFonts w:cs="Arial"/>
          <w:sz w:val="20"/>
          <w:szCs w:val="20"/>
        </w:rPr>
        <w:footnoteRef/>
      </w:r>
      <w:r w:rsidRPr="001B5D3A">
        <w:rPr>
          <w:sz w:val="20"/>
          <w:szCs w:val="20"/>
        </w:rPr>
        <w:t xml:space="preserve"> Exceptions would be made to the broad public access requirements for the acquisition of culturally sensitive material by Aboriginal and Torres Strait Islander keeping places. </w:t>
      </w:r>
    </w:p>
  </w:footnote>
  <w:footnote w:id="67">
    <w:p w14:paraId="53B6A9BD" w14:textId="3F1E44A5" w:rsidR="005F4E29" w:rsidRPr="001B5D3A" w:rsidRDefault="005F4E29">
      <w:pPr>
        <w:pStyle w:val="FootnoteText"/>
        <w:rPr>
          <w:rFonts w:ascii="Arial" w:hAnsi="Arial" w:cs="Arial"/>
          <w:sz w:val="20"/>
          <w:szCs w:val="20"/>
        </w:rPr>
      </w:pPr>
      <w:r w:rsidRPr="001B5D3A">
        <w:rPr>
          <w:rStyle w:val="FootnoteReference"/>
          <w:rFonts w:ascii="Arial" w:hAnsi="Arial" w:cs="Arial"/>
          <w:sz w:val="20"/>
          <w:szCs w:val="20"/>
        </w:rPr>
        <w:footnoteRef/>
      </w:r>
      <w:r w:rsidRPr="001B5D3A">
        <w:rPr>
          <w:rFonts w:ascii="Arial" w:hAnsi="Arial" w:cs="Arial"/>
          <w:sz w:val="20"/>
          <w:szCs w:val="20"/>
        </w:rPr>
        <w:t xml:space="preserve"> Data from responses to </w:t>
      </w:r>
      <w:r>
        <w:rPr>
          <w:rFonts w:ascii="Arial" w:hAnsi="Arial" w:cs="Arial"/>
          <w:sz w:val="20"/>
          <w:szCs w:val="20"/>
        </w:rPr>
        <w:t>q</w:t>
      </w:r>
      <w:r w:rsidRPr="001B5D3A">
        <w:rPr>
          <w:rFonts w:ascii="Arial" w:hAnsi="Arial" w:cs="Arial"/>
          <w:sz w:val="20"/>
          <w:szCs w:val="20"/>
        </w:rPr>
        <w:t xml:space="preserve">uestion 23 of the survey. Total responses n=94. </w:t>
      </w:r>
    </w:p>
  </w:footnote>
  <w:footnote w:id="68">
    <w:p w14:paraId="01722C51" w14:textId="31275BDD" w:rsidR="005F4E29" w:rsidRPr="00224EC5" w:rsidRDefault="005F4E29" w:rsidP="003978AD">
      <w:pPr>
        <w:pStyle w:val="FootnoteText"/>
        <w:ind w:left="284" w:hanging="284"/>
        <w:rPr>
          <w:lang w:val="en-US"/>
        </w:rPr>
      </w:pPr>
      <w:r w:rsidRPr="001B5D3A">
        <w:rPr>
          <w:rStyle w:val="FootnoteReference"/>
          <w:rFonts w:ascii="Arial" w:hAnsi="Arial" w:cs="Arial"/>
          <w:sz w:val="20"/>
          <w:szCs w:val="20"/>
        </w:rPr>
        <w:footnoteRef/>
      </w:r>
      <w:r w:rsidRPr="001B5D3A">
        <w:rPr>
          <w:rFonts w:ascii="Arial" w:hAnsi="Arial" w:cs="Arial"/>
          <w:sz w:val="20"/>
          <w:szCs w:val="20"/>
        </w:rPr>
        <w:t xml:space="preserve"> The Account should be promoted as a contributor towards an acquisition that also has support from other levels of government and other donors.</w:t>
      </w:r>
    </w:p>
  </w:footnote>
  <w:footnote w:id="69">
    <w:p w14:paraId="3FC650EF" w14:textId="77777777" w:rsidR="005F4E29" w:rsidRPr="001B5D3A" w:rsidRDefault="005F4E29" w:rsidP="001A20CD">
      <w:pPr>
        <w:pStyle w:val="FootnoteText"/>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rPr>
        <w:t xml:space="preserve"> </w:t>
      </w:r>
      <w:r w:rsidRPr="001B5D3A">
        <w:rPr>
          <w:rStyle w:val="FootnoteReference"/>
          <w:rFonts w:ascii="Arial" w:hAnsi="Arial" w:cs="Arial"/>
          <w:sz w:val="20"/>
          <w:szCs w:val="20"/>
          <w:vertAlign w:val="baseline"/>
        </w:rPr>
        <w:t>Activity in the absence of a permit</w:t>
      </w:r>
      <w:r w:rsidRPr="001B5D3A">
        <w:rPr>
          <w:rFonts w:ascii="Arial" w:hAnsi="Arial" w:cs="Arial"/>
          <w:sz w:val="20"/>
          <w:szCs w:val="20"/>
        </w:rPr>
        <w:t>.</w:t>
      </w:r>
    </w:p>
  </w:footnote>
  <w:footnote w:id="70">
    <w:p w14:paraId="361BAD7A" w14:textId="77777777" w:rsidR="005F4E29" w:rsidRPr="001B5D3A" w:rsidRDefault="005F4E29" w:rsidP="001A20CD">
      <w:pPr>
        <w:pStyle w:val="FootnoteText"/>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A breach of criminal law</w:t>
      </w:r>
      <w:r w:rsidRPr="001B5D3A">
        <w:rPr>
          <w:rFonts w:ascii="Arial" w:hAnsi="Arial" w:cs="Arial"/>
          <w:sz w:val="20"/>
          <w:szCs w:val="20"/>
        </w:rPr>
        <w:t>.</w:t>
      </w:r>
    </w:p>
  </w:footnote>
  <w:footnote w:id="71">
    <w:p w14:paraId="5EDAFFA7" w14:textId="77777777" w:rsidR="005F4E29" w:rsidRPr="00273139" w:rsidRDefault="005F4E29" w:rsidP="001A20CD">
      <w:pPr>
        <w:pStyle w:val="FootnoteText"/>
        <w:rPr>
          <w:rStyle w:val="FootnoteReference"/>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A breach of criminal law and international humanitarian law</w:t>
      </w:r>
      <w:r w:rsidRPr="001B5D3A">
        <w:rPr>
          <w:rFonts w:ascii="Arial" w:hAnsi="Arial" w:cs="Arial"/>
          <w:sz w:val="20"/>
          <w:szCs w:val="20"/>
        </w:rPr>
        <w:t>.</w:t>
      </w:r>
    </w:p>
  </w:footnote>
  <w:footnote w:id="72">
    <w:p w14:paraId="128E9DCF" w14:textId="77777777" w:rsidR="005F4E29" w:rsidRPr="001B5D3A" w:rsidRDefault="005F4E29" w:rsidP="003978AD">
      <w:pPr>
        <w:pStyle w:val="FootnoteText"/>
        <w:ind w:left="284" w:hanging="284"/>
        <w:rPr>
          <w:rFonts w:ascii="Arial" w:hAnsi="Arial" w:cs="Arial"/>
          <w:sz w:val="20"/>
          <w:szCs w:val="20"/>
        </w:rPr>
      </w:pPr>
      <w:r w:rsidRPr="001B5D3A">
        <w:rPr>
          <w:rStyle w:val="FootnoteReference"/>
          <w:rFonts w:ascii="Arial" w:hAnsi="Arial" w:cs="Arial"/>
          <w:sz w:val="20"/>
          <w:szCs w:val="20"/>
        </w:rPr>
        <w:footnoteRef/>
      </w:r>
      <w:r w:rsidRPr="001B5D3A">
        <w:rPr>
          <w:rFonts w:ascii="Arial" w:hAnsi="Arial" w:cs="Arial"/>
          <w:sz w:val="20"/>
          <w:szCs w:val="20"/>
        </w:rPr>
        <w:t xml:space="preserve"> Specific activity is from time to time covered by such mechanisms as the </w:t>
      </w:r>
      <w:r w:rsidRPr="001B5D3A">
        <w:rPr>
          <w:rFonts w:ascii="Arial" w:hAnsi="Arial" w:cs="Arial"/>
          <w:i/>
          <w:sz w:val="20"/>
          <w:szCs w:val="20"/>
        </w:rPr>
        <w:t>Charter of the United Nations (Sanctions-Iraq) Regulations 2008</w:t>
      </w:r>
      <w:r w:rsidRPr="001B5D3A">
        <w:rPr>
          <w:rFonts w:ascii="Arial" w:hAnsi="Arial" w:cs="Arial"/>
          <w:sz w:val="20"/>
          <w:szCs w:val="20"/>
        </w:rPr>
        <w:t xml:space="preserve">, which regulates illegally removed cultural property from Iraq coming into Australia. </w:t>
      </w:r>
    </w:p>
  </w:footnote>
  <w:footnote w:id="73">
    <w:p w14:paraId="0448D682" w14:textId="14052A53" w:rsidR="005F4E29" w:rsidRPr="001B5D3A" w:rsidRDefault="005F4E29" w:rsidP="003978AD">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Although it might be argued that stolen and looted material is unlikely to have been legally exported, this may occur in countries where a minority is being actively persecuted by the sovereign government – one need only look at the (perfectly legally exported) looting of Jewish cultural material by the Nazi state.</w:t>
      </w:r>
      <w:r>
        <w:rPr>
          <w:rStyle w:val="FootnoteReference"/>
          <w:rFonts w:ascii="Arial" w:hAnsi="Arial" w:cs="Arial"/>
          <w:sz w:val="20"/>
          <w:szCs w:val="20"/>
          <w:vertAlign w:val="baseline"/>
        </w:rPr>
        <w:t xml:space="preserve"> </w:t>
      </w:r>
    </w:p>
  </w:footnote>
  <w:footnote w:id="74">
    <w:p w14:paraId="7959F790" w14:textId="2A477E31" w:rsidR="005F4E29" w:rsidRPr="001B5D3A" w:rsidRDefault="005F4E29" w:rsidP="003978AD">
      <w:pPr>
        <w:pStyle w:val="FootnoteText"/>
        <w:ind w:left="284" w:hanging="284"/>
        <w:rPr>
          <w:rFonts w:ascii="Arial" w:hAnsi="Arial" w:cs="Arial"/>
          <w:sz w:val="20"/>
          <w:szCs w:val="20"/>
        </w:rPr>
      </w:pPr>
      <w:r w:rsidRPr="001B5D3A">
        <w:rPr>
          <w:rStyle w:val="FootnoteReference"/>
          <w:rFonts w:ascii="Arial" w:hAnsi="Arial" w:cs="Arial"/>
          <w:sz w:val="20"/>
          <w:szCs w:val="20"/>
        </w:rPr>
        <w:footnoteRef/>
      </w:r>
      <w:r w:rsidRPr="001B5D3A">
        <w:rPr>
          <w:rFonts w:ascii="Arial" w:hAnsi="Arial" w:cs="Arial"/>
          <w:sz w:val="20"/>
          <w:szCs w:val="20"/>
        </w:rPr>
        <w:t xml:space="preserve"> Recognising</w:t>
      </w:r>
      <w:r>
        <w:rPr>
          <w:rFonts w:ascii="Arial" w:hAnsi="Arial" w:cs="Arial"/>
          <w:sz w:val="20"/>
          <w:szCs w:val="20"/>
        </w:rPr>
        <w:t xml:space="preserve"> that breaches may be offences</w:t>
      </w:r>
      <w:r w:rsidRPr="001B5D3A">
        <w:rPr>
          <w:rFonts w:ascii="Arial" w:hAnsi="Arial" w:cs="Arial"/>
          <w:sz w:val="20"/>
          <w:szCs w:val="20"/>
        </w:rPr>
        <w:t xml:space="preserve"> under the </w:t>
      </w:r>
      <w:r w:rsidRPr="001B5D3A">
        <w:rPr>
          <w:rFonts w:ascii="Arial" w:hAnsi="Arial" w:cs="Arial"/>
          <w:i/>
          <w:sz w:val="20"/>
          <w:szCs w:val="20"/>
        </w:rPr>
        <w:t>Defence Force Discipline Act 1982</w:t>
      </w:r>
      <w:r w:rsidRPr="001B5D3A">
        <w:rPr>
          <w:rFonts w:ascii="Arial" w:hAnsi="Arial" w:cs="Arial"/>
          <w:sz w:val="20"/>
          <w:szCs w:val="20"/>
        </w:rPr>
        <w:t xml:space="preserve">. </w:t>
      </w:r>
    </w:p>
  </w:footnote>
  <w:footnote w:id="75">
    <w:p w14:paraId="0B7B5450" w14:textId="0E5A4E36" w:rsidR="005F4E29" w:rsidRPr="00273139" w:rsidRDefault="005F4E29" w:rsidP="003978AD">
      <w:pPr>
        <w:pStyle w:val="FootnoteText"/>
        <w:ind w:left="284" w:hanging="284"/>
        <w:rPr>
          <w:sz w:val="20"/>
          <w:szCs w:val="20"/>
          <w:lang w:val="en-US"/>
        </w:rPr>
      </w:pPr>
      <w:r w:rsidRPr="001B5D3A">
        <w:rPr>
          <w:rStyle w:val="FootnoteReference"/>
          <w:rFonts w:ascii="Arial" w:hAnsi="Arial" w:cs="Arial"/>
          <w:sz w:val="20"/>
          <w:szCs w:val="20"/>
        </w:rPr>
        <w:footnoteRef/>
      </w:r>
      <w:r w:rsidRPr="001B5D3A">
        <w:rPr>
          <w:rFonts w:ascii="Arial" w:hAnsi="Arial" w:cs="Arial"/>
          <w:sz w:val="20"/>
          <w:szCs w:val="20"/>
        </w:rPr>
        <w:t xml:space="preserve"> </w:t>
      </w:r>
      <w:r w:rsidRPr="001B5D3A">
        <w:rPr>
          <w:rStyle w:val="FootnoteReference"/>
          <w:rFonts w:ascii="Arial" w:hAnsi="Arial" w:cs="Arial"/>
          <w:sz w:val="20"/>
          <w:szCs w:val="20"/>
          <w:vertAlign w:val="baseline"/>
        </w:rPr>
        <w:t>Including</w:t>
      </w:r>
      <w:r>
        <w:rPr>
          <w:rStyle w:val="FootnoteReference"/>
          <w:rFonts w:ascii="Arial" w:hAnsi="Arial" w:cs="Arial"/>
          <w:sz w:val="20"/>
          <w:szCs w:val="20"/>
          <w:vertAlign w:val="baseline"/>
        </w:rPr>
        <w:t xml:space="preserve"> </w:t>
      </w:r>
      <w:r w:rsidRPr="001B5D3A">
        <w:rPr>
          <w:rStyle w:val="FootnoteReference"/>
          <w:rFonts w:ascii="Arial" w:hAnsi="Arial" w:cs="Arial"/>
          <w:sz w:val="20"/>
          <w:szCs w:val="20"/>
          <w:vertAlign w:val="baseline"/>
        </w:rPr>
        <w:t>search, hold, seizure and sanction</w:t>
      </w:r>
      <w:r w:rsidRPr="001B5D3A">
        <w:rPr>
          <w:rFonts w:ascii="Arial" w:hAnsi="Arial" w:cs="Arial"/>
          <w:sz w:val="20"/>
          <w:szCs w:val="20"/>
        </w:rPr>
        <w:t>.</w:t>
      </w:r>
    </w:p>
  </w:footnote>
  <w:footnote w:id="76">
    <w:p w14:paraId="155E446D" w14:textId="1BDF8BCC" w:rsidR="005F4E29" w:rsidRPr="001B5D3A" w:rsidRDefault="005F4E29" w:rsidP="003978AD">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Meeting of Minister of Foreign Affairs, </w:t>
      </w:r>
      <w:r>
        <w:rPr>
          <w:rFonts w:ascii="Arial" w:hAnsi="Arial" w:cs="Arial"/>
          <w:sz w:val="20"/>
          <w:szCs w:val="20"/>
        </w:rPr>
        <w:t xml:space="preserve">the Hon </w:t>
      </w:r>
      <w:r w:rsidRPr="001B5D3A">
        <w:rPr>
          <w:rStyle w:val="FootnoteReference"/>
          <w:rFonts w:ascii="Arial" w:hAnsi="Arial" w:cs="Arial"/>
          <w:sz w:val="20"/>
          <w:szCs w:val="20"/>
          <w:vertAlign w:val="baseline"/>
        </w:rPr>
        <w:t xml:space="preserve">Julie Bishop </w:t>
      </w:r>
      <w:r>
        <w:rPr>
          <w:rFonts w:ascii="Arial" w:hAnsi="Arial" w:cs="Arial"/>
          <w:sz w:val="20"/>
          <w:szCs w:val="20"/>
        </w:rPr>
        <w:t xml:space="preserve">MP </w:t>
      </w:r>
      <w:r w:rsidRPr="001B5D3A">
        <w:rPr>
          <w:rStyle w:val="FootnoteReference"/>
          <w:rFonts w:ascii="Arial" w:hAnsi="Arial" w:cs="Arial"/>
          <w:sz w:val="20"/>
          <w:szCs w:val="20"/>
          <w:vertAlign w:val="baseline"/>
        </w:rPr>
        <w:t xml:space="preserve">with the Director-General of UNESCO Irina </w:t>
      </w:r>
      <w:proofErr w:type="spellStart"/>
      <w:r w:rsidRPr="001B5D3A">
        <w:rPr>
          <w:rStyle w:val="FootnoteReference"/>
          <w:rFonts w:ascii="Arial" w:hAnsi="Arial" w:cs="Arial"/>
          <w:sz w:val="20"/>
          <w:szCs w:val="20"/>
          <w:vertAlign w:val="baseline"/>
        </w:rPr>
        <w:t>Bokova</w:t>
      </w:r>
      <w:proofErr w:type="spellEnd"/>
      <w:r w:rsidRPr="001B5D3A">
        <w:rPr>
          <w:rStyle w:val="FootnoteReference"/>
          <w:rFonts w:ascii="Arial" w:hAnsi="Arial" w:cs="Arial"/>
          <w:sz w:val="20"/>
          <w:szCs w:val="20"/>
          <w:vertAlign w:val="baseline"/>
        </w:rPr>
        <w:t xml:space="preserve"> on 20 April 2015. See article: ‘Director-General meets Australia’s Minister for Foreign Affairs’ in the Media Services section of the UNESCO website &lt;www.unesco.org&gt;. </w:t>
      </w:r>
    </w:p>
  </w:footnote>
  <w:footnote w:id="77">
    <w:p w14:paraId="5C73C863" w14:textId="2D9BC098" w:rsidR="005F4E29" w:rsidRPr="00273139" w:rsidRDefault="005F4E29" w:rsidP="003978AD">
      <w:pPr>
        <w:pStyle w:val="FootnoteText"/>
        <w:ind w:left="284" w:hanging="284"/>
        <w:rPr>
          <w:rStyle w:val="FootnoteReference"/>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See Jiri </w:t>
      </w:r>
      <w:proofErr w:type="spellStart"/>
      <w:r w:rsidRPr="001B5D3A">
        <w:rPr>
          <w:rStyle w:val="FootnoteReference"/>
          <w:rFonts w:ascii="Arial" w:hAnsi="Arial" w:cs="Arial"/>
          <w:sz w:val="20"/>
          <w:szCs w:val="20"/>
          <w:vertAlign w:val="baseline"/>
        </w:rPr>
        <w:t>Toman</w:t>
      </w:r>
      <w:proofErr w:type="spellEnd"/>
      <w:r w:rsidRPr="001B5D3A">
        <w:rPr>
          <w:rStyle w:val="FootnoteReference"/>
          <w:rFonts w:ascii="Arial" w:hAnsi="Arial" w:cs="Arial"/>
          <w:sz w:val="20"/>
          <w:szCs w:val="20"/>
          <w:vertAlign w:val="baseline"/>
        </w:rPr>
        <w:t xml:space="preserve">, </w:t>
      </w:r>
      <w:r>
        <w:rPr>
          <w:rStyle w:val="FootnoteReference"/>
          <w:rFonts w:ascii="Arial" w:hAnsi="Arial" w:cs="Arial"/>
          <w:sz w:val="20"/>
          <w:szCs w:val="20"/>
          <w:vertAlign w:val="baseline"/>
        </w:rPr>
        <w:t>‘</w:t>
      </w:r>
      <w:r w:rsidRPr="001B5D3A">
        <w:rPr>
          <w:rStyle w:val="FootnoteReference"/>
          <w:rFonts w:ascii="Arial" w:hAnsi="Arial" w:cs="Arial"/>
          <w:sz w:val="20"/>
          <w:szCs w:val="20"/>
          <w:vertAlign w:val="baseline"/>
        </w:rPr>
        <w:t>The Protection of Cultural Property in the Event of Armed Conflict</w:t>
      </w:r>
      <w:r>
        <w:rPr>
          <w:rStyle w:val="FootnoteReference"/>
          <w:rFonts w:ascii="Arial" w:hAnsi="Arial" w:cs="Arial"/>
          <w:sz w:val="20"/>
          <w:szCs w:val="20"/>
          <w:vertAlign w:val="baseline"/>
        </w:rPr>
        <w:t>’</w:t>
      </w:r>
      <w:r w:rsidRPr="001B5D3A">
        <w:rPr>
          <w:rStyle w:val="FootnoteReference"/>
          <w:rFonts w:ascii="Arial" w:hAnsi="Arial" w:cs="Arial"/>
          <w:sz w:val="20"/>
          <w:szCs w:val="20"/>
          <w:vertAlign w:val="baseline"/>
        </w:rPr>
        <w:t xml:space="preserve">, Dartmouth Publishing and UNESCO, 1996, p5. For a useful summary of history of cultural material in armed conflict also see </w:t>
      </w:r>
      <w:proofErr w:type="spellStart"/>
      <w:r w:rsidRPr="001B5D3A">
        <w:rPr>
          <w:rStyle w:val="FootnoteReference"/>
          <w:rFonts w:ascii="Arial" w:hAnsi="Arial" w:cs="Arial"/>
          <w:sz w:val="20"/>
          <w:szCs w:val="20"/>
          <w:vertAlign w:val="baseline"/>
        </w:rPr>
        <w:t>Anthi</w:t>
      </w:r>
      <w:proofErr w:type="spellEnd"/>
      <w:r w:rsidRPr="001B5D3A">
        <w:rPr>
          <w:rStyle w:val="FootnoteReference"/>
          <w:rFonts w:ascii="Arial" w:hAnsi="Arial" w:cs="Arial"/>
          <w:sz w:val="20"/>
          <w:szCs w:val="20"/>
          <w:vertAlign w:val="baseline"/>
        </w:rPr>
        <w:t xml:space="preserve"> </w:t>
      </w:r>
      <w:proofErr w:type="spellStart"/>
      <w:r w:rsidRPr="001B5D3A">
        <w:rPr>
          <w:rStyle w:val="FootnoteReference"/>
          <w:rFonts w:ascii="Arial" w:hAnsi="Arial" w:cs="Arial"/>
          <w:sz w:val="20"/>
          <w:szCs w:val="20"/>
          <w:vertAlign w:val="baseline"/>
        </w:rPr>
        <w:t>Helleni</w:t>
      </w:r>
      <w:proofErr w:type="spellEnd"/>
      <w:r w:rsidRPr="001B5D3A">
        <w:rPr>
          <w:rStyle w:val="FootnoteReference"/>
          <w:rFonts w:ascii="Arial" w:hAnsi="Arial" w:cs="Arial"/>
          <w:sz w:val="20"/>
          <w:szCs w:val="20"/>
          <w:vertAlign w:val="baseline"/>
        </w:rPr>
        <w:t xml:space="preserve"> </w:t>
      </w:r>
      <w:proofErr w:type="spellStart"/>
      <w:r w:rsidRPr="001B5D3A">
        <w:rPr>
          <w:rStyle w:val="FootnoteReference"/>
          <w:rFonts w:ascii="Arial" w:hAnsi="Arial" w:cs="Arial"/>
          <w:sz w:val="20"/>
          <w:szCs w:val="20"/>
          <w:vertAlign w:val="baseline"/>
        </w:rPr>
        <w:t>Poulos</w:t>
      </w:r>
      <w:proofErr w:type="spellEnd"/>
      <w:r w:rsidRPr="001B5D3A">
        <w:rPr>
          <w:rStyle w:val="FootnoteReference"/>
          <w:rFonts w:ascii="Arial" w:hAnsi="Arial" w:cs="Arial"/>
          <w:sz w:val="20"/>
          <w:szCs w:val="20"/>
          <w:vertAlign w:val="baseline"/>
        </w:rPr>
        <w:t>, ‘The Hague Convention for the Protection of Cultural Property in the Event of Armed Conflict: An Historic Analysis,’ International Journal of Legal Information,</w:t>
      </w:r>
      <w:r>
        <w:rPr>
          <w:rStyle w:val="FootnoteReference"/>
          <w:rFonts w:ascii="Arial" w:hAnsi="Arial" w:cs="Arial"/>
          <w:sz w:val="20"/>
          <w:szCs w:val="20"/>
          <w:vertAlign w:val="baseline"/>
        </w:rPr>
        <w:t xml:space="preserve"> </w:t>
      </w:r>
      <w:r w:rsidRPr="001B5D3A">
        <w:rPr>
          <w:rStyle w:val="FootnoteReference"/>
          <w:rFonts w:ascii="Arial" w:hAnsi="Arial" w:cs="Arial"/>
          <w:sz w:val="20"/>
          <w:szCs w:val="20"/>
          <w:vertAlign w:val="baseline"/>
        </w:rPr>
        <w:t>2000:28, p1.</w:t>
      </w:r>
    </w:p>
  </w:footnote>
  <w:footnote w:id="78">
    <w:p w14:paraId="60DB600B" w14:textId="0E51D02A" w:rsidR="005F4E29" w:rsidRPr="001B5D3A" w:rsidRDefault="005F4E29" w:rsidP="003978AD">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Articles 34–36, General Orders no.100: Instructions for the government of armies of the United States in the Field (</w:t>
      </w:r>
      <w:proofErr w:type="spellStart"/>
      <w:r w:rsidRPr="001B5D3A">
        <w:rPr>
          <w:rStyle w:val="FootnoteReference"/>
          <w:rFonts w:ascii="Arial" w:hAnsi="Arial" w:cs="Arial"/>
          <w:sz w:val="20"/>
          <w:szCs w:val="20"/>
          <w:vertAlign w:val="baseline"/>
        </w:rPr>
        <w:t>Lieber</w:t>
      </w:r>
      <w:proofErr w:type="spellEnd"/>
      <w:r w:rsidRPr="001B5D3A">
        <w:rPr>
          <w:rStyle w:val="FootnoteReference"/>
          <w:rFonts w:ascii="Arial" w:hAnsi="Arial" w:cs="Arial"/>
          <w:sz w:val="20"/>
          <w:szCs w:val="20"/>
          <w:vertAlign w:val="baseline"/>
        </w:rPr>
        <w:t xml:space="preserve"> Code) as cited in ‘Chronology of Cultural Property Legislation’,</w:t>
      </w:r>
      <w:r>
        <w:rPr>
          <w:rStyle w:val="FootnoteReference"/>
          <w:rFonts w:ascii="Arial" w:hAnsi="Arial" w:cs="Arial"/>
          <w:sz w:val="20"/>
          <w:szCs w:val="20"/>
          <w:vertAlign w:val="baseline"/>
        </w:rPr>
        <w:br/>
      </w:r>
      <w:r w:rsidRPr="001B5D3A">
        <w:rPr>
          <w:rStyle w:val="FootnoteReference"/>
          <w:rFonts w:ascii="Arial" w:hAnsi="Arial" w:cs="Arial"/>
          <w:sz w:val="20"/>
          <w:szCs w:val="20"/>
          <w:vertAlign w:val="baseline"/>
        </w:rPr>
        <w:t>K Fitz Gibbon, Who Owns The Past? Cultural Policy, Cultural Property and the Law, Rutgers University Press, 2005, pp3-9.</w:t>
      </w:r>
    </w:p>
  </w:footnote>
  <w:footnote w:id="79">
    <w:p w14:paraId="5B007D48" w14:textId="77777777" w:rsidR="005F4E29" w:rsidRPr="001B5D3A" w:rsidRDefault="005F4E29" w:rsidP="003978AD">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 institutions dedicated to religion, charity and education, the arts and sciences even when State property, shall be treated as private property. All seizure or destruction of, or wilful damage to, institutions of this character, historic monuments, works of art and science should be made the subject of legal proceedings by the competent authorities’: Article 8, Project of an International Declaration Concerning the Laws and Customs of War.</w:t>
      </w:r>
    </w:p>
  </w:footnote>
  <w:footnote w:id="80">
    <w:p w14:paraId="3CD31397" w14:textId="77777777" w:rsidR="005F4E29" w:rsidRPr="001B5D3A" w:rsidRDefault="005F4E29" w:rsidP="003978AD">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Hague Convention (IV), which forbids damage to ‘institutions dedicated to religion, charity and education, the arts and sciences ... historic monuments, works of art ...’. </w:t>
      </w:r>
    </w:p>
  </w:footnote>
  <w:footnote w:id="81">
    <w:p w14:paraId="08A358EE" w14:textId="77777777" w:rsidR="005F4E29" w:rsidRPr="00273139" w:rsidRDefault="005F4E29" w:rsidP="003978AD">
      <w:pPr>
        <w:pStyle w:val="FootnoteText"/>
        <w:ind w:left="284" w:hanging="284"/>
        <w:rPr>
          <w:rStyle w:val="FootnoteReference"/>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The Treaty on the Protection of Artistic and Scientific Institutions and Historic Monuments, which sought to establish a status of neutrality for monuments, museums, scientific, artistic, educational, and cultural institutions, that were designated by a flag by which they could be identified, just as hospitals and medical personnel were designated by a red cross.</w:t>
      </w:r>
    </w:p>
  </w:footnote>
  <w:footnote w:id="82">
    <w:p w14:paraId="7D976A77" w14:textId="77777777" w:rsidR="005F4E29" w:rsidRPr="001B5D3A" w:rsidRDefault="005F4E29" w:rsidP="001A20CD">
      <w:pPr>
        <w:pStyle w:val="FootnoteText"/>
        <w:rPr>
          <w:rFonts w:ascii="Arial" w:hAnsi="Arial" w:cs="Arial"/>
          <w:sz w:val="20"/>
          <w:szCs w:val="20"/>
        </w:rPr>
      </w:pPr>
      <w:r w:rsidRPr="001B5D3A">
        <w:rPr>
          <w:rFonts w:ascii="Arial" w:hAnsi="Arial" w:cs="Arial"/>
          <w:sz w:val="20"/>
          <w:szCs w:val="20"/>
          <w:vertAlign w:val="superscript"/>
        </w:rPr>
        <w:footnoteRef/>
      </w:r>
      <w:r w:rsidRPr="001B5D3A">
        <w:rPr>
          <w:rFonts w:ascii="Arial" w:hAnsi="Arial" w:cs="Arial"/>
          <w:sz w:val="20"/>
          <w:szCs w:val="20"/>
        </w:rPr>
        <w:t xml:space="preserve"> Including Resolution 1483 (2003) and Resolution 2199 (2015). </w:t>
      </w:r>
    </w:p>
  </w:footnote>
  <w:footnote w:id="83">
    <w:p w14:paraId="34DC466D" w14:textId="77777777" w:rsidR="005F4E29" w:rsidRPr="001B5D3A" w:rsidRDefault="005F4E29" w:rsidP="001A20CD">
      <w:pPr>
        <w:pStyle w:val="FootnoteText"/>
        <w:rPr>
          <w:rFonts w:ascii="Arial" w:hAnsi="Arial" w:cs="Arial"/>
          <w:sz w:val="20"/>
          <w:szCs w:val="20"/>
        </w:rPr>
      </w:pPr>
      <w:r w:rsidRPr="001B5D3A">
        <w:rPr>
          <w:rStyle w:val="FootnoteReference"/>
          <w:rFonts w:ascii="Arial" w:hAnsi="Arial" w:cs="Arial"/>
          <w:sz w:val="20"/>
          <w:szCs w:val="20"/>
        </w:rPr>
        <w:footnoteRef/>
      </w:r>
      <w:r w:rsidRPr="001B5D3A">
        <w:rPr>
          <w:rFonts w:ascii="Arial" w:hAnsi="Arial" w:cs="Arial"/>
          <w:sz w:val="20"/>
          <w:szCs w:val="20"/>
        </w:rPr>
        <w:t xml:space="preserve"> Letter LA/Depositary/1989/20 of 10 January 1990</w:t>
      </w:r>
    </w:p>
  </w:footnote>
  <w:footnote w:id="84">
    <w:p w14:paraId="01868C5B" w14:textId="704FC0BA" w:rsidR="005F4E29" w:rsidRPr="001B5D3A" w:rsidRDefault="005F4E29" w:rsidP="001A20CD">
      <w:pPr>
        <w:pStyle w:val="FootnoteText"/>
        <w:rPr>
          <w:rFonts w:ascii="Arial" w:hAnsi="Arial" w:cs="Arial"/>
          <w:sz w:val="20"/>
          <w:szCs w:val="20"/>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State Parties listed at &lt;www.unesco.org/&gt;.</w:t>
      </w:r>
    </w:p>
  </w:footnote>
  <w:footnote w:id="85">
    <w:p w14:paraId="21C340D9" w14:textId="77777777" w:rsidR="005F4E29" w:rsidRPr="00273139" w:rsidRDefault="005F4E29" w:rsidP="003978AD">
      <w:pPr>
        <w:pStyle w:val="FootnoteText"/>
        <w:ind w:left="284" w:hanging="284"/>
        <w:rPr>
          <w:rStyle w:val="FootnoteReference"/>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Available at the United Nations website &lt;www.un.org&gt;.</w:t>
      </w:r>
      <w:r w:rsidRPr="00273139">
        <w:rPr>
          <w:rStyle w:val="FootnoteReference"/>
          <w:sz w:val="20"/>
          <w:szCs w:val="20"/>
          <w:vertAlign w:val="baseline"/>
        </w:rPr>
        <w:t xml:space="preserve"> </w:t>
      </w:r>
    </w:p>
  </w:footnote>
  <w:footnote w:id="86">
    <w:p w14:paraId="5A9B8ABD" w14:textId="77777777" w:rsidR="005F4E29" w:rsidRPr="001B5D3A" w:rsidRDefault="005F4E29" w:rsidP="003978AD">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Fonts w:ascii="Arial" w:hAnsi="Arial" w:cs="Arial"/>
          <w:sz w:val="20"/>
          <w:szCs w:val="20"/>
        </w:rPr>
        <w:t xml:space="preserve"> </w:t>
      </w:r>
      <w:r w:rsidRPr="001B5D3A">
        <w:rPr>
          <w:rStyle w:val="FootnoteReference"/>
          <w:rFonts w:ascii="Arial" w:hAnsi="Arial" w:cs="Arial"/>
          <w:sz w:val="20"/>
          <w:szCs w:val="20"/>
          <w:vertAlign w:val="baseline"/>
        </w:rPr>
        <w:t>For example, the enforcement of the search and seize powers, the decision to forfeit, the appeal of administrative decisions</w:t>
      </w:r>
      <w:r w:rsidRPr="001B5D3A">
        <w:rPr>
          <w:rFonts w:ascii="Arial" w:hAnsi="Arial" w:cs="Arial"/>
          <w:sz w:val="20"/>
          <w:szCs w:val="20"/>
        </w:rPr>
        <w:t>.</w:t>
      </w:r>
    </w:p>
  </w:footnote>
  <w:footnote w:id="87">
    <w:p w14:paraId="1C266C10" w14:textId="77777777" w:rsidR="005F4E29" w:rsidRPr="001B5D3A" w:rsidRDefault="005F4E29" w:rsidP="003978AD">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Such as the information gathering as to circumstances of export, provenance and title</w:t>
      </w:r>
      <w:r w:rsidRPr="001B5D3A">
        <w:rPr>
          <w:rFonts w:ascii="Arial" w:hAnsi="Arial" w:cs="Arial"/>
          <w:sz w:val="20"/>
          <w:szCs w:val="20"/>
        </w:rPr>
        <w:t>.</w:t>
      </w:r>
    </w:p>
  </w:footnote>
  <w:footnote w:id="88">
    <w:p w14:paraId="090C5332" w14:textId="77777777" w:rsidR="005F4E29" w:rsidRPr="001B5D3A" w:rsidRDefault="005F4E29" w:rsidP="003978AD">
      <w:pPr>
        <w:pStyle w:val="FootnoteText"/>
        <w:ind w:left="284" w:hanging="284"/>
        <w:rPr>
          <w:rFonts w:ascii="Arial" w:hAnsi="Arial" w:cs="Arial"/>
          <w:sz w:val="20"/>
          <w:szCs w:val="20"/>
          <w:lang w:val="en-US"/>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Such as warehousing the seized material.</w:t>
      </w:r>
    </w:p>
  </w:footnote>
  <w:footnote w:id="89">
    <w:p w14:paraId="38E04D2D" w14:textId="77777777" w:rsidR="005F4E29" w:rsidRPr="001B5D3A" w:rsidRDefault="005F4E29" w:rsidP="003978AD">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The text of the Convention may be found on the UNESCO website at &lt;www.unesco.org&gt;.</w:t>
      </w:r>
    </w:p>
  </w:footnote>
  <w:footnote w:id="90">
    <w:p w14:paraId="0FFD910A" w14:textId="77777777" w:rsidR="005F4E29" w:rsidRPr="001B5D3A" w:rsidRDefault="005F4E29" w:rsidP="003978AD">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An instrument ‘enters into force’ once a specified number of states have ratified the instrument. It then binds the parties who have ratified it. The phrase ‘enters into force’ does not imply that the Protocols have force in Australian law as Australia has not ratified them.</w:t>
      </w:r>
    </w:p>
  </w:footnote>
  <w:footnote w:id="91">
    <w:p w14:paraId="0DB1F05F" w14:textId="4B919DE6" w:rsidR="005F4E29" w:rsidRPr="00273139" w:rsidRDefault="005F4E29" w:rsidP="003978AD">
      <w:pPr>
        <w:pStyle w:val="FootnoteText"/>
        <w:ind w:left="284" w:hanging="284"/>
        <w:rPr>
          <w:rStyle w:val="FootnoteReference"/>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For a lucid explanation as to the process by which a country becomes a party to the Convention (through ratification or accession) see P J Boylan’s conference paper ‘Implementing the 1954 Hague Convention and its Protocols: legal and practical implications’, 2006, available at the University of Chicago website &lt;culturalpolicy.uchicago.edu/protectingculturalheritage/papers.shtml&gt;.</w:t>
      </w:r>
      <w:r>
        <w:rPr>
          <w:rStyle w:val="FootnoteReference"/>
          <w:sz w:val="20"/>
          <w:szCs w:val="20"/>
          <w:vertAlign w:val="baseline"/>
        </w:rPr>
        <w:t xml:space="preserve"> </w:t>
      </w:r>
    </w:p>
  </w:footnote>
  <w:footnote w:id="92">
    <w:p w14:paraId="7E5F27C7" w14:textId="77777777" w:rsidR="005F4E29" w:rsidRPr="001B5D3A" w:rsidRDefault="005F4E29" w:rsidP="003978AD">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Article 1.</w:t>
      </w:r>
    </w:p>
  </w:footnote>
  <w:footnote w:id="93">
    <w:p w14:paraId="2385F122" w14:textId="52294ADC" w:rsidR="005F4E29" w:rsidRPr="001B5D3A" w:rsidRDefault="005F4E29" w:rsidP="003978AD">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Australia protects immovable cultural property</w:t>
      </w:r>
      <w:r w:rsidRPr="001B5D3A">
        <w:rPr>
          <w:rFonts w:ascii="Arial" w:hAnsi="Arial" w:cs="Arial"/>
          <w:sz w:val="20"/>
          <w:szCs w:val="20"/>
        </w:rPr>
        <w:t xml:space="preserve"> that is situated within its borders</w:t>
      </w:r>
      <w:r w:rsidRPr="001B5D3A">
        <w:rPr>
          <w:rStyle w:val="FootnoteReference"/>
          <w:rFonts w:ascii="Arial" w:hAnsi="Arial" w:cs="Arial"/>
          <w:sz w:val="20"/>
          <w:szCs w:val="20"/>
          <w:vertAlign w:val="baseline"/>
        </w:rPr>
        <w:t xml:space="preserve"> through a variety of Commonwealth, state and territory legislation, including the </w:t>
      </w:r>
      <w:r w:rsidRPr="001B5D3A">
        <w:rPr>
          <w:rStyle w:val="FootnoteReference"/>
          <w:rFonts w:ascii="Arial" w:hAnsi="Arial" w:cs="Arial"/>
          <w:i/>
          <w:sz w:val="20"/>
          <w:szCs w:val="20"/>
          <w:vertAlign w:val="baseline"/>
        </w:rPr>
        <w:t>Environmental Protection and Biodiversity Conservation Act 1999</w:t>
      </w:r>
      <w:r w:rsidRPr="001B5D3A">
        <w:rPr>
          <w:rStyle w:val="FootnoteReference"/>
          <w:rFonts w:ascii="Arial" w:hAnsi="Arial" w:cs="Arial"/>
          <w:sz w:val="20"/>
          <w:szCs w:val="20"/>
          <w:vertAlign w:val="baseline"/>
        </w:rPr>
        <w:t xml:space="preserve">. </w:t>
      </w:r>
    </w:p>
  </w:footnote>
  <w:footnote w:id="94">
    <w:p w14:paraId="64807825" w14:textId="7B19A027" w:rsidR="005F4E29" w:rsidRPr="00273139" w:rsidRDefault="005F4E29" w:rsidP="003978AD">
      <w:pPr>
        <w:pStyle w:val="FootnoteText"/>
        <w:ind w:left="284" w:hanging="284"/>
        <w:rPr>
          <w:rStyle w:val="FootnoteReference"/>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Section 268.80 and section 268.101 (War crime – attacking protected objects). The </w:t>
      </w:r>
      <w:r w:rsidRPr="00513739">
        <w:rPr>
          <w:rStyle w:val="FootnoteReference"/>
          <w:rFonts w:ascii="Arial" w:hAnsi="Arial" w:cs="Arial"/>
          <w:i/>
          <w:sz w:val="20"/>
          <w:szCs w:val="20"/>
          <w:vertAlign w:val="baseline"/>
        </w:rPr>
        <w:t>Criminal Code Act 1995</w:t>
      </w:r>
      <w:r>
        <w:rPr>
          <w:rStyle w:val="FootnoteReference"/>
          <w:rFonts w:ascii="Arial" w:hAnsi="Arial" w:cs="Arial"/>
          <w:sz w:val="20"/>
          <w:szCs w:val="20"/>
          <w:vertAlign w:val="baseline"/>
        </w:rPr>
        <w:t xml:space="preserve"> </w:t>
      </w:r>
      <w:r w:rsidRPr="001B5D3A">
        <w:rPr>
          <w:rStyle w:val="FootnoteReference"/>
          <w:rFonts w:ascii="Arial" w:hAnsi="Arial" w:cs="Arial"/>
          <w:sz w:val="20"/>
          <w:szCs w:val="20"/>
          <w:vertAlign w:val="baseline"/>
        </w:rPr>
        <w:t>Division 268 also provides for other offences which may be applicable: section 268.51 (destroying or seizing enemy’s property); section 268.54 and section 268.81 (pillaging); and section 268.115 (responsibility of commanders and other superiors).</w:t>
      </w:r>
    </w:p>
  </w:footnote>
  <w:footnote w:id="95">
    <w:p w14:paraId="2F8E18A1" w14:textId="77777777" w:rsidR="005F4E29" w:rsidRPr="001B5D3A" w:rsidRDefault="005F4E29" w:rsidP="003978AD">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Section 29 criminalises the intentional destruction or damaging of Commonwealth property. This offence applies to all property belonging to the Commonwealth or to Commonwealth authorities, including national collecting institutions. For further information, the 2010 Implementing Report has a further list of relevant provisions and a range of specific offences relating to damage to cultural heritage in national collecting institutions.</w:t>
      </w:r>
    </w:p>
  </w:footnote>
  <w:footnote w:id="96">
    <w:p w14:paraId="7953B59F" w14:textId="2E4AF162" w:rsidR="005F4E29" w:rsidRPr="00273139" w:rsidRDefault="005F4E29" w:rsidP="001A20CD">
      <w:pPr>
        <w:pStyle w:val="FootnoteText"/>
        <w:rPr>
          <w:rStyle w:val="FootnoteReference"/>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These offences are unlikely to apply extra-territorially.</w:t>
      </w:r>
      <w:r>
        <w:rPr>
          <w:rStyle w:val="FootnoteReference"/>
          <w:sz w:val="20"/>
          <w:szCs w:val="20"/>
          <w:vertAlign w:val="baseline"/>
        </w:rPr>
        <w:t xml:space="preserve"> </w:t>
      </w:r>
    </w:p>
  </w:footnote>
  <w:footnote w:id="97">
    <w:p w14:paraId="1B6B8C80" w14:textId="77777777" w:rsidR="005F4E29" w:rsidRPr="001B5D3A" w:rsidRDefault="005F4E29" w:rsidP="003978AD">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Offences apply no matter the nationality of the alleged offender or where the offence is alleged to have been committed.</w:t>
      </w:r>
    </w:p>
  </w:footnote>
  <w:footnote w:id="98">
    <w:p w14:paraId="07F9C805" w14:textId="5541CA85" w:rsidR="005F4E29" w:rsidRPr="001B5D3A" w:rsidRDefault="005F4E29" w:rsidP="00B51AD0">
      <w:pPr>
        <w:pStyle w:val="FootnoteText"/>
        <w:ind w:left="142" w:hanging="142"/>
        <w:rPr>
          <w:rFonts w:ascii="Arial" w:hAnsi="Arial" w:cs="Arial"/>
          <w:sz w:val="20"/>
          <w:szCs w:val="20"/>
        </w:rPr>
      </w:pPr>
      <w:r w:rsidRPr="001B5D3A">
        <w:rPr>
          <w:rStyle w:val="FootnoteReference"/>
          <w:rFonts w:ascii="Arial" w:hAnsi="Arial" w:cs="Arial"/>
          <w:sz w:val="20"/>
          <w:szCs w:val="20"/>
        </w:rPr>
        <w:footnoteRef/>
      </w:r>
      <w:r w:rsidRPr="001B5D3A">
        <w:rPr>
          <w:rFonts w:ascii="Arial" w:hAnsi="Arial" w:cs="Arial"/>
          <w:sz w:val="20"/>
          <w:szCs w:val="20"/>
        </w:rPr>
        <w:t xml:space="preserve"> </w:t>
      </w:r>
      <w:r>
        <w:rPr>
          <w:rStyle w:val="FootnoteReference"/>
          <w:rFonts w:ascii="Arial" w:hAnsi="Arial" w:cs="Arial"/>
          <w:sz w:val="20"/>
          <w:szCs w:val="20"/>
          <w:vertAlign w:val="baseline"/>
        </w:rPr>
        <w:t>State Parties listed at &lt;</w:t>
      </w:r>
      <w:r w:rsidRPr="001B5D3A">
        <w:rPr>
          <w:rStyle w:val="FootnoteReference"/>
          <w:rFonts w:ascii="Arial" w:hAnsi="Arial" w:cs="Arial"/>
          <w:sz w:val="20"/>
          <w:szCs w:val="20"/>
          <w:vertAlign w:val="baseline"/>
        </w:rPr>
        <w:t>www.unesco.org/&gt;.</w:t>
      </w:r>
      <w:r w:rsidRPr="001B5D3A">
        <w:rPr>
          <w:rFonts w:ascii="Arial" w:hAnsi="Arial" w:cs="Arial"/>
          <w:sz w:val="20"/>
          <w:szCs w:val="20"/>
        </w:rPr>
        <w:t xml:space="preserve"> </w:t>
      </w:r>
      <w:r w:rsidRPr="001B5D3A">
        <w:rPr>
          <w:rStyle w:val="FootnoteReference"/>
          <w:rFonts w:ascii="Arial" w:hAnsi="Arial" w:cs="Arial"/>
          <w:sz w:val="20"/>
          <w:szCs w:val="20"/>
          <w:vertAlign w:val="baseline"/>
        </w:rPr>
        <w:t>As at 24 September 2015</w:t>
      </w:r>
      <w:r>
        <w:rPr>
          <w:rFonts w:ascii="Arial" w:hAnsi="Arial" w:cs="Arial"/>
          <w:sz w:val="20"/>
          <w:szCs w:val="20"/>
        </w:rPr>
        <w:t>.</w:t>
      </w:r>
    </w:p>
  </w:footnote>
  <w:footnote w:id="99">
    <w:p w14:paraId="3D2F860E" w14:textId="1A7E4165" w:rsidR="005F4E29" w:rsidRDefault="005F4E29">
      <w:pPr>
        <w:pStyle w:val="FootnoteText"/>
      </w:pPr>
      <w:r>
        <w:rPr>
          <w:rStyle w:val="FootnoteReference"/>
        </w:rPr>
        <w:footnoteRef/>
      </w:r>
      <w:r>
        <w:t xml:space="preserve"> </w:t>
      </w:r>
      <w:r w:rsidRPr="001B5D3A">
        <w:rPr>
          <w:rStyle w:val="FootnoteReference"/>
          <w:rFonts w:ascii="Arial" w:hAnsi="Arial" w:cs="Arial"/>
          <w:sz w:val="20"/>
          <w:szCs w:val="20"/>
          <w:vertAlign w:val="baseline"/>
        </w:rPr>
        <w:t>Article 5 of the draft.</w:t>
      </w:r>
    </w:p>
  </w:footnote>
  <w:footnote w:id="100">
    <w:p w14:paraId="7D02B7D7" w14:textId="283BC957" w:rsidR="005F4E29" w:rsidRDefault="005F4E29" w:rsidP="00DC2B9B">
      <w:pPr>
        <w:pStyle w:val="FootnoteText"/>
        <w:ind w:left="284" w:hanging="284"/>
      </w:pPr>
      <w:r>
        <w:rPr>
          <w:rStyle w:val="FootnoteReference"/>
        </w:rPr>
        <w:footnoteRef/>
      </w:r>
      <w:r>
        <w:t xml:space="preserve"> </w:t>
      </w:r>
      <w:r w:rsidRPr="001B5D3A">
        <w:rPr>
          <w:rStyle w:val="FootnoteReference"/>
          <w:rFonts w:ascii="Arial" w:hAnsi="Arial" w:cs="Arial"/>
          <w:sz w:val="20"/>
          <w:szCs w:val="20"/>
          <w:vertAlign w:val="baseline"/>
        </w:rPr>
        <w:t>For a discussion of the criticisms of the draft Article 5, see Chamberlain, War and Cultural Heritage, Institute of Art and Law, (2004), pp 138–139.</w:t>
      </w:r>
    </w:p>
  </w:footnote>
  <w:footnote w:id="101">
    <w:p w14:paraId="21793CA8" w14:textId="77777777" w:rsidR="005F4E29" w:rsidRPr="001B5D3A" w:rsidRDefault="005F4E29" w:rsidP="00D46B3E">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Paragraph 2. This seizure shall either be effected automatically upon the importation of the property or, failing this, at the request of the authorities of that territory.</w:t>
      </w:r>
    </w:p>
  </w:footnote>
  <w:footnote w:id="102">
    <w:p w14:paraId="3209BD65" w14:textId="1D3BCDC8" w:rsidR="005F4E29" w:rsidRPr="001B5D3A" w:rsidRDefault="005F4E29" w:rsidP="00D46B3E">
      <w:pPr>
        <w:pStyle w:val="FootnoteText"/>
        <w:ind w:left="284" w:hanging="284"/>
        <w:rPr>
          <w:rFonts w:ascii="Arial" w:hAnsi="Arial" w:cs="Arial"/>
          <w:sz w:val="20"/>
          <w:szCs w:val="20"/>
        </w:rPr>
      </w:pPr>
      <w:r w:rsidRPr="001B5D3A">
        <w:rPr>
          <w:rStyle w:val="FootnoteReference"/>
          <w:rFonts w:ascii="Arial" w:hAnsi="Arial" w:cs="Arial"/>
          <w:sz w:val="20"/>
          <w:szCs w:val="20"/>
        </w:rPr>
        <w:footnoteRef/>
      </w:r>
      <w:r w:rsidRPr="001B5D3A">
        <w:rPr>
          <w:rFonts w:ascii="Arial" w:hAnsi="Arial" w:cs="Arial"/>
          <w:sz w:val="20"/>
          <w:szCs w:val="20"/>
        </w:rPr>
        <w:t xml:space="preserve"> Paragraph 3. </w:t>
      </w:r>
    </w:p>
  </w:footnote>
  <w:footnote w:id="103">
    <w:p w14:paraId="268772EA" w14:textId="77777777" w:rsidR="005F4E29" w:rsidRPr="00273139" w:rsidRDefault="005F4E29" w:rsidP="00D46B3E">
      <w:pPr>
        <w:pStyle w:val="FootnoteText"/>
        <w:ind w:left="284" w:hanging="284"/>
        <w:rPr>
          <w:rStyle w:val="FootnoteReference"/>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Paragraph 4. This is a de facto sanction for failing to prevent the export of the material but the Protocol provides no mechanism for determining the amount to be paid. Note that the obligation to pay the indemnity does not fall upon the country into which the cultural material is imported, only on the occupier of the country from which the material was exported.</w:t>
      </w:r>
    </w:p>
  </w:footnote>
  <w:footnote w:id="104">
    <w:p w14:paraId="00858678" w14:textId="2385586E" w:rsidR="005F4E29" w:rsidRDefault="005F4E29" w:rsidP="00D46B3E">
      <w:pPr>
        <w:pStyle w:val="FootnoteText"/>
        <w:ind w:left="284" w:hanging="284"/>
      </w:pPr>
      <w:r>
        <w:rPr>
          <w:rStyle w:val="FootnoteReference"/>
        </w:rPr>
        <w:footnoteRef/>
      </w:r>
      <w:r>
        <w:t xml:space="preserve"> </w:t>
      </w:r>
      <w:r w:rsidRPr="00E26817">
        <w:rPr>
          <w:rFonts w:ascii="Arial" w:hAnsi="Arial" w:cs="Arial"/>
          <w:sz w:val="20"/>
          <w:szCs w:val="20"/>
        </w:rPr>
        <w:t>Paragraph 5.</w:t>
      </w:r>
      <w:r>
        <w:t xml:space="preserve"> </w:t>
      </w:r>
    </w:p>
  </w:footnote>
  <w:footnote w:id="105">
    <w:p w14:paraId="35504A5C" w14:textId="77777777" w:rsidR="005F4E29" w:rsidRPr="001B5D3A" w:rsidRDefault="005F4E29" w:rsidP="00D46B3E">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Notwithstanding that one might respond to this provision by saying, ‘yes of course we would’, there have been several examples of the reluctance of countries to return material: see Patrick O’Keefe, ‘</w:t>
      </w:r>
      <w:r w:rsidRPr="001B5D3A">
        <w:rPr>
          <w:rStyle w:val="FootnoteReference"/>
          <w:rFonts w:ascii="Arial" w:hAnsi="Arial" w:cs="Arial"/>
          <w:i/>
          <w:sz w:val="20"/>
          <w:szCs w:val="20"/>
          <w:vertAlign w:val="baseline"/>
        </w:rPr>
        <w:t>The 1st Protocol to the Hague Convention fifty years on</w:t>
      </w:r>
      <w:r w:rsidRPr="001B5D3A">
        <w:rPr>
          <w:rStyle w:val="FootnoteReference"/>
          <w:rFonts w:ascii="Arial" w:hAnsi="Arial" w:cs="Arial"/>
          <w:sz w:val="20"/>
          <w:szCs w:val="20"/>
          <w:vertAlign w:val="baseline"/>
        </w:rPr>
        <w:t>,’ Art Antiquity and Law, 2004:9 pp111</w:t>
      </w:r>
      <w:r w:rsidRPr="001B5D3A">
        <w:rPr>
          <w:rStyle w:val="FootnoteReference"/>
          <w:rFonts w:ascii="Arial" w:hAnsi="Arial" w:cs="Arial"/>
          <w:sz w:val="20"/>
          <w:szCs w:val="20"/>
          <w:vertAlign w:val="baseline"/>
        </w:rPr>
        <w:noBreakHyphen/>
        <w:t>112.</w:t>
      </w:r>
    </w:p>
  </w:footnote>
  <w:footnote w:id="106">
    <w:p w14:paraId="64416C9C" w14:textId="77777777" w:rsidR="005F4E29" w:rsidRPr="001B5D3A" w:rsidRDefault="005F4E29" w:rsidP="00D46B3E">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Paragraph 1. It is silent as to how this is to be achieved.</w:t>
      </w:r>
    </w:p>
  </w:footnote>
  <w:footnote w:id="107">
    <w:p w14:paraId="3CF0778F" w14:textId="09D3F389" w:rsidR="005F4E29" w:rsidRPr="00273139" w:rsidRDefault="005F4E29" w:rsidP="00D46B3E">
      <w:pPr>
        <w:pStyle w:val="FootnoteText"/>
        <w:ind w:left="284" w:hanging="284"/>
        <w:rPr>
          <w:rStyle w:val="FootnoteReference"/>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Article 42 of the 1907 Hague Regulat</w:t>
      </w:r>
      <w:r>
        <w:rPr>
          <w:rStyle w:val="FootnoteReference"/>
          <w:rFonts w:ascii="Arial" w:hAnsi="Arial" w:cs="Arial"/>
          <w:sz w:val="20"/>
          <w:szCs w:val="20"/>
          <w:vertAlign w:val="baseline"/>
        </w:rPr>
        <w:t>ions: A ‘</w:t>
      </w:r>
      <w:r w:rsidRPr="001B5D3A">
        <w:rPr>
          <w:rStyle w:val="FootnoteReference"/>
          <w:rFonts w:ascii="Arial" w:hAnsi="Arial" w:cs="Arial"/>
          <w:sz w:val="20"/>
          <w:szCs w:val="20"/>
          <w:vertAlign w:val="baseline"/>
        </w:rPr>
        <w:t>territory is considered occupied when it is actually placed under the authority of the hostile army. The occupation extends only to the territory where such authority has been established and can be exercised.</w:t>
      </w:r>
      <w:r>
        <w:rPr>
          <w:rStyle w:val="FootnoteReference"/>
          <w:rFonts w:ascii="Arial" w:hAnsi="Arial" w:cs="Arial"/>
          <w:sz w:val="20"/>
          <w:szCs w:val="20"/>
          <w:vertAlign w:val="baseline"/>
        </w:rPr>
        <w:t>’</w:t>
      </w:r>
    </w:p>
  </w:footnote>
  <w:footnote w:id="108">
    <w:p w14:paraId="70278F73" w14:textId="16A7DE12" w:rsidR="005F4E29" w:rsidRPr="001B5D3A" w:rsidRDefault="005F4E29" w:rsidP="00B51AD0">
      <w:pPr>
        <w:pStyle w:val="FootnoteText"/>
        <w:ind w:left="142" w:hanging="142"/>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Pr>
          <w:rStyle w:val="FootnoteReference"/>
          <w:rFonts w:ascii="Arial" w:hAnsi="Arial" w:cs="Arial"/>
          <w:sz w:val="20"/>
          <w:szCs w:val="20"/>
          <w:vertAlign w:val="baseline"/>
        </w:rPr>
        <w:t xml:space="preserve"> See for example, New Zealand’s </w:t>
      </w:r>
      <w:r w:rsidRPr="007955C2">
        <w:rPr>
          <w:rStyle w:val="FootnoteReference"/>
          <w:rFonts w:ascii="Arial" w:hAnsi="Arial" w:cs="Arial"/>
          <w:i/>
          <w:sz w:val="20"/>
          <w:szCs w:val="20"/>
          <w:vertAlign w:val="baseline"/>
        </w:rPr>
        <w:t>Cultural Property</w:t>
      </w:r>
      <w:r>
        <w:rPr>
          <w:rFonts w:ascii="Arial" w:hAnsi="Arial" w:cs="Arial"/>
          <w:i/>
          <w:sz w:val="20"/>
          <w:szCs w:val="20"/>
        </w:rPr>
        <w:t xml:space="preserve"> (Protection</w:t>
      </w:r>
      <w:r w:rsidRPr="007955C2">
        <w:rPr>
          <w:rStyle w:val="FootnoteReference"/>
          <w:rFonts w:ascii="Arial" w:hAnsi="Arial" w:cs="Arial"/>
          <w:i/>
          <w:sz w:val="20"/>
          <w:szCs w:val="20"/>
          <w:vertAlign w:val="baseline"/>
        </w:rPr>
        <w:t xml:space="preserve"> in Armed Conflict</w:t>
      </w:r>
      <w:r>
        <w:rPr>
          <w:rFonts w:ascii="Arial" w:hAnsi="Arial" w:cs="Arial"/>
          <w:i/>
          <w:sz w:val="20"/>
          <w:szCs w:val="20"/>
        </w:rPr>
        <w:t>)</w:t>
      </w:r>
      <w:r w:rsidRPr="007955C2">
        <w:rPr>
          <w:rStyle w:val="FootnoteReference"/>
          <w:rFonts w:ascii="Arial" w:hAnsi="Arial" w:cs="Arial"/>
          <w:i/>
          <w:sz w:val="20"/>
          <w:szCs w:val="20"/>
          <w:vertAlign w:val="baseline"/>
        </w:rPr>
        <w:t xml:space="preserve"> Act 2012</w:t>
      </w:r>
      <w:r>
        <w:rPr>
          <w:rStyle w:val="FootnoteReference"/>
          <w:rFonts w:ascii="Arial" w:hAnsi="Arial" w:cs="Arial"/>
          <w:sz w:val="20"/>
          <w:szCs w:val="20"/>
          <w:vertAlign w:val="baseline"/>
        </w:rPr>
        <w:t>,</w:t>
      </w:r>
      <w:r w:rsidRPr="001B5D3A">
        <w:rPr>
          <w:rStyle w:val="FootnoteReference"/>
          <w:rFonts w:ascii="Arial" w:hAnsi="Arial" w:cs="Arial"/>
          <w:sz w:val="20"/>
          <w:szCs w:val="20"/>
          <w:vertAlign w:val="baseline"/>
        </w:rPr>
        <w:t>s.15(3)</w:t>
      </w:r>
      <w:r w:rsidRPr="001B5D3A">
        <w:rPr>
          <w:rFonts w:ascii="Arial" w:hAnsi="Arial" w:cs="Arial"/>
          <w:sz w:val="20"/>
          <w:szCs w:val="20"/>
        </w:rPr>
        <w:t>.</w:t>
      </w:r>
    </w:p>
  </w:footnote>
  <w:footnote w:id="109">
    <w:p w14:paraId="38B71B33" w14:textId="5D9125F9" w:rsidR="005F4E29" w:rsidRPr="00273139" w:rsidRDefault="005F4E29" w:rsidP="00D46B3E">
      <w:pPr>
        <w:pStyle w:val="FootnoteText"/>
        <w:ind w:left="284" w:hanging="284"/>
        <w:rPr>
          <w:rStyle w:val="FootnoteReference"/>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rPr>
        <w:t xml:space="preserve"> </w:t>
      </w:r>
      <w:r w:rsidRPr="001B5D3A">
        <w:rPr>
          <w:rStyle w:val="FootnoteReference"/>
          <w:rFonts w:ascii="Arial" w:hAnsi="Arial" w:cs="Arial"/>
          <w:sz w:val="20"/>
          <w:szCs w:val="20"/>
          <w:vertAlign w:val="baseline"/>
        </w:rPr>
        <w:t>Meeting of Minister of Foreign Affairs,</w:t>
      </w:r>
      <w:r>
        <w:rPr>
          <w:rFonts w:ascii="Arial" w:hAnsi="Arial" w:cs="Arial"/>
          <w:sz w:val="20"/>
          <w:szCs w:val="20"/>
        </w:rPr>
        <w:t xml:space="preserve"> the Hon</w:t>
      </w:r>
      <w:r w:rsidRPr="001B5D3A">
        <w:rPr>
          <w:rStyle w:val="FootnoteReference"/>
          <w:rFonts w:ascii="Arial" w:hAnsi="Arial" w:cs="Arial"/>
          <w:sz w:val="20"/>
          <w:szCs w:val="20"/>
          <w:vertAlign w:val="baseline"/>
        </w:rPr>
        <w:t xml:space="preserve"> Julie Bishop </w:t>
      </w:r>
      <w:r>
        <w:rPr>
          <w:rFonts w:ascii="Arial" w:hAnsi="Arial" w:cs="Arial"/>
          <w:sz w:val="20"/>
          <w:szCs w:val="20"/>
        </w:rPr>
        <w:t xml:space="preserve">MP </w:t>
      </w:r>
      <w:r w:rsidRPr="001B5D3A">
        <w:rPr>
          <w:rStyle w:val="FootnoteReference"/>
          <w:rFonts w:ascii="Arial" w:hAnsi="Arial" w:cs="Arial"/>
          <w:sz w:val="20"/>
          <w:szCs w:val="20"/>
          <w:vertAlign w:val="baseline"/>
        </w:rPr>
        <w:t xml:space="preserve">with the Director-General of UNESCO Irina </w:t>
      </w:r>
      <w:proofErr w:type="spellStart"/>
      <w:r w:rsidRPr="001B5D3A">
        <w:rPr>
          <w:rStyle w:val="FootnoteReference"/>
          <w:rFonts w:ascii="Arial" w:hAnsi="Arial" w:cs="Arial"/>
          <w:sz w:val="20"/>
          <w:szCs w:val="20"/>
          <w:vertAlign w:val="baseline"/>
        </w:rPr>
        <w:t>Bo</w:t>
      </w:r>
      <w:r>
        <w:rPr>
          <w:rStyle w:val="FootnoteReference"/>
          <w:rFonts w:ascii="Arial" w:hAnsi="Arial" w:cs="Arial"/>
          <w:sz w:val="20"/>
          <w:szCs w:val="20"/>
          <w:vertAlign w:val="baseline"/>
        </w:rPr>
        <w:t>kova</w:t>
      </w:r>
      <w:proofErr w:type="spellEnd"/>
      <w:r>
        <w:rPr>
          <w:rStyle w:val="FootnoteReference"/>
          <w:rFonts w:ascii="Arial" w:hAnsi="Arial" w:cs="Arial"/>
          <w:sz w:val="20"/>
          <w:szCs w:val="20"/>
          <w:vertAlign w:val="baseline"/>
        </w:rPr>
        <w:t xml:space="preserve"> on 20th April 2015: </w:t>
      </w:r>
      <w:r w:rsidRPr="001B5D3A">
        <w:rPr>
          <w:rStyle w:val="FootnoteReference"/>
          <w:rFonts w:ascii="Arial" w:hAnsi="Arial" w:cs="Arial"/>
          <w:sz w:val="20"/>
          <w:szCs w:val="20"/>
          <w:vertAlign w:val="baseline"/>
        </w:rPr>
        <w:t>www.unesco.org/new/en/media-services</w:t>
      </w:r>
    </w:p>
  </w:footnote>
  <w:footnote w:id="110">
    <w:p w14:paraId="639B4712" w14:textId="28224C4D" w:rsidR="005F4E29" w:rsidRPr="001B5D3A" w:rsidRDefault="005F4E29" w:rsidP="001A20CD">
      <w:pPr>
        <w:pStyle w:val="FootnoteText"/>
        <w:rPr>
          <w:rFonts w:ascii="Arial" w:hAnsi="Arial" w:cs="Arial"/>
          <w:sz w:val="20"/>
          <w:szCs w:val="20"/>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State Parties listed at &lt; www.unesco.org/&gt;.</w:t>
      </w:r>
      <w:r w:rsidRPr="001B5D3A">
        <w:rPr>
          <w:rFonts w:ascii="Arial" w:hAnsi="Arial" w:cs="Arial"/>
          <w:sz w:val="20"/>
          <w:szCs w:val="20"/>
        </w:rPr>
        <w:t xml:space="preserve"> </w:t>
      </w:r>
      <w:r w:rsidRPr="001B5D3A">
        <w:rPr>
          <w:rStyle w:val="FootnoteReference"/>
          <w:rFonts w:ascii="Arial" w:hAnsi="Arial" w:cs="Arial"/>
          <w:sz w:val="20"/>
          <w:szCs w:val="20"/>
          <w:vertAlign w:val="baseline"/>
        </w:rPr>
        <w:t>As at 24 September 2015</w:t>
      </w:r>
      <w:r>
        <w:rPr>
          <w:rFonts w:ascii="Arial" w:hAnsi="Arial" w:cs="Arial"/>
          <w:sz w:val="20"/>
          <w:szCs w:val="20"/>
        </w:rPr>
        <w:t>.</w:t>
      </w:r>
    </w:p>
  </w:footnote>
  <w:footnote w:id="111">
    <w:p w14:paraId="57026BAF" w14:textId="77777777" w:rsidR="005F4E29" w:rsidRPr="001B5D3A" w:rsidRDefault="005F4E29" w:rsidP="00D46B3E">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Article 15 of the 2nd Protocol</w:t>
      </w:r>
      <w:r w:rsidRPr="001B5D3A">
        <w:rPr>
          <w:rFonts w:ascii="Arial" w:hAnsi="Arial" w:cs="Arial"/>
          <w:sz w:val="20"/>
          <w:szCs w:val="20"/>
        </w:rPr>
        <w:t>.</w:t>
      </w:r>
    </w:p>
  </w:footnote>
  <w:footnote w:id="112">
    <w:p w14:paraId="12E9F2DE" w14:textId="77777777" w:rsidR="005F4E29" w:rsidRPr="00273139" w:rsidRDefault="005F4E29" w:rsidP="00D46B3E">
      <w:pPr>
        <w:pStyle w:val="FootnoteText"/>
        <w:ind w:left="284" w:hanging="284"/>
        <w:rPr>
          <w:rStyle w:val="FootnoteReference"/>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Article 21 of the 2nd Protocol</w:t>
      </w:r>
      <w:r w:rsidRPr="001B5D3A">
        <w:rPr>
          <w:rFonts w:ascii="Arial" w:hAnsi="Arial" w:cs="Arial"/>
          <w:sz w:val="20"/>
          <w:szCs w:val="20"/>
        </w:rPr>
        <w:t>.</w:t>
      </w:r>
    </w:p>
  </w:footnote>
  <w:footnote w:id="113">
    <w:p w14:paraId="3416DD68" w14:textId="77777777" w:rsidR="005F4E29" w:rsidRPr="001B5D3A" w:rsidRDefault="005F4E29" w:rsidP="00D46B3E">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rPr>
        <w:t xml:space="preserve"> </w:t>
      </w:r>
      <w:r w:rsidRPr="001B5D3A">
        <w:rPr>
          <w:rStyle w:val="FootnoteReference"/>
          <w:rFonts w:ascii="Arial" w:hAnsi="Arial" w:cs="Arial"/>
          <w:sz w:val="20"/>
          <w:szCs w:val="20"/>
          <w:vertAlign w:val="baseline"/>
        </w:rPr>
        <w:t>This kind of jurisdiction closely resembles ‘extended geographical jurisdiction – category B’ under section 15.2 of the Criminal Code.</w:t>
      </w:r>
    </w:p>
  </w:footnote>
  <w:footnote w:id="114">
    <w:p w14:paraId="5349A8E3" w14:textId="13531A6F" w:rsidR="005F4E29" w:rsidRPr="00273139" w:rsidRDefault="005F4E29" w:rsidP="00332261">
      <w:pPr>
        <w:pStyle w:val="FootnoteText"/>
        <w:ind w:left="284" w:hanging="284"/>
        <w:rPr>
          <w:rStyle w:val="FootnoteReference"/>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Partners that have ratified the 2nd Protocol include Canada, Germany, New Zealand and Japan. The United States and the United Kingdom have not ratified it but the latter has announced its intention to ratify the Hague Convention and accede to both Protocols. </w:t>
      </w:r>
    </w:p>
  </w:footnote>
  <w:footnote w:id="115">
    <w:p w14:paraId="546482DE" w14:textId="60CF7D68" w:rsidR="005F4E29" w:rsidRDefault="005F4E29">
      <w:pPr>
        <w:pStyle w:val="FootnoteText"/>
      </w:pPr>
      <w:r>
        <w:rPr>
          <w:rStyle w:val="FootnoteReference"/>
        </w:rPr>
        <w:footnoteRef/>
      </w:r>
      <w:r>
        <w:t xml:space="preserve"> </w:t>
      </w:r>
      <w:r w:rsidRPr="0002102C">
        <w:rPr>
          <w:rStyle w:val="FootnoteReference"/>
          <w:rFonts w:ascii="Arial" w:hAnsi="Arial" w:cs="Arial"/>
          <w:sz w:val="20"/>
          <w:szCs w:val="20"/>
          <w:vertAlign w:val="baseline"/>
        </w:rPr>
        <w:t>Offences apply no matter the nationality of the alleged offender or where the offence is alleged to have been committed.</w:t>
      </w:r>
      <w:r>
        <w:t xml:space="preserve"> </w:t>
      </w:r>
    </w:p>
  </w:footnote>
  <w:footnote w:id="116">
    <w:p w14:paraId="0E68CA94" w14:textId="711FD70E" w:rsidR="005F4E29" w:rsidRPr="001B5D3A" w:rsidRDefault="005F4E29" w:rsidP="001A20CD">
      <w:pPr>
        <w:pStyle w:val="FootnoteText"/>
        <w:rPr>
          <w:rFonts w:ascii="Arial" w:hAnsi="Arial" w:cs="Arial"/>
          <w:sz w:val="20"/>
          <w:szCs w:val="20"/>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w:t>
      </w:r>
      <w:r>
        <w:rPr>
          <w:rStyle w:val="FootnoteReference"/>
          <w:rFonts w:ascii="Arial" w:hAnsi="Arial" w:cs="Arial"/>
          <w:sz w:val="20"/>
          <w:szCs w:val="20"/>
          <w:vertAlign w:val="baseline"/>
        </w:rPr>
        <w:t>State Parties listed at &lt;</w:t>
      </w:r>
      <w:r w:rsidRPr="001B5D3A">
        <w:rPr>
          <w:rStyle w:val="FootnoteReference"/>
          <w:rFonts w:ascii="Arial" w:hAnsi="Arial" w:cs="Arial"/>
          <w:sz w:val="20"/>
          <w:szCs w:val="20"/>
          <w:vertAlign w:val="baseline"/>
        </w:rPr>
        <w:t>www.unesco.org/&gt;.</w:t>
      </w:r>
      <w:r w:rsidRPr="001B5D3A">
        <w:rPr>
          <w:rFonts w:ascii="Arial" w:hAnsi="Arial" w:cs="Arial"/>
          <w:sz w:val="20"/>
          <w:szCs w:val="20"/>
        </w:rPr>
        <w:t xml:space="preserve"> </w:t>
      </w:r>
      <w:r w:rsidRPr="001B5D3A">
        <w:rPr>
          <w:rStyle w:val="FootnoteReference"/>
          <w:rFonts w:ascii="Arial" w:hAnsi="Arial" w:cs="Arial"/>
          <w:sz w:val="20"/>
          <w:szCs w:val="20"/>
          <w:vertAlign w:val="baseline"/>
        </w:rPr>
        <w:t>As at 24 September 2015</w:t>
      </w:r>
      <w:r>
        <w:rPr>
          <w:rFonts w:ascii="Arial" w:hAnsi="Arial" w:cs="Arial"/>
          <w:sz w:val="20"/>
          <w:szCs w:val="20"/>
        </w:rPr>
        <w:t>.</w:t>
      </w:r>
    </w:p>
  </w:footnote>
  <w:footnote w:id="117">
    <w:p w14:paraId="65305586" w14:textId="77777777" w:rsidR="005F4E29" w:rsidRPr="001B5D3A" w:rsidRDefault="005F4E29" w:rsidP="001A20CD">
      <w:pPr>
        <w:pStyle w:val="FootnoteText"/>
        <w:rPr>
          <w:rStyle w:val="FootnoteReference"/>
          <w:rFonts w:ascii="Arial" w:hAnsi="Arial" w:cs="Arial"/>
          <w:sz w:val="20"/>
          <w:szCs w:val="20"/>
          <w:vertAlign w:val="baseline"/>
        </w:rPr>
      </w:pPr>
      <w:r w:rsidRPr="001900D0">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Article 5 Paragraph 3</w:t>
      </w:r>
    </w:p>
    <w:p w14:paraId="0A4DD3A5" w14:textId="77777777" w:rsidR="005F4E29" w:rsidRPr="00273139" w:rsidRDefault="005F4E29" w:rsidP="001A20CD">
      <w:pPr>
        <w:pStyle w:val="FootnoteText"/>
        <w:rPr>
          <w:rStyle w:val="FootnoteReference"/>
          <w:sz w:val="20"/>
          <w:szCs w:val="20"/>
          <w:vertAlign w:val="baseline"/>
        </w:rPr>
      </w:pPr>
    </w:p>
  </w:footnote>
  <w:footnote w:id="118">
    <w:p w14:paraId="66BD0BE0" w14:textId="741AA254" w:rsidR="005F4E29" w:rsidRPr="001B5D3A" w:rsidRDefault="005F4E29" w:rsidP="001A20CD">
      <w:pPr>
        <w:pStyle w:val="FootnoteText"/>
        <w:rPr>
          <w:rFonts w:ascii="Arial" w:hAnsi="Arial" w:cs="Arial"/>
          <w:sz w:val="20"/>
          <w:szCs w:val="20"/>
        </w:rPr>
      </w:pPr>
      <w:r w:rsidRPr="001B5D3A">
        <w:rPr>
          <w:rStyle w:val="FootnoteReference"/>
          <w:rFonts w:ascii="Arial" w:hAnsi="Arial" w:cs="Arial"/>
          <w:sz w:val="20"/>
          <w:szCs w:val="20"/>
        </w:rPr>
        <w:footnoteRef/>
      </w:r>
      <w:r w:rsidRPr="001B5D3A">
        <w:rPr>
          <w:rFonts w:ascii="Arial" w:hAnsi="Arial" w:cs="Arial"/>
          <w:sz w:val="20"/>
          <w:szCs w:val="20"/>
        </w:rPr>
        <w:t xml:space="preserve"> </w:t>
      </w:r>
      <w:r>
        <w:rPr>
          <w:rStyle w:val="FootnoteReference"/>
          <w:rFonts w:ascii="Arial" w:hAnsi="Arial" w:cs="Arial"/>
          <w:sz w:val="20"/>
          <w:szCs w:val="20"/>
          <w:vertAlign w:val="baseline"/>
        </w:rPr>
        <w:t>State Parties listed at &lt;</w:t>
      </w:r>
      <w:r w:rsidRPr="001B5D3A">
        <w:rPr>
          <w:rStyle w:val="FootnoteReference"/>
          <w:rFonts w:ascii="Arial" w:hAnsi="Arial" w:cs="Arial"/>
          <w:sz w:val="20"/>
          <w:szCs w:val="20"/>
          <w:vertAlign w:val="baseline"/>
        </w:rPr>
        <w:t>www.unesco.org/&gt;.</w:t>
      </w:r>
      <w:r w:rsidRPr="001B5D3A">
        <w:rPr>
          <w:rFonts w:ascii="Arial" w:hAnsi="Arial" w:cs="Arial"/>
          <w:sz w:val="20"/>
          <w:szCs w:val="20"/>
        </w:rPr>
        <w:t xml:space="preserve"> As at 24 September 2015</w:t>
      </w:r>
      <w:r>
        <w:rPr>
          <w:rFonts w:ascii="Arial" w:hAnsi="Arial" w:cs="Arial"/>
          <w:sz w:val="20"/>
          <w:szCs w:val="20"/>
        </w:rPr>
        <w:t>.</w:t>
      </w:r>
    </w:p>
  </w:footnote>
  <w:footnote w:id="119">
    <w:p w14:paraId="7D7D6D48" w14:textId="77777777" w:rsidR="005F4E29" w:rsidRPr="001B5D3A" w:rsidRDefault="005F4E29" w:rsidP="00B51AD0">
      <w:pPr>
        <w:pStyle w:val="FootnoteText"/>
        <w:ind w:left="142" w:hanging="142"/>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The torts of </w:t>
      </w:r>
      <w:proofErr w:type="spellStart"/>
      <w:r w:rsidRPr="001B5D3A">
        <w:rPr>
          <w:rStyle w:val="FootnoteReference"/>
          <w:rFonts w:ascii="Arial" w:hAnsi="Arial" w:cs="Arial"/>
          <w:sz w:val="20"/>
          <w:szCs w:val="20"/>
          <w:vertAlign w:val="baseline"/>
        </w:rPr>
        <w:t>detinue</w:t>
      </w:r>
      <w:proofErr w:type="spellEnd"/>
      <w:r w:rsidRPr="001B5D3A">
        <w:rPr>
          <w:rStyle w:val="FootnoteReference"/>
          <w:rFonts w:ascii="Arial" w:hAnsi="Arial" w:cs="Arial"/>
          <w:sz w:val="20"/>
          <w:szCs w:val="20"/>
          <w:vertAlign w:val="baseline"/>
        </w:rPr>
        <w:t xml:space="preserve"> and conversion</w:t>
      </w:r>
      <w:r w:rsidRPr="001B5D3A">
        <w:rPr>
          <w:rFonts w:ascii="Arial" w:hAnsi="Arial" w:cs="Arial"/>
          <w:sz w:val="20"/>
          <w:szCs w:val="20"/>
        </w:rPr>
        <w:t>.</w:t>
      </w:r>
    </w:p>
  </w:footnote>
  <w:footnote w:id="120">
    <w:p w14:paraId="4FD66C59" w14:textId="726D149D" w:rsidR="005F4E29" w:rsidRPr="00273139" w:rsidRDefault="005F4E29" w:rsidP="00D46B3E">
      <w:pPr>
        <w:pStyle w:val="FootnoteText"/>
        <w:ind w:left="284" w:hanging="284"/>
        <w:rPr>
          <w:rStyle w:val="FootnoteReference"/>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UNIDROIT </w:t>
      </w:r>
      <w:r w:rsidRPr="0002102C">
        <w:rPr>
          <w:rStyle w:val="FootnoteReference"/>
          <w:rFonts w:ascii="Arial" w:hAnsi="Arial" w:cs="Arial"/>
          <w:i/>
          <w:sz w:val="20"/>
          <w:szCs w:val="20"/>
          <w:vertAlign w:val="baseline"/>
        </w:rPr>
        <w:t>Convention on Stolen or Illegally Exported Cultural Objects</w:t>
      </w:r>
      <w:r>
        <w:rPr>
          <w:rFonts w:ascii="Arial" w:hAnsi="Arial" w:cs="Arial"/>
          <w:sz w:val="20"/>
          <w:szCs w:val="20"/>
        </w:rPr>
        <w:t xml:space="preserve"> 1995</w:t>
      </w:r>
      <w:r w:rsidRPr="001B5D3A">
        <w:rPr>
          <w:rStyle w:val="FootnoteReference"/>
          <w:rFonts w:ascii="Arial" w:hAnsi="Arial" w:cs="Arial"/>
          <w:sz w:val="20"/>
          <w:szCs w:val="20"/>
          <w:vertAlign w:val="baseline"/>
        </w:rPr>
        <w:t xml:space="preserve">: Explanatory Report, </w:t>
      </w:r>
      <w:proofErr w:type="spellStart"/>
      <w:r w:rsidRPr="001B5D3A">
        <w:rPr>
          <w:rStyle w:val="FootnoteReference"/>
          <w:rFonts w:ascii="Arial" w:hAnsi="Arial" w:cs="Arial"/>
          <w:sz w:val="20"/>
          <w:szCs w:val="20"/>
          <w:vertAlign w:val="baseline"/>
        </w:rPr>
        <w:t>Unif.L.Rev</w:t>
      </w:r>
      <w:proofErr w:type="spellEnd"/>
      <w:r w:rsidRPr="001B5D3A">
        <w:rPr>
          <w:rStyle w:val="FootnoteReference"/>
          <w:rFonts w:ascii="Arial" w:hAnsi="Arial" w:cs="Arial"/>
          <w:sz w:val="20"/>
          <w:szCs w:val="20"/>
          <w:vertAlign w:val="baseline"/>
        </w:rPr>
        <w:t>. 2001-3, p.500</w:t>
      </w:r>
      <w:r w:rsidRPr="001B5D3A">
        <w:rPr>
          <w:rFonts w:ascii="Arial" w:hAnsi="Arial" w:cs="Arial"/>
          <w:sz w:val="20"/>
          <w:szCs w:val="20"/>
        </w:rPr>
        <w:t>.</w:t>
      </w:r>
    </w:p>
  </w:footnote>
  <w:footnote w:id="121">
    <w:p w14:paraId="700782A6" w14:textId="77777777" w:rsidR="005F4E29" w:rsidRPr="001B5D3A" w:rsidRDefault="005F4E29" w:rsidP="00D46B3E">
      <w:pPr>
        <w:pStyle w:val="FootnoteText"/>
        <w:ind w:left="284" w:hanging="284"/>
        <w:rPr>
          <w:rFonts w:ascii="Arial" w:hAnsi="Arial" w:cs="Arial"/>
          <w:sz w:val="20"/>
          <w:szCs w:val="20"/>
        </w:rPr>
      </w:pPr>
      <w:r w:rsidRPr="001900D0">
        <w:rPr>
          <w:rStyle w:val="FootnoteReference"/>
          <w:rFonts w:ascii="Arial" w:hAnsi="Arial" w:cs="Arial"/>
          <w:sz w:val="20"/>
          <w:szCs w:val="20"/>
        </w:rPr>
        <w:footnoteRef/>
      </w:r>
      <w:r w:rsidRPr="001B5D3A">
        <w:rPr>
          <w:rFonts w:ascii="Arial" w:hAnsi="Arial" w:cs="Arial"/>
          <w:sz w:val="20"/>
          <w:szCs w:val="20"/>
        </w:rPr>
        <w:t xml:space="preserve"> For example a possible new legislative framework could be called the Protection of Cultural Material in time of Armed Conflict Act (PCMAC Act).</w:t>
      </w:r>
    </w:p>
  </w:footnote>
  <w:footnote w:id="122">
    <w:p w14:paraId="39E2C757" w14:textId="12C9556D" w:rsidR="005F4E29" w:rsidRPr="00273139" w:rsidRDefault="005F4E29" w:rsidP="004D1F48">
      <w:pPr>
        <w:pStyle w:val="FootnoteText"/>
        <w:rPr>
          <w:sz w:val="20"/>
          <w:szCs w:val="20"/>
        </w:rPr>
      </w:pPr>
      <w:r w:rsidRPr="001B5D3A">
        <w:rPr>
          <w:rStyle w:val="FootnoteReference"/>
          <w:rFonts w:ascii="Arial" w:hAnsi="Arial" w:cs="Arial"/>
          <w:sz w:val="20"/>
          <w:szCs w:val="20"/>
        </w:rPr>
        <w:footnoteRef/>
      </w:r>
      <w:r>
        <w:rPr>
          <w:rFonts w:ascii="Arial" w:hAnsi="Arial" w:cs="Arial"/>
          <w:sz w:val="20"/>
          <w:szCs w:val="20"/>
        </w:rPr>
        <w:t xml:space="preserve"> Data from responses to q</w:t>
      </w:r>
      <w:r w:rsidRPr="001B5D3A">
        <w:rPr>
          <w:rFonts w:ascii="Arial" w:hAnsi="Arial" w:cs="Arial"/>
          <w:sz w:val="20"/>
          <w:szCs w:val="20"/>
        </w:rPr>
        <w:t>uestion 27 of the survey. Total responses n=93.</w:t>
      </w:r>
    </w:p>
  </w:footnote>
  <w:footnote w:id="123">
    <w:p w14:paraId="11DD0E9F" w14:textId="77777777" w:rsidR="005F4E29" w:rsidRPr="001B5D3A" w:rsidRDefault="005F4E29" w:rsidP="00D46B3E">
      <w:pPr>
        <w:pStyle w:val="FootnoteText"/>
        <w:ind w:left="284" w:hanging="284"/>
        <w:rPr>
          <w:rStyle w:val="FootnoteReference"/>
          <w:rFonts w:ascii="Arial" w:hAnsi="Arial" w:cs="Arial"/>
          <w:sz w:val="20"/>
          <w:szCs w:val="20"/>
          <w:vertAlign w:val="baseline"/>
        </w:rPr>
      </w:pPr>
      <w:r w:rsidRPr="001900D0">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Note the need for the exception where a country cannot be expected to know of the theft or looting of the cultural heritage material.</w:t>
      </w:r>
    </w:p>
  </w:footnote>
  <w:footnote w:id="124">
    <w:p w14:paraId="6886B55D" w14:textId="02D1C5EA" w:rsidR="005F4E29" w:rsidRPr="001B5D3A" w:rsidRDefault="005F4E29" w:rsidP="00D46B3E">
      <w:pPr>
        <w:pStyle w:val="List"/>
        <w:spacing w:after="0" w:line="240" w:lineRule="auto"/>
        <w:ind w:left="284" w:hanging="284"/>
        <w:rPr>
          <w:rFonts w:cs="Arial"/>
          <w:sz w:val="20"/>
          <w:szCs w:val="20"/>
        </w:rPr>
      </w:pPr>
      <w:r w:rsidRPr="001B5D3A">
        <w:rPr>
          <w:rStyle w:val="FootnoteReference"/>
          <w:rFonts w:cs="Arial"/>
          <w:sz w:val="20"/>
          <w:szCs w:val="20"/>
        </w:rPr>
        <w:footnoteRef/>
      </w:r>
      <w:r w:rsidRPr="001B5D3A">
        <w:rPr>
          <w:rFonts w:cs="Arial"/>
          <w:sz w:val="20"/>
          <w:szCs w:val="20"/>
        </w:rPr>
        <w:t xml:space="preserve"> In drafting, this definition can explicitly exclude material that is legal under customary international law to remove from a state during armed conflict (for example, captured military hardware).</w:t>
      </w:r>
      <w:r>
        <w:rPr>
          <w:rFonts w:cs="Arial"/>
          <w:sz w:val="20"/>
          <w:szCs w:val="20"/>
        </w:rPr>
        <w:t xml:space="preserve"> </w:t>
      </w:r>
    </w:p>
  </w:footnote>
  <w:footnote w:id="125">
    <w:p w14:paraId="12E89531" w14:textId="5CBCA635" w:rsidR="005F4E29" w:rsidRPr="001B5D3A" w:rsidRDefault="005F4E29" w:rsidP="003978AD">
      <w:pPr>
        <w:pStyle w:val="FootnoteText"/>
        <w:ind w:left="284" w:hanging="284"/>
        <w:rPr>
          <w:rStyle w:val="FootnoteReference"/>
          <w:rFonts w:ascii="Arial" w:hAnsi="Arial" w:cs="Arial"/>
          <w:sz w:val="20"/>
          <w:szCs w:val="20"/>
          <w:vertAlign w:val="baseline"/>
        </w:rPr>
      </w:pPr>
      <w:r w:rsidRPr="001900D0">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Article 7(b)(ii). Acceptance by Australia was in 1989.</w:t>
      </w:r>
    </w:p>
  </w:footnote>
  <w:footnote w:id="126">
    <w:p w14:paraId="7FB03B8F" w14:textId="77777777" w:rsidR="005F4E29" w:rsidRPr="001B5D3A" w:rsidRDefault="005F4E29" w:rsidP="003978AD">
      <w:pPr>
        <w:pStyle w:val="FootnoteText"/>
        <w:ind w:left="284" w:hanging="284"/>
        <w:rPr>
          <w:rStyle w:val="FootnoteReference"/>
          <w:rFonts w:ascii="Arial" w:hAnsi="Arial" w:cs="Arial"/>
          <w:sz w:val="20"/>
          <w:szCs w:val="20"/>
          <w:vertAlign w:val="baseline"/>
        </w:rPr>
      </w:pPr>
      <w:r w:rsidRPr="001900D0">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See the Ley Report, pp127-130 for a summary of the options.</w:t>
      </w:r>
      <w:r w:rsidRPr="001B5D3A">
        <w:rPr>
          <w:rFonts w:ascii="Arial" w:hAnsi="Arial" w:cs="Arial"/>
          <w:sz w:val="20"/>
          <w:szCs w:val="20"/>
        </w:rPr>
        <w:t xml:space="preserve"> </w:t>
      </w:r>
    </w:p>
  </w:footnote>
  <w:footnote w:id="127">
    <w:p w14:paraId="50B22184" w14:textId="77777777" w:rsidR="005F4E29" w:rsidRPr="00273139" w:rsidRDefault="005F4E29" w:rsidP="0002102C">
      <w:pPr>
        <w:pStyle w:val="FootnoteText"/>
        <w:ind w:left="284" w:hanging="284"/>
        <w:rPr>
          <w:sz w:val="20"/>
          <w:szCs w:val="20"/>
          <w:lang w:val="en-US"/>
        </w:rPr>
      </w:pPr>
      <w:r w:rsidRPr="001900D0">
        <w:rPr>
          <w:rStyle w:val="FootnoteReference"/>
          <w:rFonts w:ascii="Arial" w:hAnsi="Arial" w:cs="Arial"/>
          <w:sz w:val="20"/>
          <w:szCs w:val="20"/>
        </w:rPr>
        <w:footnoteRef/>
      </w:r>
      <w:r w:rsidRPr="001900D0">
        <w:rPr>
          <w:rFonts w:ascii="Arial" w:hAnsi="Arial" w:cs="Arial"/>
          <w:sz w:val="20"/>
          <w:szCs w:val="20"/>
          <w:vertAlign w:val="superscript"/>
        </w:rPr>
        <w:t xml:space="preserve"> </w:t>
      </w:r>
      <w:r w:rsidRPr="001B5D3A">
        <w:rPr>
          <w:rStyle w:val="FootnoteReference"/>
          <w:rFonts w:ascii="Arial" w:hAnsi="Arial" w:cs="Arial"/>
          <w:sz w:val="20"/>
          <w:szCs w:val="20"/>
          <w:vertAlign w:val="baseline"/>
        </w:rPr>
        <w:t>Articles 3 and 5</w:t>
      </w:r>
      <w:r w:rsidRPr="001B5D3A">
        <w:rPr>
          <w:rFonts w:ascii="Arial" w:hAnsi="Arial" w:cs="Arial"/>
          <w:sz w:val="20"/>
          <w:szCs w:val="20"/>
        </w:rPr>
        <w:t>. The UNIDROIT model allows for two exceptions. Where the material is made by a member of an indigenous community for traditional or ritual use, the 3-year limit is maintained but the 50-year limit is not imposed. Where the material is stolen from an inventoried collection the 50-year period should either not apply or be increased to 75 years.</w:t>
      </w:r>
    </w:p>
  </w:footnote>
  <w:footnote w:id="128">
    <w:p w14:paraId="4EA50BEC" w14:textId="22C69F73" w:rsidR="005F4E29" w:rsidRPr="001B5D3A" w:rsidRDefault="005F4E29" w:rsidP="00AF054A">
      <w:pPr>
        <w:pStyle w:val="FootnoteText"/>
        <w:rPr>
          <w:rFonts w:ascii="Arial" w:hAnsi="Arial" w:cs="Arial"/>
          <w:sz w:val="20"/>
          <w:szCs w:val="20"/>
        </w:rPr>
      </w:pPr>
      <w:r w:rsidRPr="001B5D3A">
        <w:rPr>
          <w:rStyle w:val="FootnoteReference"/>
          <w:rFonts w:ascii="Arial" w:hAnsi="Arial" w:cs="Arial"/>
          <w:sz w:val="20"/>
          <w:szCs w:val="20"/>
        </w:rPr>
        <w:footnoteRef/>
      </w:r>
      <w:r w:rsidRPr="001B5D3A">
        <w:rPr>
          <w:rFonts w:ascii="Arial" w:hAnsi="Arial" w:cs="Arial"/>
          <w:sz w:val="20"/>
          <w:szCs w:val="20"/>
        </w:rPr>
        <w:t xml:space="preserve"> Data from responses to </w:t>
      </w:r>
      <w:r>
        <w:rPr>
          <w:rFonts w:ascii="Arial" w:hAnsi="Arial" w:cs="Arial"/>
          <w:sz w:val="20"/>
          <w:szCs w:val="20"/>
        </w:rPr>
        <w:t>q</w:t>
      </w:r>
      <w:r w:rsidRPr="001B5D3A">
        <w:rPr>
          <w:rFonts w:ascii="Arial" w:hAnsi="Arial" w:cs="Arial"/>
          <w:sz w:val="20"/>
          <w:szCs w:val="20"/>
        </w:rPr>
        <w:t>uestion 26 of the survey. Total responses n=94.</w:t>
      </w:r>
    </w:p>
  </w:footnote>
  <w:footnote w:id="129">
    <w:p w14:paraId="6A8A7A59" w14:textId="77777777" w:rsidR="005F4E29" w:rsidRPr="001B5D3A" w:rsidRDefault="005F4E29" w:rsidP="00D46B3E">
      <w:pPr>
        <w:pStyle w:val="FootnoteText"/>
        <w:ind w:left="284" w:hanging="284"/>
        <w:rPr>
          <w:rFonts w:ascii="Arial" w:hAnsi="Arial" w:cs="Arial"/>
          <w:sz w:val="20"/>
          <w:szCs w:val="20"/>
          <w:lang w:val="en-US"/>
        </w:rPr>
      </w:pPr>
      <w:r w:rsidRPr="001B5D3A">
        <w:rPr>
          <w:rStyle w:val="FootnoteReference"/>
          <w:rFonts w:ascii="Arial" w:hAnsi="Arial" w:cs="Arial"/>
          <w:sz w:val="20"/>
          <w:szCs w:val="20"/>
        </w:rPr>
        <w:footnoteRef/>
      </w:r>
      <w:r w:rsidRPr="001B5D3A">
        <w:rPr>
          <w:rFonts w:ascii="Arial" w:hAnsi="Arial" w:cs="Arial"/>
          <w:sz w:val="20"/>
          <w:szCs w:val="20"/>
        </w:rPr>
        <w:t xml:space="preserve"> </w:t>
      </w:r>
      <w:r w:rsidRPr="001B5D3A">
        <w:rPr>
          <w:rFonts w:ascii="Arial" w:hAnsi="Arial" w:cs="Arial"/>
          <w:sz w:val="20"/>
          <w:szCs w:val="20"/>
          <w:lang w:val="en-US"/>
        </w:rPr>
        <w:t>This evidentiary burden on the possessor is important because if the international trafficking in cultural property is to be stemmed, it is essential that those who acquire such material have an obligation to undertake rigorous due diligence prior to acquisition. If they have made that enquiry, they will have the necessary documentation to establish legal removal.</w:t>
      </w:r>
    </w:p>
  </w:footnote>
  <w:footnote w:id="130">
    <w:p w14:paraId="5D84A4F0" w14:textId="200D0660" w:rsidR="005F4E29" w:rsidRPr="001B5D3A" w:rsidRDefault="005F4E29" w:rsidP="00D46B3E">
      <w:pPr>
        <w:pStyle w:val="FootnoteText"/>
        <w:ind w:left="284" w:hanging="284"/>
        <w:rPr>
          <w:rStyle w:val="FootnoteReference"/>
          <w:rFonts w:ascii="Arial" w:hAnsi="Arial" w:cs="Arial"/>
          <w:sz w:val="20"/>
          <w:szCs w:val="20"/>
          <w:vertAlign w:val="baseline"/>
        </w:rPr>
      </w:pPr>
      <w:r w:rsidRPr="001900D0">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One of the great problems in bringing successful prosecutions is the difficulty of proving the exact country of origin where national boundaries cross-cultural regions (</w:t>
      </w:r>
      <w:proofErr w:type="spellStart"/>
      <w:r w:rsidRPr="001B5D3A">
        <w:rPr>
          <w:rStyle w:val="FootnoteReference"/>
          <w:rFonts w:ascii="Arial" w:hAnsi="Arial" w:cs="Arial"/>
          <w:sz w:val="20"/>
          <w:szCs w:val="20"/>
          <w:vertAlign w:val="baseline"/>
        </w:rPr>
        <w:t>eg</w:t>
      </w:r>
      <w:proofErr w:type="spellEnd"/>
      <w:r w:rsidRPr="001B5D3A">
        <w:rPr>
          <w:rStyle w:val="FootnoteReference"/>
          <w:rFonts w:ascii="Arial" w:hAnsi="Arial" w:cs="Arial"/>
          <w:sz w:val="20"/>
          <w:szCs w:val="20"/>
          <w:vertAlign w:val="baseline"/>
        </w:rPr>
        <w:t xml:space="preserve"> Mesopotamia). This is another reason to require the possessor of the object to provide evidence of lawful export.</w:t>
      </w:r>
      <w:r>
        <w:rPr>
          <w:rStyle w:val="FootnoteReference"/>
          <w:rFonts w:ascii="Arial" w:hAnsi="Arial" w:cs="Arial"/>
          <w:sz w:val="20"/>
          <w:szCs w:val="20"/>
          <w:vertAlign w:val="baseline"/>
        </w:rPr>
        <w:t xml:space="preserve"> </w:t>
      </w:r>
    </w:p>
  </w:footnote>
  <w:footnote w:id="131">
    <w:p w14:paraId="44B867A6" w14:textId="228C663A" w:rsidR="005F4E29" w:rsidRPr="00273139" w:rsidRDefault="005F4E29" w:rsidP="00D46B3E">
      <w:pPr>
        <w:pStyle w:val="FootnoteText"/>
        <w:ind w:left="284" w:hanging="284"/>
        <w:rPr>
          <w:sz w:val="20"/>
          <w:szCs w:val="20"/>
          <w:lang w:val="en-US"/>
        </w:rPr>
      </w:pPr>
      <w:r w:rsidRPr="00091756">
        <w:rPr>
          <w:rStyle w:val="FootnoteReference"/>
          <w:rFonts w:ascii="Arial" w:hAnsi="Arial" w:cs="Arial"/>
          <w:sz w:val="20"/>
          <w:szCs w:val="20"/>
        </w:rPr>
        <w:footnoteRef/>
      </w:r>
      <w:r>
        <w:rPr>
          <w:rFonts w:ascii="Arial" w:hAnsi="Arial" w:cs="Arial"/>
          <w:sz w:val="20"/>
          <w:szCs w:val="20"/>
          <w:vertAlign w:val="superscript"/>
        </w:rPr>
        <w:t xml:space="preserve"> </w:t>
      </w:r>
      <w:r>
        <w:rPr>
          <w:rStyle w:val="FootnoteReference"/>
          <w:rFonts w:ascii="Arial" w:hAnsi="Arial" w:cs="Arial"/>
          <w:sz w:val="20"/>
          <w:szCs w:val="20"/>
          <w:vertAlign w:val="baseline"/>
        </w:rPr>
        <w:t>S</w:t>
      </w:r>
      <w:r w:rsidRPr="001B5D3A">
        <w:rPr>
          <w:rStyle w:val="FootnoteReference"/>
          <w:rFonts w:ascii="Arial" w:hAnsi="Arial" w:cs="Arial"/>
          <w:sz w:val="20"/>
          <w:szCs w:val="20"/>
          <w:vertAlign w:val="baseline"/>
        </w:rPr>
        <w:t>ubject to limited exceptions where it is not appropriate to provide the information, such as national security considerations.</w:t>
      </w:r>
      <w:r>
        <w:rPr>
          <w:sz w:val="20"/>
          <w:szCs w:val="20"/>
        </w:rPr>
        <w:t xml:space="preserve"> </w:t>
      </w:r>
    </w:p>
  </w:footnote>
  <w:footnote w:id="132">
    <w:p w14:paraId="716D2AB0" w14:textId="377D623C" w:rsidR="005F4E29" w:rsidRPr="001B5D3A" w:rsidRDefault="005F4E29" w:rsidP="001A20CD">
      <w:pPr>
        <w:pStyle w:val="FootnoteText"/>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w:t>
      </w:r>
      <w:r>
        <w:rPr>
          <w:rFonts w:ascii="Arial" w:hAnsi="Arial" w:cs="Arial"/>
          <w:sz w:val="20"/>
          <w:szCs w:val="20"/>
        </w:rPr>
        <w:t xml:space="preserve">Section </w:t>
      </w:r>
      <w:r w:rsidRPr="001B5D3A">
        <w:rPr>
          <w:rStyle w:val="FootnoteReference"/>
          <w:rFonts w:ascii="Arial" w:hAnsi="Arial" w:cs="Arial"/>
          <w:sz w:val="20"/>
          <w:szCs w:val="20"/>
          <w:vertAlign w:val="baseline"/>
        </w:rPr>
        <w:t>38</w:t>
      </w:r>
      <w:r>
        <w:rPr>
          <w:rStyle w:val="FootnoteReference"/>
          <w:rFonts w:ascii="Arial" w:hAnsi="Arial" w:cs="Arial"/>
          <w:sz w:val="20"/>
          <w:szCs w:val="20"/>
          <w:vertAlign w:val="baseline"/>
        </w:rPr>
        <w:t>.</w:t>
      </w:r>
    </w:p>
  </w:footnote>
  <w:footnote w:id="133">
    <w:p w14:paraId="040B848C" w14:textId="17BBF300" w:rsidR="005F4E29" w:rsidRPr="001B5D3A" w:rsidRDefault="005F4E29" w:rsidP="00D46B3E">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N</w:t>
      </w:r>
      <w:r>
        <w:rPr>
          <w:rFonts w:ascii="Arial" w:hAnsi="Arial" w:cs="Arial"/>
          <w:sz w:val="20"/>
          <w:szCs w:val="20"/>
        </w:rPr>
        <w:t xml:space="preserve">ew </w:t>
      </w:r>
      <w:r w:rsidRPr="001B5D3A">
        <w:rPr>
          <w:rStyle w:val="FootnoteReference"/>
          <w:rFonts w:ascii="Arial" w:hAnsi="Arial" w:cs="Arial"/>
          <w:sz w:val="20"/>
          <w:szCs w:val="20"/>
          <w:vertAlign w:val="baseline"/>
        </w:rPr>
        <w:t>Z</w:t>
      </w:r>
      <w:r>
        <w:rPr>
          <w:rStyle w:val="FootnoteReference"/>
          <w:rFonts w:ascii="Arial" w:hAnsi="Arial" w:cs="Arial"/>
          <w:sz w:val="20"/>
          <w:szCs w:val="20"/>
          <w:vertAlign w:val="baseline"/>
        </w:rPr>
        <w:t>ealand</w:t>
      </w:r>
      <w:r w:rsidRPr="001B5D3A">
        <w:rPr>
          <w:rStyle w:val="FootnoteReference"/>
          <w:rFonts w:ascii="Arial" w:hAnsi="Arial" w:cs="Arial"/>
          <w:sz w:val="20"/>
          <w:szCs w:val="20"/>
          <w:vertAlign w:val="baseline"/>
        </w:rPr>
        <w:t xml:space="preserve"> adds 50 years after the death of that person but this is not supported. The analogy with copyright law (the</w:t>
      </w:r>
      <w:r w:rsidRPr="001B5D3A">
        <w:rPr>
          <w:rFonts w:ascii="Arial" w:hAnsi="Arial" w:cs="Arial"/>
          <w:sz w:val="20"/>
          <w:szCs w:val="20"/>
        </w:rPr>
        <w:t xml:space="preserve"> copyright</w:t>
      </w:r>
      <w:r w:rsidRPr="001B5D3A">
        <w:rPr>
          <w:rStyle w:val="FootnoteReference"/>
          <w:rFonts w:ascii="Arial" w:hAnsi="Arial" w:cs="Arial"/>
          <w:sz w:val="20"/>
          <w:szCs w:val="20"/>
          <w:vertAlign w:val="baseline"/>
        </w:rPr>
        <w:t xml:space="preserve"> term was </w:t>
      </w:r>
      <w:r w:rsidRPr="001B5D3A">
        <w:rPr>
          <w:rFonts w:ascii="Arial" w:hAnsi="Arial" w:cs="Arial"/>
          <w:sz w:val="20"/>
          <w:szCs w:val="20"/>
        </w:rPr>
        <w:t xml:space="preserve">50 years </w:t>
      </w:r>
      <w:r w:rsidRPr="001B5D3A">
        <w:rPr>
          <w:rStyle w:val="FootnoteReference"/>
          <w:rFonts w:ascii="Arial" w:hAnsi="Arial" w:cs="Arial"/>
          <w:sz w:val="20"/>
          <w:szCs w:val="20"/>
          <w:vertAlign w:val="baseline"/>
        </w:rPr>
        <w:t>at the date of the UNIDROIT Convention</w:t>
      </w:r>
      <w:r>
        <w:rPr>
          <w:rFonts w:ascii="Arial" w:hAnsi="Arial" w:cs="Arial"/>
          <w:sz w:val="20"/>
          <w:szCs w:val="20"/>
        </w:rPr>
        <w:t xml:space="preserve"> 1995</w:t>
      </w:r>
      <w:r w:rsidRPr="001B5D3A">
        <w:rPr>
          <w:rFonts w:ascii="Arial" w:hAnsi="Arial" w:cs="Arial"/>
          <w:sz w:val="20"/>
          <w:szCs w:val="20"/>
        </w:rPr>
        <w:t>)</w:t>
      </w:r>
      <w:r w:rsidRPr="001B5D3A">
        <w:rPr>
          <w:rStyle w:val="FootnoteReference"/>
          <w:rFonts w:ascii="Arial" w:hAnsi="Arial" w:cs="Arial"/>
          <w:sz w:val="20"/>
          <w:szCs w:val="20"/>
          <w:vertAlign w:val="baseline"/>
        </w:rPr>
        <w:t xml:space="preserve"> is fallacious.</w:t>
      </w:r>
    </w:p>
  </w:footnote>
  <w:footnote w:id="134">
    <w:p w14:paraId="48E8A3D5" w14:textId="20660CE9" w:rsidR="005F4E29" w:rsidRPr="001B5D3A" w:rsidRDefault="005F4E29" w:rsidP="00D46B3E">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w:t>
      </w:r>
      <w:proofErr w:type="spellStart"/>
      <w:r w:rsidRPr="001B5D3A">
        <w:rPr>
          <w:rStyle w:val="FootnoteReference"/>
          <w:rFonts w:ascii="Arial" w:hAnsi="Arial" w:cs="Arial"/>
          <w:sz w:val="20"/>
          <w:szCs w:val="20"/>
          <w:vertAlign w:val="baseline"/>
        </w:rPr>
        <w:t>cf</w:t>
      </w:r>
      <w:proofErr w:type="spellEnd"/>
      <w:r w:rsidRPr="001B5D3A">
        <w:rPr>
          <w:rStyle w:val="FootnoteReference"/>
          <w:rFonts w:ascii="Arial" w:hAnsi="Arial" w:cs="Arial"/>
          <w:sz w:val="20"/>
          <w:szCs w:val="20"/>
          <w:vertAlign w:val="baseline"/>
        </w:rPr>
        <w:t xml:space="preserve"> UNIDROIT Convention</w:t>
      </w:r>
      <w:r>
        <w:rPr>
          <w:rFonts w:ascii="Arial" w:hAnsi="Arial" w:cs="Arial"/>
          <w:sz w:val="20"/>
          <w:szCs w:val="20"/>
        </w:rPr>
        <w:t xml:space="preserve"> 1995</w:t>
      </w:r>
      <w:r w:rsidRPr="001B5D3A">
        <w:rPr>
          <w:rStyle w:val="FootnoteReference"/>
          <w:rFonts w:ascii="Arial" w:hAnsi="Arial" w:cs="Arial"/>
          <w:sz w:val="20"/>
          <w:szCs w:val="20"/>
          <w:vertAlign w:val="baseline"/>
        </w:rPr>
        <w:t xml:space="preserve">, Article 7. See discussion at UNIDROIT </w:t>
      </w:r>
      <w:r w:rsidRPr="00047679">
        <w:rPr>
          <w:rStyle w:val="FootnoteReference"/>
          <w:rFonts w:ascii="Arial" w:hAnsi="Arial" w:cs="Arial"/>
          <w:i/>
          <w:sz w:val="20"/>
          <w:szCs w:val="20"/>
          <w:vertAlign w:val="baseline"/>
        </w:rPr>
        <w:t>Convention on Stolen or Illegally Exported Cultural Objects</w:t>
      </w:r>
      <w:r>
        <w:rPr>
          <w:rStyle w:val="FootnoteReference"/>
          <w:rFonts w:ascii="Arial" w:hAnsi="Arial" w:cs="Arial"/>
          <w:sz w:val="20"/>
          <w:szCs w:val="20"/>
          <w:vertAlign w:val="baseline"/>
        </w:rPr>
        <w:t xml:space="preserve"> 1995</w:t>
      </w:r>
      <w:r w:rsidRPr="001B5D3A">
        <w:rPr>
          <w:rStyle w:val="FootnoteReference"/>
          <w:rFonts w:ascii="Arial" w:hAnsi="Arial" w:cs="Arial"/>
          <w:sz w:val="20"/>
          <w:szCs w:val="20"/>
          <w:vertAlign w:val="baseline"/>
        </w:rPr>
        <w:t xml:space="preserve">: Explanatory Report, </w:t>
      </w:r>
      <w:proofErr w:type="spellStart"/>
      <w:r w:rsidRPr="001B5D3A">
        <w:rPr>
          <w:rStyle w:val="FootnoteReference"/>
          <w:rFonts w:ascii="Arial" w:hAnsi="Arial" w:cs="Arial"/>
          <w:sz w:val="20"/>
          <w:szCs w:val="20"/>
          <w:vertAlign w:val="baseline"/>
        </w:rPr>
        <w:t>Unif.L.Rev</w:t>
      </w:r>
      <w:proofErr w:type="spellEnd"/>
      <w:r w:rsidRPr="001B5D3A">
        <w:rPr>
          <w:rStyle w:val="FootnoteReference"/>
          <w:rFonts w:ascii="Arial" w:hAnsi="Arial" w:cs="Arial"/>
          <w:sz w:val="20"/>
          <w:szCs w:val="20"/>
          <w:vertAlign w:val="baseline"/>
        </w:rPr>
        <w:t>. 2001-3, p.542</w:t>
      </w:r>
    </w:p>
  </w:footnote>
  <w:footnote w:id="135">
    <w:p w14:paraId="1FE20C54" w14:textId="3150E44E" w:rsidR="005F4E29" w:rsidRPr="001B5D3A" w:rsidRDefault="005F4E29" w:rsidP="00D46B3E">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The UNIDROIT Convention</w:t>
      </w:r>
      <w:r>
        <w:rPr>
          <w:rFonts w:ascii="Arial" w:hAnsi="Arial" w:cs="Arial"/>
          <w:sz w:val="20"/>
          <w:szCs w:val="20"/>
        </w:rPr>
        <w:t xml:space="preserve"> 1995</w:t>
      </w:r>
      <w:r w:rsidRPr="001B5D3A">
        <w:rPr>
          <w:rStyle w:val="FootnoteReference"/>
          <w:rFonts w:ascii="Arial" w:hAnsi="Arial" w:cs="Arial"/>
          <w:sz w:val="20"/>
          <w:szCs w:val="20"/>
          <w:vertAlign w:val="baseline"/>
        </w:rPr>
        <w:t>, Art 6, uses “fair and reasonable” but does not define those terms.</w:t>
      </w:r>
    </w:p>
  </w:footnote>
  <w:footnote w:id="136">
    <w:p w14:paraId="3DFFC636" w14:textId="07535BEE" w:rsidR="005F4E29" w:rsidRPr="00273139" w:rsidRDefault="005F4E29" w:rsidP="00D46B3E">
      <w:pPr>
        <w:pStyle w:val="FootnoteText"/>
        <w:ind w:left="284" w:hanging="284"/>
        <w:rPr>
          <w:sz w:val="20"/>
          <w:szCs w:val="20"/>
          <w:lang w:val="en-US"/>
        </w:rPr>
      </w:pPr>
      <w:r w:rsidRPr="001B5D3A">
        <w:rPr>
          <w:rStyle w:val="FootnoteReference"/>
          <w:rFonts w:ascii="Arial" w:hAnsi="Arial" w:cs="Arial"/>
          <w:sz w:val="20"/>
          <w:szCs w:val="20"/>
        </w:rPr>
        <w:footnoteRef/>
      </w:r>
      <w:r w:rsidRPr="001B5D3A">
        <w:rPr>
          <w:rFonts w:ascii="Arial" w:hAnsi="Arial" w:cs="Arial"/>
          <w:sz w:val="20"/>
          <w:szCs w:val="20"/>
        </w:rPr>
        <w:t xml:space="preserve"> </w:t>
      </w:r>
      <w:r w:rsidRPr="001B5D3A">
        <w:rPr>
          <w:rFonts w:ascii="Arial" w:hAnsi="Arial" w:cs="Arial"/>
          <w:sz w:val="20"/>
          <w:szCs w:val="20"/>
          <w:lang w:val="en-US"/>
        </w:rPr>
        <w:t>Article 6(1)</w:t>
      </w:r>
      <w:r>
        <w:rPr>
          <w:rFonts w:ascii="Arial" w:hAnsi="Arial" w:cs="Arial"/>
          <w:sz w:val="20"/>
          <w:szCs w:val="20"/>
          <w:lang w:val="en-US"/>
        </w:rPr>
        <w:t>.</w:t>
      </w:r>
    </w:p>
  </w:footnote>
  <w:footnote w:id="137">
    <w:p w14:paraId="1863DB57" w14:textId="77777777" w:rsidR="005F4E29" w:rsidRPr="001B5D3A" w:rsidRDefault="005F4E29" w:rsidP="00D46B3E">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w:t>
      </w:r>
      <w:proofErr w:type="spellStart"/>
      <w:r w:rsidRPr="001B5D3A">
        <w:rPr>
          <w:rStyle w:val="FootnoteReference"/>
          <w:rFonts w:ascii="Arial" w:hAnsi="Arial" w:cs="Arial"/>
          <w:sz w:val="20"/>
          <w:szCs w:val="20"/>
          <w:vertAlign w:val="baseline"/>
        </w:rPr>
        <w:t>cf</w:t>
      </w:r>
      <w:proofErr w:type="spellEnd"/>
      <w:r w:rsidRPr="001B5D3A">
        <w:rPr>
          <w:rStyle w:val="FootnoteReference"/>
          <w:rFonts w:ascii="Arial" w:hAnsi="Arial" w:cs="Arial"/>
          <w:sz w:val="20"/>
          <w:szCs w:val="20"/>
          <w:vertAlign w:val="baseline"/>
        </w:rPr>
        <w:t xml:space="preserve"> UNIDROIT Convention</w:t>
      </w:r>
      <w:r w:rsidRPr="001B5D3A">
        <w:rPr>
          <w:rFonts w:ascii="Arial" w:hAnsi="Arial" w:cs="Arial"/>
          <w:sz w:val="20"/>
          <w:szCs w:val="20"/>
        </w:rPr>
        <w:t xml:space="preserve"> 1995</w:t>
      </w:r>
      <w:r w:rsidRPr="001B5D3A">
        <w:rPr>
          <w:rStyle w:val="FootnoteReference"/>
          <w:rFonts w:ascii="Arial" w:hAnsi="Arial" w:cs="Arial"/>
          <w:sz w:val="20"/>
          <w:szCs w:val="20"/>
          <w:vertAlign w:val="baseline"/>
        </w:rPr>
        <w:t>, Article 3</w:t>
      </w:r>
      <w:r w:rsidRPr="001B5D3A">
        <w:rPr>
          <w:rFonts w:ascii="Arial" w:hAnsi="Arial" w:cs="Arial"/>
          <w:sz w:val="20"/>
          <w:szCs w:val="20"/>
        </w:rPr>
        <w:t>.</w:t>
      </w:r>
    </w:p>
  </w:footnote>
  <w:footnote w:id="138">
    <w:p w14:paraId="49E2444A" w14:textId="77777777" w:rsidR="005F4E29" w:rsidRPr="00273139" w:rsidRDefault="005F4E29" w:rsidP="00D46B3E">
      <w:pPr>
        <w:pStyle w:val="FootnoteText"/>
        <w:ind w:left="284" w:hanging="284"/>
        <w:rPr>
          <w:sz w:val="20"/>
          <w:szCs w:val="20"/>
        </w:rPr>
      </w:pPr>
      <w:r w:rsidRPr="001B5D3A">
        <w:rPr>
          <w:rStyle w:val="FootnoteReference"/>
          <w:rFonts w:ascii="Arial" w:hAnsi="Arial" w:cs="Arial"/>
          <w:sz w:val="20"/>
          <w:szCs w:val="20"/>
        </w:rPr>
        <w:footnoteRef/>
      </w:r>
      <w:r w:rsidRPr="001B5D3A">
        <w:rPr>
          <w:rFonts w:ascii="Arial" w:hAnsi="Arial" w:cs="Arial"/>
          <w:sz w:val="20"/>
          <w:szCs w:val="20"/>
        </w:rPr>
        <w:t xml:space="preserve"> In this way, the model can be seen as providing a similar tool to the civil forfeiture provisions of United States Code s1595a.</w:t>
      </w:r>
      <w:r w:rsidRPr="00273139">
        <w:rPr>
          <w:sz w:val="20"/>
          <w:szCs w:val="20"/>
        </w:rPr>
        <w:t xml:space="preserve"> </w:t>
      </w:r>
    </w:p>
  </w:footnote>
  <w:footnote w:id="139">
    <w:p w14:paraId="0862A0C1" w14:textId="77777777" w:rsidR="005F4E29" w:rsidRPr="001B5D3A" w:rsidRDefault="005F4E29" w:rsidP="00D46B3E">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w:t>
      </w:r>
      <w:proofErr w:type="spellStart"/>
      <w:r w:rsidRPr="001B5D3A">
        <w:rPr>
          <w:rStyle w:val="FootnoteReference"/>
          <w:rFonts w:ascii="Arial" w:hAnsi="Arial" w:cs="Arial"/>
          <w:sz w:val="20"/>
          <w:szCs w:val="20"/>
          <w:vertAlign w:val="baseline"/>
        </w:rPr>
        <w:t>cf</w:t>
      </w:r>
      <w:proofErr w:type="spellEnd"/>
      <w:r w:rsidRPr="001B5D3A">
        <w:rPr>
          <w:rStyle w:val="FootnoteReference"/>
          <w:rFonts w:ascii="Arial" w:hAnsi="Arial" w:cs="Arial"/>
          <w:sz w:val="20"/>
          <w:szCs w:val="20"/>
          <w:vertAlign w:val="baseline"/>
        </w:rPr>
        <w:t xml:space="preserve"> </w:t>
      </w:r>
      <w:r w:rsidRPr="001B5D3A">
        <w:rPr>
          <w:rFonts w:ascii="Arial" w:hAnsi="Arial" w:cs="Arial"/>
          <w:sz w:val="20"/>
          <w:szCs w:val="20"/>
        </w:rPr>
        <w:t>UNIDROIT Convention 1995</w:t>
      </w:r>
      <w:proofErr w:type="gramStart"/>
      <w:r w:rsidRPr="001B5D3A">
        <w:rPr>
          <w:rFonts w:ascii="Arial" w:hAnsi="Arial" w:cs="Arial"/>
          <w:sz w:val="20"/>
          <w:szCs w:val="20"/>
        </w:rPr>
        <w:t xml:space="preserve">, </w:t>
      </w:r>
      <w:proofErr w:type="gramEnd"/>
      <w:r w:rsidRPr="001B5D3A">
        <w:rPr>
          <w:rStyle w:val="FootnoteReference"/>
          <w:rFonts w:ascii="Arial" w:hAnsi="Arial" w:cs="Arial"/>
          <w:sz w:val="20"/>
          <w:szCs w:val="20"/>
          <w:vertAlign w:val="baseline"/>
        </w:rPr>
        <w:t>Article 3(7)</w:t>
      </w:r>
      <w:r w:rsidRPr="001B5D3A">
        <w:rPr>
          <w:rFonts w:ascii="Arial" w:hAnsi="Arial" w:cs="Arial"/>
          <w:sz w:val="20"/>
          <w:szCs w:val="20"/>
        </w:rPr>
        <w:t>.</w:t>
      </w:r>
    </w:p>
  </w:footnote>
  <w:footnote w:id="140">
    <w:p w14:paraId="4ABDC5BC" w14:textId="77777777" w:rsidR="005F4E29" w:rsidRPr="001B5D3A" w:rsidRDefault="005F4E29" w:rsidP="00D46B3E">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Some countries may not have the resources or skills to have an inventory in the sense of formal accessioning procedures but may still have a system of identification.</w:t>
      </w:r>
      <w:r w:rsidRPr="001B5D3A">
        <w:rPr>
          <w:rFonts w:ascii="Arial" w:hAnsi="Arial" w:cs="Arial"/>
          <w:sz w:val="20"/>
          <w:szCs w:val="20"/>
        </w:rPr>
        <w:t xml:space="preserve"> </w:t>
      </w:r>
    </w:p>
  </w:footnote>
  <w:footnote w:id="141">
    <w:p w14:paraId="6D578AEC" w14:textId="77777777" w:rsidR="005F4E29" w:rsidRPr="001B5D3A" w:rsidRDefault="005F4E29" w:rsidP="00D46B3E">
      <w:pPr>
        <w:pStyle w:val="FootnoteText"/>
        <w:ind w:left="284" w:hanging="284"/>
        <w:rPr>
          <w:rFonts w:ascii="Arial" w:hAnsi="Arial" w:cs="Arial"/>
          <w:sz w:val="20"/>
          <w:szCs w:val="20"/>
        </w:rPr>
      </w:pPr>
      <w:r w:rsidRPr="001B5D3A">
        <w:rPr>
          <w:rStyle w:val="FootnoteReference"/>
          <w:rFonts w:ascii="Arial" w:hAnsi="Arial" w:cs="Arial"/>
          <w:sz w:val="20"/>
          <w:szCs w:val="20"/>
        </w:rPr>
        <w:footnoteRef/>
      </w:r>
      <w:r w:rsidRPr="001B5D3A">
        <w:rPr>
          <w:rFonts w:ascii="Arial" w:hAnsi="Arial" w:cs="Arial"/>
          <w:sz w:val="20"/>
          <w:szCs w:val="20"/>
        </w:rPr>
        <w:t xml:space="preserve"> This is the concept that valid legal title cannot be conferred by a person who does not hold valid title themselves. </w:t>
      </w:r>
    </w:p>
  </w:footnote>
  <w:footnote w:id="142">
    <w:p w14:paraId="52796077" w14:textId="581BBCFC" w:rsidR="005F4E29" w:rsidRPr="00273139" w:rsidRDefault="005F4E29" w:rsidP="00D46B3E">
      <w:pPr>
        <w:pStyle w:val="FootnoteText"/>
        <w:ind w:left="284" w:hanging="284"/>
        <w:rPr>
          <w:sz w:val="20"/>
          <w:szCs w:val="20"/>
          <w:lang w:val="en-US"/>
        </w:rPr>
      </w:pPr>
      <w:r w:rsidRPr="001B5D3A">
        <w:rPr>
          <w:rStyle w:val="FootnoteReference"/>
          <w:rFonts w:ascii="Arial" w:hAnsi="Arial" w:cs="Arial"/>
          <w:sz w:val="20"/>
          <w:szCs w:val="20"/>
        </w:rPr>
        <w:footnoteRef/>
      </w:r>
      <w:r w:rsidRPr="001B5D3A">
        <w:rPr>
          <w:rFonts w:ascii="Arial" w:hAnsi="Arial" w:cs="Arial"/>
          <w:sz w:val="20"/>
          <w:szCs w:val="20"/>
        </w:rPr>
        <w:t xml:space="preserve"> It is</w:t>
      </w:r>
      <w:r>
        <w:rPr>
          <w:rFonts w:ascii="Arial" w:hAnsi="Arial" w:cs="Arial"/>
          <w:sz w:val="20"/>
          <w:szCs w:val="20"/>
        </w:rPr>
        <w:t xml:space="preserve"> for this reason that the term ‘</w:t>
      </w:r>
      <w:r w:rsidRPr="001B5D3A">
        <w:rPr>
          <w:rFonts w:ascii="Arial" w:hAnsi="Arial" w:cs="Arial"/>
          <w:sz w:val="20"/>
          <w:szCs w:val="20"/>
        </w:rPr>
        <w:t>possesso</w:t>
      </w:r>
      <w:r>
        <w:rPr>
          <w:rFonts w:ascii="Arial" w:hAnsi="Arial" w:cs="Arial"/>
          <w:sz w:val="20"/>
          <w:szCs w:val="20"/>
        </w:rPr>
        <w:t>r’ is preferred to ‘owner’</w:t>
      </w:r>
      <w:r w:rsidRPr="001B5D3A">
        <w:rPr>
          <w:rFonts w:ascii="Arial" w:hAnsi="Arial" w:cs="Arial"/>
          <w:sz w:val="20"/>
          <w:szCs w:val="20"/>
        </w:rPr>
        <w:t>.</w:t>
      </w:r>
    </w:p>
  </w:footnote>
  <w:footnote w:id="143">
    <w:p w14:paraId="1576A241" w14:textId="6AE69211" w:rsidR="005F4E29" w:rsidRPr="001B5D3A" w:rsidRDefault="005F4E29" w:rsidP="00D46B3E">
      <w:pPr>
        <w:pStyle w:val="FootnoteText"/>
        <w:ind w:left="284" w:hanging="284"/>
        <w:rPr>
          <w:rFonts w:ascii="Arial" w:hAnsi="Arial" w:cs="Arial"/>
          <w:sz w:val="20"/>
          <w:szCs w:val="20"/>
          <w:lang w:val="en-US"/>
        </w:rPr>
      </w:pPr>
      <w:r w:rsidRPr="001B5D3A">
        <w:rPr>
          <w:rStyle w:val="FootnoteReference"/>
          <w:rFonts w:ascii="Arial" w:hAnsi="Arial" w:cs="Arial"/>
          <w:sz w:val="20"/>
          <w:szCs w:val="20"/>
        </w:rPr>
        <w:footnoteRef/>
      </w:r>
      <w:r w:rsidRPr="001B5D3A">
        <w:rPr>
          <w:rFonts w:ascii="Arial" w:hAnsi="Arial" w:cs="Arial"/>
          <w:sz w:val="20"/>
          <w:szCs w:val="20"/>
        </w:rPr>
        <w:t xml:space="preserve"> This mirrors the </w:t>
      </w:r>
      <w:r w:rsidRPr="001B5D3A">
        <w:rPr>
          <w:rStyle w:val="FootnoteReference"/>
          <w:rFonts w:ascii="Arial" w:hAnsi="Arial" w:cs="Arial"/>
          <w:sz w:val="20"/>
          <w:szCs w:val="20"/>
          <w:vertAlign w:val="baseline"/>
        </w:rPr>
        <w:t>UNIDROIT Convention</w:t>
      </w:r>
      <w:r>
        <w:rPr>
          <w:rFonts w:ascii="Arial" w:hAnsi="Arial" w:cs="Arial"/>
          <w:sz w:val="20"/>
          <w:szCs w:val="20"/>
        </w:rPr>
        <w:t xml:space="preserve"> 1995</w:t>
      </w:r>
      <w:r w:rsidRPr="001B5D3A">
        <w:rPr>
          <w:rStyle w:val="FootnoteReference"/>
          <w:rFonts w:ascii="Arial" w:hAnsi="Arial" w:cs="Arial"/>
          <w:sz w:val="20"/>
          <w:szCs w:val="20"/>
          <w:vertAlign w:val="baseline"/>
        </w:rPr>
        <w:t>, Article 4(1).</w:t>
      </w:r>
    </w:p>
  </w:footnote>
  <w:footnote w:id="144">
    <w:p w14:paraId="033B561C" w14:textId="2A7E8333" w:rsidR="005F4E29" w:rsidRPr="001B5D3A" w:rsidRDefault="005F4E29" w:rsidP="00D46B3E">
      <w:pPr>
        <w:pStyle w:val="FootnoteText"/>
        <w:ind w:left="284" w:hanging="284"/>
        <w:rPr>
          <w:rFonts w:ascii="Arial" w:hAnsi="Arial" w:cs="Arial"/>
          <w:sz w:val="20"/>
          <w:szCs w:val="20"/>
          <w:lang w:val="en-US"/>
        </w:rPr>
      </w:pPr>
      <w:r w:rsidRPr="001B5D3A">
        <w:rPr>
          <w:rStyle w:val="FootnoteReference"/>
          <w:rFonts w:ascii="Arial" w:hAnsi="Arial" w:cs="Arial"/>
          <w:sz w:val="20"/>
          <w:szCs w:val="20"/>
        </w:rPr>
        <w:footnoteRef/>
      </w:r>
      <w:r w:rsidRPr="001B5D3A">
        <w:rPr>
          <w:rFonts w:ascii="Arial" w:hAnsi="Arial" w:cs="Arial"/>
          <w:sz w:val="20"/>
          <w:szCs w:val="20"/>
        </w:rPr>
        <w:t xml:space="preserve"> </w:t>
      </w:r>
      <w:r w:rsidRPr="001B5D3A">
        <w:rPr>
          <w:rFonts w:ascii="Arial" w:hAnsi="Arial" w:cs="Arial"/>
          <w:sz w:val="20"/>
          <w:szCs w:val="20"/>
          <w:lang w:val="en-US"/>
        </w:rPr>
        <w:t xml:space="preserve">Including, for tribal or community material, the </w:t>
      </w:r>
      <w:r w:rsidRPr="001B5D3A">
        <w:rPr>
          <w:rFonts w:ascii="Arial" w:hAnsi="Arial" w:cs="Arial"/>
          <w:sz w:val="20"/>
          <w:szCs w:val="20"/>
        </w:rPr>
        <w:t>relevant tribe, community or people from whom the material was taken</w:t>
      </w:r>
      <w:r>
        <w:rPr>
          <w:rFonts w:ascii="Arial" w:hAnsi="Arial" w:cs="Arial"/>
          <w:sz w:val="20"/>
          <w:szCs w:val="20"/>
        </w:rPr>
        <w:t>.</w:t>
      </w:r>
    </w:p>
  </w:footnote>
  <w:footnote w:id="145">
    <w:p w14:paraId="16631005" w14:textId="77777777" w:rsidR="005F4E29" w:rsidRPr="00273139" w:rsidRDefault="005F4E29" w:rsidP="001A20CD">
      <w:pPr>
        <w:pStyle w:val="FootnoteText"/>
        <w:rPr>
          <w:sz w:val="20"/>
          <w:szCs w:val="20"/>
          <w:lang w:val="en-US"/>
        </w:rPr>
      </w:pPr>
      <w:r w:rsidRPr="001B5D3A">
        <w:rPr>
          <w:rStyle w:val="FootnoteReference"/>
          <w:rFonts w:ascii="Arial" w:hAnsi="Arial" w:cs="Arial"/>
          <w:sz w:val="20"/>
          <w:szCs w:val="20"/>
        </w:rPr>
        <w:footnoteRef/>
      </w:r>
      <w:r w:rsidRPr="001B5D3A">
        <w:rPr>
          <w:rFonts w:ascii="Arial" w:hAnsi="Arial" w:cs="Arial"/>
          <w:sz w:val="20"/>
          <w:szCs w:val="20"/>
        </w:rPr>
        <w:t xml:space="preserve"> </w:t>
      </w:r>
      <w:r w:rsidRPr="001B5D3A">
        <w:rPr>
          <w:rStyle w:val="FootnoteReference"/>
          <w:rFonts w:ascii="Arial" w:hAnsi="Arial" w:cs="Arial"/>
          <w:sz w:val="20"/>
          <w:szCs w:val="20"/>
          <w:vertAlign w:val="baseline"/>
        </w:rPr>
        <w:t>At least to the extent that the cultural property will not be endangered.</w:t>
      </w:r>
    </w:p>
  </w:footnote>
  <w:footnote w:id="146">
    <w:p w14:paraId="716A4ADC" w14:textId="02C19A15" w:rsidR="005F4E29" w:rsidRPr="001B5D3A" w:rsidRDefault="005F4E29" w:rsidP="00D46B3E">
      <w:pPr>
        <w:pStyle w:val="FootnoteText"/>
        <w:ind w:left="284" w:hanging="284"/>
        <w:rPr>
          <w:rFonts w:ascii="Arial" w:hAnsi="Arial" w:cs="Arial"/>
          <w:sz w:val="20"/>
          <w:szCs w:val="20"/>
        </w:rPr>
      </w:pPr>
      <w:r w:rsidRPr="001B5D3A">
        <w:rPr>
          <w:rStyle w:val="FootnoteReference"/>
          <w:rFonts w:ascii="Arial" w:hAnsi="Arial" w:cs="Arial"/>
          <w:sz w:val="20"/>
          <w:szCs w:val="20"/>
        </w:rPr>
        <w:footnoteRef/>
      </w:r>
      <w:r w:rsidRPr="001B5D3A">
        <w:rPr>
          <w:rFonts w:ascii="Arial" w:hAnsi="Arial" w:cs="Arial"/>
          <w:sz w:val="20"/>
          <w:szCs w:val="20"/>
        </w:rPr>
        <w:t xml:space="preserve"> Seizure may be under the Regulations to the </w:t>
      </w:r>
      <w:r w:rsidRPr="001B5D3A">
        <w:rPr>
          <w:rFonts w:ascii="Arial" w:hAnsi="Arial" w:cs="Arial"/>
          <w:i/>
          <w:sz w:val="20"/>
          <w:szCs w:val="20"/>
        </w:rPr>
        <w:t>Charter of the United Nations Act 1945</w:t>
      </w:r>
      <w:r w:rsidRPr="001B5D3A">
        <w:rPr>
          <w:rFonts w:ascii="Arial" w:hAnsi="Arial" w:cs="Arial"/>
          <w:sz w:val="20"/>
          <w:szCs w:val="20"/>
        </w:rPr>
        <w:t xml:space="preserve">, the </w:t>
      </w:r>
      <w:r w:rsidRPr="001B5D3A">
        <w:rPr>
          <w:rFonts w:ascii="Arial" w:hAnsi="Arial" w:cs="Arial"/>
          <w:i/>
          <w:sz w:val="20"/>
          <w:szCs w:val="20"/>
        </w:rPr>
        <w:t>Customs Act 1901</w:t>
      </w:r>
      <w:r w:rsidRPr="001B5D3A">
        <w:rPr>
          <w:rFonts w:ascii="Arial" w:hAnsi="Arial" w:cs="Arial"/>
          <w:sz w:val="20"/>
          <w:szCs w:val="20"/>
        </w:rPr>
        <w:t xml:space="preserve"> or the new model.</w:t>
      </w:r>
      <w:r>
        <w:rPr>
          <w:rFonts w:ascii="Arial" w:hAnsi="Arial" w:cs="Arial"/>
          <w:sz w:val="20"/>
          <w:szCs w:val="20"/>
        </w:rPr>
        <w:t xml:space="preserve"> </w:t>
      </w:r>
    </w:p>
  </w:footnote>
  <w:footnote w:id="147">
    <w:p w14:paraId="15C6CFDD" w14:textId="77777777" w:rsidR="005F4E29" w:rsidRPr="00273139" w:rsidRDefault="005F4E29" w:rsidP="00D46B3E">
      <w:pPr>
        <w:pStyle w:val="FootnoteText"/>
        <w:ind w:left="284" w:hanging="284"/>
        <w:rPr>
          <w:lang w:val="en-US"/>
        </w:rPr>
      </w:pPr>
      <w:r w:rsidRPr="001B5D3A">
        <w:rPr>
          <w:rStyle w:val="FootnoteReference"/>
          <w:rFonts w:ascii="Arial" w:hAnsi="Arial" w:cs="Arial"/>
          <w:sz w:val="20"/>
          <w:szCs w:val="20"/>
        </w:rPr>
        <w:footnoteRef/>
      </w:r>
      <w:r w:rsidRPr="001B5D3A">
        <w:rPr>
          <w:rFonts w:ascii="Arial" w:hAnsi="Arial" w:cs="Arial"/>
          <w:sz w:val="20"/>
          <w:szCs w:val="20"/>
        </w:rPr>
        <w:t xml:space="preserve"> As required by Article 4 of the Hague Convention 1954.</w:t>
      </w:r>
    </w:p>
  </w:footnote>
  <w:footnote w:id="148">
    <w:p w14:paraId="07210105" w14:textId="77777777" w:rsidR="005F4E29" w:rsidRPr="001B5D3A" w:rsidRDefault="005F4E29" w:rsidP="001A20CD">
      <w:pPr>
        <w:pStyle w:val="FootnoteText"/>
        <w:rPr>
          <w:rFonts w:ascii="Arial" w:hAnsi="Arial" w:cs="Arial"/>
          <w:sz w:val="20"/>
          <w:szCs w:val="20"/>
        </w:rPr>
      </w:pPr>
      <w:r w:rsidRPr="001B5D3A">
        <w:rPr>
          <w:rStyle w:val="FootnoteReference"/>
          <w:rFonts w:ascii="Arial" w:hAnsi="Arial" w:cs="Arial"/>
          <w:sz w:val="20"/>
          <w:szCs w:val="20"/>
        </w:rPr>
        <w:footnoteRef/>
      </w:r>
      <w:r w:rsidRPr="001B5D3A">
        <w:rPr>
          <w:rFonts w:ascii="Arial" w:hAnsi="Arial" w:cs="Arial"/>
          <w:sz w:val="20"/>
          <w:szCs w:val="20"/>
        </w:rPr>
        <w:t xml:space="preserve"> Or future Underwater Cultural Heritage legislation. </w:t>
      </w:r>
    </w:p>
  </w:footnote>
  <w:footnote w:id="149">
    <w:p w14:paraId="1830C4FB" w14:textId="77777777" w:rsidR="005F4E29" w:rsidRPr="00273139" w:rsidRDefault="005F4E29" w:rsidP="00D46B3E">
      <w:pPr>
        <w:pStyle w:val="FootnoteText"/>
        <w:ind w:left="284" w:hanging="284"/>
        <w:rPr>
          <w:rStyle w:val="FootnoteReference"/>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Article 2, somewhat enigmatically, states: ‘For the purpose of the present Convention, the protection of cultural property shall comprise the safeguarding of and respect for such property.’</w:t>
      </w:r>
    </w:p>
  </w:footnote>
  <w:footnote w:id="150">
    <w:p w14:paraId="22019273" w14:textId="77777777" w:rsidR="005F4E29" w:rsidRPr="001B5D3A" w:rsidRDefault="005F4E29" w:rsidP="00D46B3E">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Regulations for the Execution of the Convention for the Protection of Cultural Property in the Event of Armed Conflict, Articles 1 to 5.</w:t>
      </w:r>
    </w:p>
  </w:footnote>
  <w:footnote w:id="151">
    <w:p w14:paraId="315C0146" w14:textId="5C4BD6A3" w:rsidR="005F4E29" w:rsidRPr="001B5D3A" w:rsidRDefault="005F4E29" w:rsidP="001A20CD">
      <w:pPr>
        <w:pStyle w:val="FootnoteText"/>
        <w:rPr>
          <w:rFonts w:ascii="Arial" w:hAnsi="Arial" w:cs="Arial"/>
          <w:sz w:val="20"/>
          <w:szCs w:val="20"/>
          <w:lang w:val="en-US"/>
        </w:rPr>
      </w:pPr>
      <w:r w:rsidRPr="001B5D3A">
        <w:rPr>
          <w:rStyle w:val="FootnoteReference"/>
          <w:rFonts w:ascii="Arial" w:hAnsi="Arial" w:cs="Arial"/>
          <w:sz w:val="20"/>
          <w:szCs w:val="20"/>
        </w:rPr>
        <w:footnoteRef/>
      </w:r>
      <w:r w:rsidRPr="001B5D3A">
        <w:rPr>
          <w:rFonts w:ascii="Arial" w:hAnsi="Arial" w:cs="Arial"/>
          <w:sz w:val="20"/>
          <w:szCs w:val="20"/>
        </w:rPr>
        <w:t xml:space="preserve"> </w:t>
      </w:r>
      <w:r>
        <w:rPr>
          <w:rStyle w:val="FootnoteReference"/>
          <w:rFonts w:ascii="Arial" w:hAnsi="Arial" w:cs="Arial"/>
          <w:sz w:val="20"/>
          <w:szCs w:val="20"/>
          <w:vertAlign w:val="baseline"/>
        </w:rPr>
        <w:t xml:space="preserve">New Zealand’s </w:t>
      </w:r>
      <w:r w:rsidRPr="007955C2">
        <w:rPr>
          <w:rStyle w:val="FootnoteReference"/>
          <w:rFonts w:ascii="Arial" w:hAnsi="Arial" w:cs="Arial"/>
          <w:i/>
          <w:sz w:val="20"/>
          <w:szCs w:val="20"/>
          <w:vertAlign w:val="baseline"/>
        </w:rPr>
        <w:t>Cultural Property</w:t>
      </w:r>
      <w:r>
        <w:rPr>
          <w:rFonts w:ascii="Arial" w:hAnsi="Arial" w:cs="Arial"/>
          <w:i/>
          <w:sz w:val="20"/>
          <w:szCs w:val="20"/>
        </w:rPr>
        <w:t xml:space="preserve"> (Protection</w:t>
      </w:r>
      <w:r w:rsidRPr="007955C2">
        <w:rPr>
          <w:rStyle w:val="FootnoteReference"/>
          <w:rFonts w:ascii="Arial" w:hAnsi="Arial" w:cs="Arial"/>
          <w:i/>
          <w:sz w:val="20"/>
          <w:szCs w:val="20"/>
          <w:vertAlign w:val="baseline"/>
        </w:rPr>
        <w:t xml:space="preserve"> in Armed Conflict</w:t>
      </w:r>
      <w:r>
        <w:rPr>
          <w:rFonts w:ascii="Arial" w:hAnsi="Arial" w:cs="Arial"/>
          <w:i/>
          <w:sz w:val="20"/>
          <w:szCs w:val="20"/>
        </w:rPr>
        <w:t>)</w:t>
      </w:r>
      <w:r w:rsidRPr="007955C2">
        <w:rPr>
          <w:rStyle w:val="FootnoteReference"/>
          <w:rFonts w:ascii="Arial" w:hAnsi="Arial" w:cs="Arial"/>
          <w:i/>
          <w:sz w:val="20"/>
          <w:szCs w:val="20"/>
          <w:vertAlign w:val="baseline"/>
        </w:rPr>
        <w:t xml:space="preserve"> Act 2012</w:t>
      </w:r>
      <w:r w:rsidRPr="001B5D3A">
        <w:rPr>
          <w:rStyle w:val="FootnoteReference"/>
          <w:rFonts w:ascii="Arial" w:hAnsi="Arial" w:cs="Arial"/>
          <w:sz w:val="20"/>
          <w:szCs w:val="20"/>
          <w:vertAlign w:val="baseline"/>
        </w:rPr>
        <w:t xml:space="preserve">, </w:t>
      </w:r>
      <w:r w:rsidRPr="001B5D3A">
        <w:rPr>
          <w:rFonts w:ascii="Arial" w:hAnsi="Arial" w:cs="Arial"/>
          <w:sz w:val="20"/>
          <w:szCs w:val="20"/>
          <w:lang w:val="en-US"/>
        </w:rPr>
        <w:t>s.7</w:t>
      </w:r>
    </w:p>
  </w:footnote>
  <w:footnote w:id="152">
    <w:p w14:paraId="31A99673" w14:textId="77777777" w:rsidR="005F4E29" w:rsidRPr="001B5D3A" w:rsidRDefault="005F4E29" w:rsidP="001A20CD">
      <w:pPr>
        <w:pStyle w:val="FootnoteText"/>
        <w:rPr>
          <w:rFonts w:ascii="Arial" w:hAnsi="Arial" w:cs="Arial"/>
          <w:sz w:val="20"/>
          <w:szCs w:val="20"/>
          <w:lang w:val="en-US"/>
        </w:rPr>
      </w:pPr>
      <w:r w:rsidRPr="001B5D3A">
        <w:rPr>
          <w:rStyle w:val="FootnoteReference"/>
          <w:rFonts w:ascii="Arial" w:hAnsi="Arial" w:cs="Arial"/>
          <w:sz w:val="20"/>
          <w:szCs w:val="20"/>
        </w:rPr>
        <w:footnoteRef/>
      </w:r>
      <w:r w:rsidRPr="001B5D3A">
        <w:rPr>
          <w:rFonts w:ascii="Arial" w:hAnsi="Arial" w:cs="Arial"/>
          <w:sz w:val="20"/>
          <w:szCs w:val="20"/>
        </w:rPr>
        <w:t xml:space="preserve"> </w:t>
      </w:r>
      <w:r w:rsidRPr="001B5D3A">
        <w:rPr>
          <w:rFonts w:ascii="Arial" w:hAnsi="Arial" w:cs="Arial"/>
          <w:sz w:val="20"/>
          <w:szCs w:val="20"/>
          <w:lang w:val="en-US"/>
        </w:rPr>
        <w:t>Ibid, s.15(1)</w:t>
      </w:r>
    </w:p>
  </w:footnote>
  <w:footnote w:id="153">
    <w:p w14:paraId="51FD8036" w14:textId="77777777" w:rsidR="005F4E29" w:rsidRPr="001B5D3A" w:rsidRDefault="005F4E29" w:rsidP="001A20CD">
      <w:pPr>
        <w:pStyle w:val="FootnoteText"/>
        <w:rPr>
          <w:rFonts w:ascii="Arial" w:hAnsi="Arial" w:cs="Arial"/>
          <w:sz w:val="20"/>
          <w:szCs w:val="20"/>
          <w:lang w:val="en-US"/>
        </w:rPr>
      </w:pPr>
      <w:r w:rsidRPr="001B5D3A">
        <w:rPr>
          <w:rStyle w:val="FootnoteReference"/>
          <w:rFonts w:ascii="Arial" w:hAnsi="Arial" w:cs="Arial"/>
          <w:sz w:val="20"/>
          <w:szCs w:val="20"/>
        </w:rPr>
        <w:footnoteRef/>
      </w:r>
      <w:r w:rsidRPr="001B5D3A">
        <w:rPr>
          <w:rFonts w:ascii="Arial" w:hAnsi="Arial" w:cs="Arial"/>
          <w:sz w:val="20"/>
          <w:szCs w:val="20"/>
        </w:rPr>
        <w:t xml:space="preserve"> </w:t>
      </w:r>
      <w:r w:rsidRPr="001B5D3A">
        <w:rPr>
          <w:rFonts w:ascii="Arial" w:hAnsi="Arial" w:cs="Arial"/>
          <w:sz w:val="20"/>
          <w:szCs w:val="20"/>
          <w:lang w:val="en-US"/>
        </w:rPr>
        <w:t>Ibid, s.17</w:t>
      </w:r>
    </w:p>
  </w:footnote>
  <w:footnote w:id="154">
    <w:p w14:paraId="052C6792" w14:textId="77777777" w:rsidR="005F4E29" w:rsidRPr="001B5D3A" w:rsidRDefault="005F4E29" w:rsidP="001A20CD">
      <w:pPr>
        <w:pStyle w:val="FootnoteText"/>
        <w:rPr>
          <w:rFonts w:ascii="Arial" w:hAnsi="Arial" w:cs="Arial"/>
          <w:sz w:val="20"/>
          <w:szCs w:val="20"/>
          <w:lang w:val="en-US"/>
        </w:rPr>
      </w:pPr>
      <w:r w:rsidRPr="001B5D3A">
        <w:rPr>
          <w:rStyle w:val="FootnoteReference"/>
          <w:rFonts w:ascii="Arial" w:hAnsi="Arial" w:cs="Arial"/>
          <w:sz w:val="20"/>
          <w:szCs w:val="20"/>
        </w:rPr>
        <w:footnoteRef/>
      </w:r>
      <w:r w:rsidRPr="001B5D3A">
        <w:rPr>
          <w:rFonts w:ascii="Arial" w:hAnsi="Arial" w:cs="Arial"/>
          <w:sz w:val="20"/>
          <w:szCs w:val="20"/>
        </w:rPr>
        <w:t xml:space="preserve"> </w:t>
      </w:r>
      <w:r w:rsidRPr="001B5D3A">
        <w:rPr>
          <w:rFonts w:ascii="Arial" w:hAnsi="Arial" w:cs="Arial"/>
          <w:sz w:val="20"/>
          <w:szCs w:val="20"/>
          <w:lang w:val="en-US"/>
        </w:rPr>
        <w:t>Ibid s.11</w:t>
      </w:r>
    </w:p>
  </w:footnote>
  <w:footnote w:id="155">
    <w:p w14:paraId="138DF840" w14:textId="77777777" w:rsidR="005F4E29" w:rsidRPr="00273139" w:rsidRDefault="005F4E29" w:rsidP="001A20CD">
      <w:pPr>
        <w:pStyle w:val="FootnoteText"/>
        <w:rPr>
          <w:sz w:val="20"/>
          <w:szCs w:val="20"/>
          <w:lang w:val="en-US"/>
        </w:rPr>
      </w:pPr>
      <w:r w:rsidRPr="001B5D3A">
        <w:rPr>
          <w:rStyle w:val="FootnoteReference"/>
          <w:rFonts w:ascii="Arial" w:hAnsi="Arial" w:cs="Arial"/>
          <w:sz w:val="20"/>
          <w:szCs w:val="20"/>
        </w:rPr>
        <w:footnoteRef/>
      </w:r>
      <w:r w:rsidRPr="001B5D3A">
        <w:rPr>
          <w:rFonts w:ascii="Arial" w:hAnsi="Arial" w:cs="Arial"/>
          <w:sz w:val="20"/>
          <w:szCs w:val="20"/>
        </w:rPr>
        <w:t xml:space="preserve"> </w:t>
      </w:r>
      <w:r w:rsidRPr="001B5D3A">
        <w:rPr>
          <w:rFonts w:ascii="Arial" w:hAnsi="Arial" w:cs="Arial"/>
          <w:sz w:val="20"/>
          <w:szCs w:val="20"/>
          <w:lang w:val="en-US"/>
        </w:rPr>
        <w:t>ibid, s.16</w:t>
      </w:r>
    </w:p>
  </w:footnote>
  <w:footnote w:id="156">
    <w:p w14:paraId="4879692B" w14:textId="544F9937" w:rsidR="005F4E29" w:rsidRPr="001B5D3A" w:rsidRDefault="005F4E29" w:rsidP="00D46B3E">
      <w:pPr>
        <w:pStyle w:val="FootnoteText"/>
        <w:ind w:left="284" w:hanging="284"/>
        <w:rPr>
          <w:rFonts w:ascii="Arial" w:hAnsi="Arial" w:cs="Arial"/>
          <w:sz w:val="20"/>
          <w:szCs w:val="20"/>
          <w:lang w:val="en-US"/>
        </w:rPr>
      </w:pPr>
      <w:r w:rsidRPr="001B5D3A">
        <w:rPr>
          <w:rStyle w:val="FootnoteReference"/>
          <w:rFonts w:ascii="Arial" w:hAnsi="Arial" w:cs="Arial"/>
          <w:sz w:val="20"/>
          <w:szCs w:val="20"/>
        </w:rPr>
        <w:footnoteRef/>
      </w:r>
      <w:r w:rsidRPr="001B5D3A">
        <w:rPr>
          <w:rFonts w:ascii="Arial" w:hAnsi="Arial" w:cs="Arial"/>
          <w:sz w:val="20"/>
          <w:szCs w:val="20"/>
        </w:rPr>
        <w:t xml:space="preserve"> </w:t>
      </w:r>
      <w:r w:rsidRPr="001B5D3A">
        <w:rPr>
          <w:rStyle w:val="FootnoteReference"/>
          <w:rFonts w:ascii="Arial" w:hAnsi="Arial" w:cs="Arial"/>
          <w:sz w:val="20"/>
          <w:szCs w:val="20"/>
          <w:vertAlign w:val="baseline"/>
        </w:rPr>
        <w:t xml:space="preserve">In Australia, these powers are regulated by the </w:t>
      </w:r>
      <w:r w:rsidRPr="008E696C">
        <w:rPr>
          <w:rStyle w:val="FootnoteReference"/>
          <w:rFonts w:ascii="Arial" w:hAnsi="Arial" w:cs="Arial"/>
          <w:i/>
          <w:sz w:val="20"/>
          <w:szCs w:val="20"/>
          <w:vertAlign w:val="baseline"/>
        </w:rPr>
        <w:t>Extradition Act 1988</w:t>
      </w:r>
      <w:r w:rsidRPr="001B5D3A">
        <w:rPr>
          <w:rStyle w:val="FootnoteReference"/>
          <w:rFonts w:ascii="Arial" w:hAnsi="Arial" w:cs="Arial"/>
          <w:sz w:val="20"/>
          <w:szCs w:val="20"/>
          <w:vertAlign w:val="baseline"/>
        </w:rPr>
        <w:t xml:space="preserve"> and the </w:t>
      </w:r>
      <w:r w:rsidRPr="008E696C">
        <w:rPr>
          <w:rStyle w:val="FootnoteReference"/>
          <w:rFonts w:ascii="Arial" w:hAnsi="Arial" w:cs="Arial"/>
          <w:i/>
          <w:sz w:val="20"/>
          <w:szCs w:val="20"/>
          <w:vertAlign w:val="baseline"/>
        </w:rPr>
        <w:t>Mutual Assistance in Criminal Matters Act 1987</w:t>
      </w:r>
      <w:r>
        <w:rPr>
          <w:rStyle w:val="FootnoteReference"/>
          <w:rFonts w:ascii="Arial" w:hAnsi="Arial" w:cs="Arial"/>
          <w:sz w:val="20"/>
          <w:szCs w:val="20"/>
          <w:vertAlign w:val="baseline"/>
        </w:rPr>
        <w:t xml:space="preserve">. </w:t>
      </w:r>
      <w:r w:rsidRPr="001B5D3A">
        <w:rPr>
          <w:rStyle w:val="FootnoteReference"/>
          <w:rFonts w:ascii="Arial" w:hAnsi="Arial" w:cs="Arial"/>
          <w:sz w:val="20"/>
          <w:szCs w:val="20"/>
          <w:vertAlign w:val="baseline"/>
        </w:rPr>
        <w:t>While international cooperation is ideal with respect to all cultural property offences, there is a specific obligation to establish a legal basis for extradition and mutual assistance with respect to ‘2nd Protocol offences’: Articles 18 to 20, 2</w:t>
      </w:r>
      <w:r w:rsidRPr="001B5D3A">
        <w:rPr>
          <w:rStyle w:val="FootnoteReference"/>
          <w:rFonts w:ascii="Arial" w:hAnsi="Arial" w:cs="Arial"/>
          <w:sz w:val="20"/>
          <w:szCs w:val="20"/>
        </w:rPr>
        <w:t>nd</w:t>
      </w:r>
      <w:r w:rsidRPr="001B5D3A">
        <w:rPr>
          <w:rFonts w:ascii="Arial" w:hAnsi="Arial" w:cs="Arial"/>
          <w:sz w:val="20"/>
          <w:szCs w:val="20"/>
        </w:rPr>
        <w:t xml:space="preserve"> </w:t>
      </w:r>
      <w:r w:rsidRPr="001B5D3A">
        <w:rPr>
          <w:rStyle w:val="FootnoteReference"/>
          <w:rFonts w:ascii="Arial" w:hAnsi="Arial" w:cs="Arial"/>
          <w:sz w:val="20"/>
          <w:szCs w:val="20"/>
          <w:vertAlign w:val="baseline"/>
        </w:rPr>
        <w:t>Protocol</w:t>
      </w:r>
      <w:r w:rsidRPr="001B5D3A">
        <w:rPr>
          <w:rFonts w:ascii="Arial" w:hAnsi="Arial" w:cs="Arial"/>
          <w:sz w:val="20"/>
          <w:szCs w:val="20"/>
        </w:rPr>
        <w:t>.</w:t>
      </w:r>
    </w:p>
  </w:footnote>
  <w:footnote w:id="157">
    <w:p w14:paraId="74C4801E" w14:textId="4640F702" w:rsidR="005F4E29" w:rsidRPr="001B5D3A" w:rsidRDefault="005F4E29" w:rsidP="00D46B3E">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Article 3. For a detailed commentary see </w:t>
      </w:r>
      <w:proofErr w:type="spellStart"/>
      <w:r w:rsidRPr="001B5D3A">
        <w:rPr>
          <w:rStyle w:val="FootnoteReference"/>
          <w:rFonts w:ascii="Arial" w:hAnsi="Arial" w:cs="Arial"/>
          <w:sz w:val="20"/>
          <w:szCs w:val="20"/>
          <w:vertAlign w:val="baseline"/>
        </w:rPr>
        <w:t>Jirí</w:t>
      </w:r>
      <w:proofErr w:type="spellEnd"/>
      <w:r w:rsidRPr="001B5D3A">
        <w:rPr>
          <w:rStyle w:val="FootnoteReference"/>
          <w:rFonts w:ascii="Arial" w:hAnsi="Arial" w:cs="Arial"/>
          <w:sz w:val="20"/>
          <w:szCs w:val="20"/>
          <w:vertAlign w:val="baseline"/>
        </w:rPr>
        <w:t xml:space="preserve"> </w:t>
      </w:r>
      <w:proofErr w:type="spellStart"/>
      <w:r w:rsidRPr="001B5D3A">
        <w:rPr>
          <w:rStyle w:val="FootnoteReference"/>
          <w:rFonts w:ascii="Arial" w:hAnsi="Arial" w:cs="Arial"/>
          <w:sz w:val="20"/>
          <w:szCs w:val="20"/>
          <w:vertAlign w:val="baseline"/>
        </w:rPr>
        <w:t>Toman</w:t>
      </w:r>
      <w:proofErr w:type="spellEnd"/>
      <w:r w:rsidRPr="001B5D3A">
        <w:rPr>
          <w:rStyle w:val="FootnoteReference"/>
          <w:rFonts w:ascii="Arial" w:hAnsi="Arial" w:cs="Arial"/>
          <w:sz w:val="20"/>
          <w:szCs w:val="20"/>
          <w:vertAlign w:val="baseline"/>
        </w:rPr>
        <w:t xml:space="preserve">, </w:t>
      </w:r>
      <w:r>
        <w:rPr>
          <w:rFonts w:ascii="Arial" w:hAnsi="Arial" w:cs="Arial"/>
          <w:sz w:val="20"/>
          <w:szCs w:val="20"/>
        </w:rPr>
        <w:t>‘</w:t>
      </w:r>
      <w:r w:rsidRPr="001B5D3A">
        <w:rPr>
          <w:rStyle w:val="FootnoteReference"/>
          <w:rFonts w:ascii="Arial" w:hAnsi="Arial" w:cs="Arial"/>
          <w:sz w:val="20"/>
          <w:szCs w:val="20"/>
          <w:vertAlign w:val="baseline"/>
        </w:rPr>
        <w:t>The Protection of Cultural Property in the Event of Armed Conflict</w:t>
      </w:r>
      <w:r>
        <w:rPr>
          <w:rFonts w:ascii="Arial" w:hAnsi="Arial" w:cs="Arial"/>
          <w:sz w:val="20"/>
          <w:szCs w:val="20"/>
        </w:rPr>
        <w:t>’</w:t>
      </w:r>
      <w:r w:rsidRPr="001B5D3A">
        <w:rPr>
          <w:rStyle w:val="FootnoteReference"/>
          <w:rFonts w:ascii="Arial" w:hAnsi="Arial" w:cs="Arial"/>
          <w:sz w:val="20"/>
          <w:szCs w:val="20"/>
          <w:vertAlign w:val="baseline"/>
        </w:rPr>
        <w:t>, Dartmouth Publishing Company/UNESCO, 1996, pp 59–66.</w:t>
      </w:r>
    </w:p>
  </w:footnote>
  <w:footnote w:id="158">
    <w:p w14:paraId="3173F583" w14:textId="3B300E79" w:rsidR="005F4E29" w:rsidRPr="001B5D3A" w:rsidRDefault="005F4E29" w:rsidP="00D46B3E">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‘Risk preparedness under the 1954 Hague Convention for the Protection of Cultural Property in the Event of Armed Conflict and its 2nd Protocol’, J. </w:t>
      </w:r>
      <w:proofErr w:type="spellStart"/>
      <w:r w:rsidRPr="001B5D3A">
        <w:rPr>
          <w:rStyle w:val="FootnoteReference"/>
          <w:rFonts w:ascii="Arial" w:hAnsi="Arial" w:cs="Arial"/>
          <w:sz w:val="20"/>
          <w:szCs w:val="20"/>
          <w:vertAlign w:val="baseline"/>
        </w:rPr>
        <w:t>Hladik</w:t>
      </w:r>
      <w:proofErr w:type="spellEnd"/>
      <w:r w:rsidRPr="001B5D3A">
        <w:rPr>
          <w:rStyle w:val="FootnoteReference"/>
          <w:rFonts w:ascii="Arial" w:hAnsi="Arial" w:cs="Arial"/>
          <w:sz w:val="20"/>
          <w:szCs w:val="20"/>
          <w:vertAlign w:val="baseline"/>
        </w:rPr>
        <w:t>. &lt;</w:t>
      </w:r>
      <w:hyperlink r:id="rId3" w:history="1">
        <w:r w:rsidRPr="001B5D3A">
          <w:rPr>
            <w:rStyle w:val="FootnoteReference"/>
            <w:rFonts w:ascii="Arial" w:hAnsi="Arial" w:cs="Arial"/>
            <w:sz w:val="20"/>
            <w:szCs w:val="20"/>
            <w:vertAlign w:val="baseline"/>
          </w:rPr>
          <w:t>http://icom.museum/disaster_preparedness_book/international/hladik.pdf</w:t>
        </w:r>
      </w:hyperlink>
      <w:r>
        <w:rPr>
          <w:rFonts w:ascii="Arial" w:hAnsi="Arial" w:cs="Arial"/>
          <w:sz w:val="20"/>
          <w:szCs w:val="20"/>
        </w:rPr>
        <w:t xml:space="preserve"> </w:t>
      </w:r>
      <w:r w:rsidRPr="001B5D3A">
        <w:rPr>
          <w:rStyle w:val="FootnoteReference"/>
          <w:rFonts w:ascii="Arial" w:hAnsi="Arial" w:cs="Arial"/>
          <w:sz w:val="20"/>
          <w:szCs w:val="20"/>
          <w:vertAlign w:val="baseline"/>
        </w:rPr>
        <w:t>&gt;.</w:t>
      </w:r>
    </w:p>
  </w:footnote>
  <w:footnote w:id="159">
    <w:p w14:paraId="489E6ABF" w14:textId="7E780BBA" w:rsidR="005F4E29" w:rsidRPr="001B5D3A" w:rsidRDefault="005F4E29" w:rsidP="00D46B3E">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‘Cultural property in the event of armed conflict: Some observations on the implementation at the national level’, Jan </w:t>
      </w:r>
      <w:proofErr w:type="spellStart"/>
      <w:r w:rsidRPr="001B5D3A">
        <w:rPr>
          <w:rStyle w:val="FootnoteReference"/>
          <w:rFonts w:ascii="Arial" w:hAnsi="Arial" w:cs="Arial"/>
          <w:sz w:val="20"/>
          <w:szCs w:val="20"/>
          <w:vertAlign w:val="baseline"/>
        </w:rPr>
        <w:t>Hladik</w:t>
      </w:r>
      <w:proofErr w:type="spellEnd"/>
      <w:r w:rsidRPr="001B5D3A">
        <w:rPr>
          <w:rStyle w:val="FootnoteReference"/>
          <w:rFonts w:ascii="Arial" w:hAnsi="Arial" w:cs="Arial"/>
          <w:sz w:val="20"/>
          <w:szCs w:val="20"/>
          <w:vertAlign w:val="baseline"/>
        </w:rPr>
        <w:t>, Museum International No 4, 228, Wiley-Blackwell, UNESCO, 2005, pp 71-76.</w:t>
      </w:r>
    </w:p>
  </w:footnote>
  <w:footnote w:id="160">
    <w:p w14:paraId="0071F828" w14:textId="0E6E7C0F" w:rsidR="005F4E29" w:rsidRPr="001B5D3A" w:rsidRDefault="005F4E29" w:rsidP="00D46B3E">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The Commonwealth and state governments share responsibility for the protection of cultural heritage through various intergovernmental arrangements, including: the Intergovernmental Agreemen</w:t>
      </w:r>
      <w:r>
        <w:rPr>
          <w:rStyle w:val="FootnoteReference"/>
          <w:rFonts w:ascii="Arial" w:hAnsi="Arial" w:cs="Arial"/>
          <w:sz w:val="20"/>
          <w:szCs w:val="20"/>
          <w:vertAlign w:val="baseline"/>
        </w:rPr>
        <w:t>t on the Environment 1992; the C</w:t>
      </w:r>
      <w:r w:rsidRPr="001B5D3A">
        <w:rPr>
          <w:rStyle w:val="FootnoteReference"/>
          <w:rFonts w:ascii="Arial" w:hAnsi="Arial" w:cs="Arial"/>
          <w:sz w:val="20"/>
          <w:szCs w:val="20"/>
          <w:vertAlign w:val="baseline"/>
        </w:rPr>
        <w:t>ouncil of Australian Governments Heads of Agreement on Commonwealth State Roles and Responsibilities for the Environment 1997; the National Heritage Protocol Statement of Roles and Responsibilities 2004; and the Australian World Heritage Intergovernmental Agreement 2009.</w:t>
      </w:r>
    </w:p>
  </w:footnote>
  <w:footnote w:id="161">
    <w:p w14:paraId="2F49D70C" w14:textId="5E66E225" w:rsidR="005F4E29" w:rsidRPr="00273139" w:rsidRDefault="005F4E29" w:rsidP="00D46B3E">
      <w:pPr>
        <w:pStyle w:val="FootnoteText"/>
        <w:ind w:left="284" w:hanging="284"/>
        <w:rPr>
          <w:sz w:val="20"/>
          <w:szCs w:val="20"/>
          <w:lang w:val="en-US"/>
        </w:rPr>
      </w:pPr>
      <w:r w:rsidRPr="001B5D3A">
        <w:rPr>
          <w:rStyle w:val="FootnoteReference"/>
          <w:rFonts w:ascii="Arial" w:hAnsi="Arial" w:cs="Arial"/>
          <w:sz w:val="20"/>
          <w:szCs w:val="20"/>
        </w:rPr>
        <w:footnoteRef/>
      </w:r>
      <w:r w:rsidRPr="001B5D3A">
        <w:rPr>
          <w:rFonts w:ascii="Arial" w:hAnsi="Arial" w:cs="Arial"/>
          <w:sz w:val="20"/>
          <w:szCs w:val="20"/>
        </w:rPr>
        <w:t xml:space="preserve"> </w:t>
      </w:r>
      <w:proofErr w:type="spellStart"/>
      <w:r w:rsidRPr="001B5D3A">
        <w:rPr>
          <w:rStyle w:val="FootnoteReference"/>
          <w:rFonts w:ascii="Arial" w:hAnsi="Arial" w:cs="Arial"/>
          <w:sz w:val="20"/>
          <w:szCs w:val="20"/>
          <w:vertAlign w:val="baseline"/>
        </w:rPr>
        <w:t>cf</w:t>
      </w:r>
      <w:proofErr w:type="spellEnd"/>
      <w:r w:rsidRPr="001B5D3A">
        <w:rPr>
          <w:rStyle w:val="FootnoteReference"/>
          <w:rFonts w:ascii="Arial" w:hAnsi="Arial" w:cs="Arial"/>
          <w:sz w:val="20"/>
          <w:szCs w:val="20"/>
          <w:vertAlign w:val="baseline"/>
        </w:rPr>
        <w:t xml:space="preserve"> Article 3 of the Convention</w:t>
      </w:r>
      <w:r>
        <w:rPr>
          <w:rFonts w:ascii="Arial" w:hAnsi="Arial" w:cs="Arial"/>
          <w:sz w:val="20"/>
          <w:szCs w:val="20"/>
        </w:rPr>
        <w:t>.</w:t>
      </w:r>
    </w:p>
  </w:footnote>
  <w:footnote w:id="162">
    <w:p w14:paraId="3ECBA9E6" w14:textId="77777777" w:rsidR="005F4E29" w:rsidRPr="001B5D3A" w:rsidRDefault="005F4E29" w:rsidP="00D46B3E">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Ibid.</w:t>
      </w:r>
    </w:p>
  </w:footnote>
  <w:footnote w:id="163">
    <w:p w14:paraId="2641A6EC" w14:textId="77777777" w:rsidR="005F4E29" w:rsidRPr="001B5D3A" w:rsidRDefault="005F4E29" w:rsidP="00D46B3E">
      <w:pPr>
        <w:pStyle w:val="FootnoteText"/>
        <w:ind w:left="284" w:hanging="284"/>
        <w:rPr>
          <w:rStyle w:val="FootnoteReference"/>
          <w:rFonts w:ascii="Arial" w:hAnsi="Arial" w:cs="Arial"/>
          <w:sz w:val="20"/>
          <w:szCs w:val="20"/>
          <w:vertAlign w:val="baseline"/>
        </w:rPr>
      </w:pPr>
      <w:r w:rsidRPr="002359E5">
        <w:rPr>
          <w:rStyle w:val="FootnoteReference"/>
          <w:sz w:val="20"/>
          <w:szCs w:val="20"/>
        </w:rPr>
        <w:footnoteRef/>
      </w:r>
      <w:r w:rsidRPr="002359E5">
        <w:rPr>
          <w:rStyle w:val="FootnoteReference"/>
          <w:sz w:val="20"/>
          <w:szCs w:val="20"/>
          <w:vertAlign w:val="baseline"/>
        </w:rPr>
        <w:t xml:space="preserve"> </w:t>
      </w:r>
      <w:r w:rsidRPr="001B5D3A">
        <w:rPr>
          <w:rStyle w:val="FootnoteReference"/>
          <w:rFonts w:ascii="Arial" w:hAnsi="Arial" w:cs="Arial"/>
          <w:sz w:val="20"/>
          <w:szCs w:val="20"/>
          <w:vertAlign w:val="baseline"/>
        </w:rPr>
        <w:t>For example, symbols were provided by the Hague Convention 1907 and the Roerich Pact 1935.</w:t>
      </w:r>
    </w:p>
  </w:footnote>
  <w:footnote w:id="164">
    <w:p w14:paraId="3A8C623D" w14:textId="3F9A0F1C" w:rsidR="005F4E29" w:rsidRDefault="005F4E29" w:rsidP="00672323">
      <w:pPr>
        <w:pStyle w:val="FootnoteText"/>
        <w:ind w:left="284" w:hanging="284"/>
      </w:pPr>
      <w:r>
        <w:rPr>
          <w:rStyle w:val="FootnoteReference"/>
        </w:rPr>
        <w:footnoteRef/>
      </w:r>
      <w:r>
        <w:t xml:space="preserve"> </w:t>
      </w:r>
      <w:r w:rsidRPr="001B5D3A">
        <w:rPr>
          <w:rStyle w:val="FootnoteReference"/>
          <w:rFonts w:ascii="Arial" w:hAnsi="Arial" w:cs="Arial"/>
          <w:sz w:val="20"/>
          <w:szCs w:val="20"/>
          <w:vertAlign w:val="baseline"/>
        </w:rPr>
        <w:t xml:space="preserve">Article 15: ‘pointed below, </w:t>
      </w:r>
      <w:proofErr w:type="spellStart"/>
      <w:r w:rsidRPr="001B5D3A">
        <w:rPr>
          <w:rStyle w:val="FootnoteReference"/>
          <w:rFonts w:ascii="Arial" w:hAnsi="Arial" w:cs="Arial"/>
          <w:sz w:val="20"/>
          <w:szCs w:val="20"/>
          <w:vertAlign w:val="baseline"/>
        </w:rPr>
        <w:t>persaltire</w:t>
      </w:r>
      <w:proofErr w:type="spellEnd"/>
      <w:r w:rsidRPr="001B5D3A">
        <w:rPr>
          <w:rStyle w:val="FootnoteReference"/>
          <w:rFonts w:ascii="Arial" w:hAnsi="Arial" w:cs="Arial"/>
          <w:sz w:val="20"/>
          <w:szCs w:val="20"/>
          <w:vertAlign w:val="baseline"/>
        </w:rPr>
        <w:t xml:space="preserve"> blue and white (a shield consisting of a royal-blue square, one of the angles of which forms the point of the shield, and of a royal-blue triangle above the square, the space on either side being taken up by a white triangle</w:t>
      </w:r>
      <w:r>
        <w:rPr>
          <w:rStyle w:val="FootnoteReference"/>
          <w:rFonts w:ascii="Arial" w:hAnsi="Arial" w:cs="Arial"/>
          <w:sz w:val="20"/>
          <w:szCs w:val="20"/>
          <w:vertAlign w:val="baseline"/>
        </w:rPr>
        <w:t>)</w:t>
      </w:r>
      <w:r w:rsidRPr="001B5D3A">
        <w:rPr>
          <w:rStyle w:val="FootnoteReference"/>
          <w:rFonts w:ascii="Arial" w:hAnsi="Arial" w:cs="Arial"/>
          <w:sz w:val="20"/>
          <w:szCs w:val="20"/>
          <w:vertAlign w:val="baseline"/>
        </w:rPr>
        <w:t>.’</w:t>
      </w:r>
    </w:p>
  </w:footnote>
  <w:footnote w:id="165">
    <w:p w14:paraId="4B4836A6" w14:textId="77777777" w:rsidR="005F4E29" w:rsidRPr="001B5D3A" w:rsidRDefault="005F4E29" w:rsidP="00672323">
      <w:pPr>
        <w:pStyle w:val="FootnoteText"/>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See Article 6 of the Convention</w:t>
      </w:r>
      <w:r w:rsidRPr="001B5D3A">
        <w:rPr>
          <w:rFonts w:ascii="Arial" w:hAnsi="Arial" w:cs="Arial"/>
          <w:sz w:val="20"/>
          <w:szCs w:val="20"/>
        </w:rPr>
        <w:t>.</w:t>
      </w:r>
    </w:p>
  </w:footnote>
  <w:footnote w:id="166">
    <w:p w14:paraId="2C65488F" w14:textId="77777777" w:rsidR="005F4E29" w:rsidRPr="001B5D3A" w:rsidRDefault="005F4E29" w:rsidP="00D46B3E">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See Article 10 of the Convention</w:t>
      </w:r>
      <w:r w:rsidRPr="001B5D3A">
        <w:rPr>
          <w:rFonts w:ascii="Arial" w:hAnsi="Arial" w:cs="Arial"/>
          <w:sz w:val="20"/>
          <w:szCs w:val="20"/>
        </w:rPr>
        <w:t>.</w:t>
      </w:r>
    </w:p>
  </w:footnote>
  <w:footnote w:id="167">
    <w:p w14:paraId="449D7003" w14:textId="77777777" w:rsidR="005F4E29" w:rsidRPr="001B5D3A" w:rsidRDefault="005F4E29" w:rsidP="00D46B3E">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Which marked cultural property prior to and during the 1992-1995 war.</w:t>
      </w:r>
    </w:p>
  </w:footnote>
  <w:footnote w:id="168">
    <w:p w14:paraId="66DF09AA" w14:textId="562F0657" w:rsidR="005F4E29" w:rsidRPr="001B5D3A" w:rsidRDefault="005F4E29" w:rsidP="00D46B3E">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As </w:t>
      </w:r>
      <w:proofErr w:type="spellStart"/>
      <w:r w:rsidRPr="001B5D3A">
        <w:rPr>
          <w:rStyle w:val="FootnoteReference"/>
          <w:rFonts w:ascii="Arial" w:hAnsi="Arial" w:cs="Arial"/>
          <w:sz w:val="20"/>
          <w:szCs w:val="20"/>
          <w:vertAlign w:val="baseline"/>
        </w:rPr>
        <w:t>Kossiakoff</w:t>
      </w:r>
      <w:proofErr w:type="spellEnd"/>
      <w:r w:rsidRPr="001B5D3A">
        <w:rPr>
          <w:rStyle w:val="FootnoteReference"/>
          <w:rFonts w:ascii="Arial" w:hAnsi="Arial" w:cs="Arial"/>
          <w:sz w:val="20"/>
          <w:szCs w:val="20"/>
          <w:vertAlign w:val="baseline"/>
        </w:rPr>
        <w:t xml:space="preserve"> observes, this rationale should be finally dismissed for, as experience in Bosnia showed, a hostile party already knows where hidden property is or at the least can easily find out: ‘The art of war: The protection of cultural property during the </w:t>
      </w:r>
      <w:proofErr w:type="spellStart"/>
      <w:r w:rsidRPr="001B5D3A">
        <w:rPr>
          <w:rStyle w:val="FootnoteReference"/>
          <w:rFonts w:ascii="Arial" w:hAnsi="Arial" w:cs="Arial"/>
          <w:sz w:val="20"/>
          <w:szCs w:val="20"/>
          <w:vertAlign w:val="baseline"/>
        </w:rPr>
        <w:t>Seige</w:t>
      </w:r>
      <w:proofErr w:type="spellEnd"/>
      <w:r w:rsidRPr="001B5D3A">
        <w:rPr>
          <w:rStyle w:val="FootnoteReference"/>
          <w:rFonts w:ascii="Arial" w:hAnsi="Arial" w:cs="Arial"/>
          <w:sz w:val="20"/>
          <w:szCs w:val="20"/>
          <w:vertAlign w:val="baseline"/>
        </w:rPr>
        <w:t xml:space="preserve"> of Sarajevo (1992-1995)’, Megan </w:t>
      </w:r>
      <w:proofErr w:type="spellStart"/>
      <w:r w:rsidRPr="001B5D3A">
        <w:rPr>
          <w:rStyle w:val="FootnoteReference"/>
          <w:rFonts w:ascii="Arial" w:hAnsi="Arial" w:cs="Arial"/>
          <w:sz w:val="20"/>
          <w:szCs w:val="20"/>
          <w:vertAlign w:val="baseline"/>
        </w:rPr>
        <w:t>Kossiakoff</w:t>
      </w:r>
      <w:proofErr w:type="spellEnd"/>
      <w:r w:rsidRPr="001B5D3A">
        <w:rPr>
          <w:rStyle w:val="FootnoteReference"/>
          <w:rFonts w:ascii="Arial" w:hAnsi="Arial" w:cs="Arial"/>
          <w:sz w:val="20"/>
          <w:szCs w:val="20"/>
          <w:vertAlign w:val="baseline"/>
        </w:rPr>
        <w:t xml:space="preserve">, 14 DePaul-LCA J Art and Entertainment Law, (2004), p 109; </w:t>
      </w:r>
      <w:proofErr w:type="spellStart"/>
      <w:r w:rsidRPr="001B5D3A">
        <w:rPr>
          <w:rStyle w:val="FootnoteReference"/>
          <w:rFonts w:ascii="Arial" w:hAnsi="Arial" w:cs="Arial"/>
          <w:sz w:val="20"/>
          <w:szCs w:val="20"/>
          <w:vertAlign w:val="baseline"/>
        </w:rPr>
        <w:t>cf</w:t>
      </w:r>
      <w:proofErr w:type="spellEnd"/>
      <w:r w:rsidRPr="001B5D3A">
        <w:rPr>
          <w:rStyle w:val="FootnoteReference"/>
          <w:rFonts w:ascii="Arial" w:hAnsi="Arial" w:cs="Arial"/>
          <w:sz w:val="20"/>
          <w:szCs w:val="20"/>
          <w:vertAlign w:val="baseline"/>
        </w:rPr>
        <w:t xml:space="preserve"> Patrick J Boylan, </w:t>
      </w:r>
      <w:r>
        <w:rPr>
          <w:rFonts w:ascii="Arial" w:hAnsi="Arial" w:cs="Arial"/>
          <w:sz w:val="20"/>
          <w:szCs w:val="20"/>
        </w:rPr>
        <w:t>‘</w:t>
      </w:r>
      <w:r w:rsidRPr="001B5D3A">
        <w:rPr>
          <w:rStyle w:val="FootnoteReference"/>
          <w:rFonts w:ascii="Arial" w:hAnsi="Arial" w:cs="Arial"/>
          <w:sz w:val="20"/>
          <w:szCs w:val="20"/>
          <w:vertAlign w:val="baseline"/>
        </w:rPr>
        <w:t>Review of the Convention for the Protection of Cultural Property in the Event of Armed Conflict</w:t>
      </w:r>
      <w:r>
        <w:rPr>
          <w:rFonts w:ascii="Arial" w:hAnsi="Arial" w:cs="Arial"/>
          <w:sz w:val="20"/>
          <w:szCs w:val="20"/>
        </w:rPr>
        <w:t>’</w:t>
      </w:r>
      <w:r w:rsidRPr="001B5D3A">
        <w:rPr>
          <w:rStyle w:val="FootnoteReference"/>
          <w:rFonts w:ascii="Arial" w:hAnsi="Arial" w:cs="Arial"/>
          <w:sz w:val="20"/>
          <w:szCs w:val="20"/>
          <w:vertAlign w:val="baseline"/>
        </w:rPr>
        <w:t>, (The Hague Convention of 1954), Paris, UNESCO, 1993, Report ref CLT-93/WS/12.</w:t>
      </w:r>
    </w:p>
  </w:footnote>
  <w:footnote w:id="169">
    <w:p w14:paraId="1582B226" w14:textId="77777777" w:rsidR="005F4E29" w:rsidRPr="001B5D3A" w:rsidRDefault="005F4E29" w:rsidP="00D46B3E">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For example</w:t>
      </w:r>
      <w:r w:rsidRPr="001B5D3A">
        <w:rPr>
          <w:rFonts w:ascii="Arial" w:hAnsi="Arial" w:cs="Arial"/>
          <w:sz w:val="20"/>
          <w:szCs w:val="20"/>
        </w:rPr>
        <w:t>,</w:t>
      </w:r>
      <w:r w:rsidRPr="001B5D3A">
        <w:rPr>
          <w:rStyle w:val="FootnoteReference"/>
          <w:rFonts w:ascii="Arial" w:hAnsi="Arial" w:cs="Arial"/>
          <w:sz w:val="20"/>
          <w:szCs w:val="20"/>
          <w:vertAlign w:val="baseline"/>
        </w:rPr>
        <w:t xml:space="preserve"> Spain.</w:t>
      </w:r>
    </w:p>
  </w:footnote>
  <w:footnote w:id="170">
    <w:p w14:paraId="51F92B27" w14:textId="77777777" w:rsidR="005F4E29" w:rsidRPr="001B5D3A" w:rsidRDefault="005F4E29" w:rsidP="00D46B3E">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For example</w:t>
      </w:r>
      <w:r w:rsidRPr="001B5D3A">
        <w:rPr>
          <w:rFonts w:ascii="Arial" w:hAnsi="Arial" w:cs="Arial"/>
          <w:sz w:val="20"/>
          <w:szCs w:val="20"/>
        </w:rPr>
        <w:t>,</w:t>
      </w:r>
      <w:r w:rsidRPr="001B5D3A">
        <w:rPr>
          <w:rStyle w:val="FootnoteReference"/>
          <w:rFonts w:ascii="Arial" w:hAnsi="Arial" w:cs="Arial"/>
          <w:sz w:val="20"/>
          <w:szCs w:val="20"/>
          <w:vertAlign w:val="baseline"/>
        </w:rPr>
        <w:t xml:space="preserve"> Switzerland. These examples are taken from the UNESCO Report, supra </w:t>
      </w:r>
      <w:proofErr w:type="spellStart"/>
      <w:r w:rsidRPr="001B5D3A">
        <w:rPr>
          <w:rStyle w:val="FootnoteReference"/>
          <w:rFonts w:ascii="Arial" w:hAnsi="Arial" w:cs="Arial"/>
          <w:sz w:val="20"/>
          <w:szCs w:val="20"/>
          <w:vertAlign w:val="baseline"/>
        </w:rPr>
        <w:t>fn</w:t>
      </w:r>
      <w:proofErr w:type="spellEnd"/>
      <w:r w:rsidRPr="001B5D3A">
        <w:rPr>
          <w:rStyle w:val="FootnoteReference"/>
          <w:rFonts w:ascii="Arial" w:hAnsi="Arial" w:cs="Arial"/>
          <w:sz w:val="20"/>
          <w:szCs w:val="20"/>
          <w:vertAlign w:val="baseline"/>
        </w:rPr>
        <w:t xml:space="preserve"> 31, pp 14–16.</w:t>
      </w:r>
    </w:p>
  </w:footnote>
  <w:footnote w:id="171">
    <w:p w14:paraId="5EF95EB8" w14:textId="0465A8A8" w:rsidR="005F4E29" w:rsidRPr="001B5D3A" w:rsidRDefault="005F4E29" w:rsidP="00D46B3E">
      <w:pPr>
        <w:pStyle w:val="FootnoteText"/>
        <w:ind w:left="284" w:hanging="284"/>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w:t>
      </w:r>
      <w:proofErr w:type="spellStart"/>
      <w:r w:rsidRPr="001B5D3A">
        <w:rPr>
          <w:rStyle w:val="FootnoteReference"/>
          <w:rFonts w:ascii="Arial" w:hAnsi="Arial" w:cs="Arial"/>
          <w:sz w:val="20"/>
          <w:szCs w:val="20"/>
          <w:vertAlign w:val="baseline"/>
        </w:rPr>
        <w:t>Kossiakoff</w:t>
      </w:r>
      <w:proofErr w:type="spellEnd"/>
      <w:r w:rsidRPr="001B5D3A">
        <w:rPr>
          <w:rStyle w:val="FootnoteReference"/>
          <w:rFonts w:ascii="Arial" w:hAnsi="Arial" w:cs="Arial"/>
          <w:sz w:val="20"/>
          <w:szCs w:val="20"/>
          <w:vertAlign w:val="baseline"/>
        </w:rPr>
        <w:t xml:space="preserve">, Id FN 46. The cultural damage suffered in this conflict is summarised in: Lopez Henares, ‘Ninth information report on war damage to the cultural heritage in Croatia and Bosnia-Herzegovina’, </w:t>
      </w:r>
      <w:proofErr w:type="spellStart"/>
      <w:r w:rsidRPr="001B5D3A">
        <w:rPr>
          <w:rStyle w:val="FootnoteReference"/>
          <w:rFonts w:ascii="Arial" w:hAnsi="Arial" w:cs="Arial"/>
          <w:sz w:val="20"/>
          <w:szCs w:val="20"/>
          <w:vertAlign w:val="baseline"/>
        </w:rPr>
        <w:t>Eur</w:t>
      </w:r>
      <w:proofErr w:type="spellEnd"/>
      <w:r w:rsidRPr="001B5D3A">
        <w:rPr>
          <w:rStyle w:val="FootnoteReference"/>
          <w:rFonts w:ascii="Arial" w:hAnsi="Arial" w:cs="Arial"/>
          <w:sz w:val="20"/>
          <w:szCs w:val="20"/>
          <w:vertAlign w:val="baseline"/>
        </w:rPr>
        <w:t xml:space="preserve"> Parl Assembly Doc No 7464, sec 3 (1996)</w:t>
      </w:r>
      <w:r>
        <w:rPr>
          <w:rStyle w:val="FootnoteReference"/>
          <w:rFonts w:ascii="Arial" w:hAnsi="Arial" w:cs="Arial"/>
          <w:sz w:val="20"/>
          <w:szCs w:val="20"/>
          <w:vertAlign w:val="baseline"/>
        </w:rPr>
        <w:t>.</w:t>
      </w:r>
    </w:p>
  </w:footnote>
  <w:footnote w:id="172">
    <w:p w14:paraId="1FB393BC" w14:textId="39836C67" w:rsidR="005F4E29" w:rsidRPr="002359E5" w:rsidRDefault="005F4E29" w:rsidP="001A20CD">
      <w:pPr>
        <w:pStyle w:val="FootnoteText"/>
        <w:rPr>
          <w:sz w:val="20"/>
          <w:szCs w:val="20"/>
          <w:lang w:val="en-US"/>
        </w:rPr>
      </w:pPr>
      <w:r w:rsidRPr="001B5D3A">
        <w:rPr>
          <w:rStyle w:val="FootnoteReference"/>
          <w:rFonts w:ascii="Arial" w:hAnsi="Arial" w:cs="Arial"/>
          <w:sz w:val="20"/>
          <w:szCs w:val="20"/>
        </w:rPr>
        <w:footnoteRef/>
      </w:r>
      <w:r>
        <w:rPr>
          <w:rFonts w:ascii="Arial" w:hAnsi="Arial" w:cs="Arial"/>
          <w:sz w:val="20"/>
          <w:szCs w:val="20"/>
        </w:rPr>
        <w:t xml:space="preserve"> I</w:t>
      </w:r>
      <w:r w:rsidRPr="001B5D3A">
        <w:rPr>
          <w:rFonts w:ascii="Arial" w:hAnsi="Arial" w:cs="Arial"/>
          <w:sz w:val="20"/>
          <w:szCs w:val="20"/>
        </w:rPr>
        <w:t>n Australia this has been particularly focussed on natural disasters</w:t>
      </w:r>
      <w:r>
        <w:rPr>
          <w:rFonts w:ascii="Arial" w:hAnsi="Arial" w:cs="Arial"/>
          <w:sz w:val="20"/>
          <w:szCs w:val="20"/>
        </w:rPr>
        <w:t>.</w:t>
      </w:r>
    </w:p>
  </w:footnote>
  <w:footnote w:id="173">
    <w:p w14:paraId="4737536F" w14:textId="77777777" w:rsidR="005F4E29" w:rsidRPr="001B5D3A" w:rsidRDefault="005F4E29" w:rsidP="001A20CD">
      <w:pPr>
        <w:pStyle w:val="FootnoteText"/>
        <w:rPr>
          <w:rStyle w:val="FootnoteReference"/>
          <w:rFonts w:ascii="Arial" w:hAnsi="Arial" w:cs="Arial"/>
          <w:sz w:val="20"/>
          <w:szCs w:val="20"/>
          <w:vertAlign w:val="baseline"/>
        </w:rPr>
      </w:pPr>
      <w:r w:rsidRPr="001B5D3A">
        <w:rPr>
          <w:rStyle w:val="FootnoteReference"/>
          <w:rFonts w:ascii="Arial" w:hAnsi="Arial" w:cs="Arial"/>
          <w:sz w:val="20"/>
          <w:szCs w:val="20"/>
        </w:rPr>
        <w:footnoteRef/>
      </w:r>
      <w:r w:rsidRPr="001B5D3A">
        <w:rPr>
          <w:rStyle w:val="FootnoteReference"/>
          <w:rFonts w:ascii="Arial" w:hAnsi="Arial" w:cs="Arial"/>
          <w:sz w:val="20"/>
          <w:szCs w:val="20"/>
          <w:vertAlign w:val="baseline"/>
        </w:rPr>
        <w:t xml:space="preserve"> Part 30, Article 3.5.2.</w:t>
      </w:r>
    </w:p>
  </w:footnote>
  <w:footnote w:id="174">
    <w:p w14:paraId="6FBAAF55" w14:textId="452B663F" w:rsidR="005F4E29" w:rsidRPr="006520F3" w:rsidRDefault="005F4E29" w:rsidP="00F529AD">
      <w:pPr>
        <w:pStyle w:val="FootnoteText"/>
        <w:rPr>
          <w:rFonts w:ascii="Arial" w:hAnsi="Arial" w:cs="Arial"/>
          <w:sz w:val="20"/>
          <w:szCs w:val="20"/>
        </w:rPr>
      </w:pPr>
      <w:r>
        <w:rPr>
          <w:rStyle w:val="FootnoteReference"/>
        </w:rPr>
        <w:footnoteRef/>
      </w:r>
      <w:r>
        <w:t xml:space="preserve"> </w:t>
      </w:r>
      <w:r>
        <w:rPr>
          <w:rFonts w:ascii="Arial" w:hAnsi="Arial" w:cs="Arial"/>
          <w:sz w:val="20"/>
          <w:szCs w:val="20"/>
        </w:rPr>
        <w:t>Section 9 of the</w:t>
      </w:r>
      <w:r w:rsidRPr="006520F3">
        <w:rPr>
          <w:rFonts w:ascii="Arial" w:hAnsi="Arial" w:cs="Arial"/>
          <w:sz w:val="20"/>
          <w:szCs w:val="20"/>
        </w:rPr>
        <w:t xml:space="preserve"> Act.</w:t>
      </w:r>
    </w:p>
  </w:footnote>
  <w:footnote w:id="175">
    <w:p w14:paraId="67E54FA1" w14:textId="77777777" w:rsidR="005F4E29" w:rsidRPr="006520F3" w:rsidRDefault="005F4E29" w:rsidP="00F529AD">
      <w:pPr>
        <w:pStyle w:val="FootnoteText"/>
        <w:rPr>
          <w:rFonts w:ascii="Arial" w:hAnsi="Arial" w:cs="Arial"/>
          <w:sz w:val="20"/>
          <w:szCs w:val="20"/>
        </w:rPr>
      </w:pPr>
      <w:r w:rsidRPr="006520F3">
        <w:rPr>
          <w:rStyle w:val="FootnoteReference"/>
          <w:rFonts w:ascii="Arial" w:hAnsi="Arial" w:cs="Arial"/>
          <w:sz w:val="20"/>
          <w:szCs w:val="20"/>
        </w:rPr>
        <w:footnoteRef/>
      </w:r>
      <w:r w:rsidRPr="006520F3">
        <w:rPr>
          <w:rFonts w:ascii="Arial" w:hAnsi="Arial" w:cs="Arial"/>
          <w:sz w:val="20"/>
          <w:szCs w:val="20"/>
        </w:rPr>
        <w:t xml:space="preserve"> Renamed from the current category of Australian Protected Object.</w:t>
      </w:r>
    </w:p>
  </w:footnote>
  <w:footnote w:id="176">
    <w:p w14:paraId="632CC826" w14:textId="77777777" w:rsidR="005F4E29" w:rsidRPr="00B520DC" w:rsidRDefault="005F4E29" w:rsidP="00F529AD">
      <w:pPr>
        <w:pStyle w:val="FootnoteText"/>
      </w:pPr>
      <w:r w:rsidRPr="006520F3">
        <w:rPr>
          <w:rStyle w:val="FootnoteReference"/>
          <w:rFonts w:ascii="Arial" w:hAnsi="Arial" w:cs="Arial"/>
          <w:sz w:val="20"/>
          <w:szCs w:val="20"/>
        </w:rPr>
        <w:footnoteRef/>
      </w:r>
      <w:r w:rsidRPr="006520F3">
        <w:rPr>
          <w:rFonts w:ascii="Arial" w:hAnsi="Arial" w:cs="Arial"/>
          <w:sz w:val="20"/>
          <w:szCs w:val="20"/>
        </w:rPr>
        <w:t xml:space="preserve"> See Division 5 of the </w:t>
      </w:r>
      <w:r w:rsidRPr="006520F3">
        <w:rPr>
          <w:rFonts w:ascii="Arial" w:hAnsi="Arial" w:cs="Arial"/>
          <w:i/>
          <w:sz w:val="20"/>
          <w:szCs w:val="20"/>
        </w:rPr>
        <w:t>Criminal Code Act 1995.</w:t>
      </w:r>
    </w:p>
  </w:footnote>
  <w:footnote w:id="177">
    <w:p w14:paraId="480752E3" w14:textId="0BDEF88F" w:rsidR="005F4E29" w:rsidRPr="007B5167" w:rsidRDefault="005F4E29" w:rsidP="00F529AD">
      <w:pPr>
        <w:pStyle w:val="FootnoteText"/>
        <w:rPr>
          <w:lang w:val="en-US"/>
        </w:rPr>
      </w:pPr>
      <w:r>
        <w:rPr>
          <w:rStyle w:val="FootnoteReference"/>
        </w:rPr>
        <w:footnoteRef/>
      </w:r>
      <w:r>
        <w:t xml:space="preserve"> </w:t>
      </w:r>
      <w:r w:rsidRPr="008E696C">
        <w:rPr>
          <w:rFonts w:ascii="Arial" w:hAnsi="Arial" w:cs="Arial"/>
          <w:sz w:val="20"/>
          <w:szCs w:val="20"/>
          <w:lang w:val="en-US"/>
        </w:rPr>
        <w:t>See Part 41.1</w:t>
      </w:r>
    </w:p>
  </w:footnote>
  <w:footnote w:id="178">
    <w:p w14:paraId="5C03BCAF" w14:textId="77777777" w:rsidR="005F4E29" w:rsidRPr="006520F3" w:rsidRDefault="005F4E29" w:rsidP="00D46B3E">
      <w:pPr>
        <w:pStyle w:val="FootnoteText"/>
        <w:ind w:left="284" w:hanging="284"/>
        <w:rPr>
          <w:rFonts w:ascii="Arial" w:hAnsi="Arial" w:cs="Arial"/>
          <w:sz w:val="22"/>
          <w:szCs w:val="22"/>
        </w:rPr>
      </w:pPr>
      <w:r w:rsidRPr="0087117C">
        <w:rPr>
          <w:rStyle w:val="FootnoteReference"/>
        </w:rPr>
        <w:footnoteRef/>
      </w:r>
      <w:r w:rsidRPr="0087117C">
        <w:t xml:space="preserve"> </w:t>
      </w:r>
      <w:r w:rsidRPr="006520F3">
        <w:rPr>
          <w:rFonts w:ascii="Arial" w:hAnsi="Arial" w:cs="Arial"/>
          <w:sz w:val="22"/>
          <w:szCs w:val="22"/>
        </w:rPr>
        <w:t>Such a definition should be inclusive rather than exhaustive so as to not exclude coverage of other forms of transport.</w:t>
      </w:r>
    </w:p>
  </w:footnote>
  <w:footnote w:id="179">
    <w:p w14:paraId="166A66D6" w14:textId="53632217" w:rsidR="005F4E29" w:rsidRPr="0087117C" w:rsidRDefault="005F4E29" w:rsidP="00D46B3E">
      <w:pPr>
        <w:pStyle w:val="FootnoteText"/>
        <w:ind w:left="284" w:hanging="284"/>
      </w:pPr>
      <w:r w:rsidRPr="006520F3">
        <w:rPr>
          <w:rStyle w:val="FootnoteReference"/>
          <w:rFonts w:ascii="Arial" w:hAnsi="Arial" w:cs="Arial"/>
          <w:sz w:val="22"/>
          <w:szCs w:val="22"/>
        </w:rPr>
        <w:footnoteRef/>
      </w:r>
      <w:r w:rsidRPr="006520F3">
        <w:rPr>
          <w:rFonts w:ascii="Arial" w:hAnsi="Arial" w:cs="Arial"/>
          <w:sz w:val="22"/>
          <w:szCs w:val="22"/>
        </w:rPr>
        <w:t xml:space="preserve"> Al</w:t>
      </w:r>
      <w:r>
        <w:rPr>
          <w:rFonts w:ascii="Arial" w:hAnsi="Arial" w:cs="Arial"/>
          <w:sz w:val="22"/>
          <w:szCs w:val="22"/>
        </w:rPr>
        <w:t>ready there is an example of an</w:t>
      </w:r>
      <w:r w:rsidRPr="006520F3">
        <w:rPr>
          <w:rFonts w:ascii="Arial" w:hAnsi="Arial" w:cs="Arial"/>
          <w:sz w:val="22"/>
          <w:szCs w:val="22"/>
        </w:rPr>
        <w:t xml:space="preserve"> owner who was refused an export permit </w:t>
      </w:r>
      <w:r>
        <w:rPr>
          <w:rFonts w:ascii="Arial" w:hAnsi="Arial" w:cs="Arial"/>
          <w:sz w:val="22"/>
          <w:szCs w:val="22"/>
        </w:rPr>
        <w:t xml:space="preserve">who </w:t>
      </w:r>
      <w:r w:rsidRPr="006520F3">
        <w:rPr>
          <w:rFonts w:ascii="Arial" w:hAnsi="Arial" w:cs="Arial"/>
          <w:sz w:val="22"/>
          <w:szCs w:val="22"/>
        </w:rPr>
        <w:t>chose to destroy the significant object as an expression of their pique.</w:t>
      </w:r>
      <w:r w:rsidRPr="0087117C">
        <w:t xml:space="preserve"> </w:t>
      </w:r>
    </w:p>
  </w:footnote>
  <w:footnote w:id="180">
    <w:p w14:paraId="0AF7CA61" w14:textId="0C20FD48" w:rsidR="005F4E29" w:rsidRDefault="005F4E29" w:rsidP="00F529AD">
      <w:pPr>
        <w:pStyle w:val="FootnoteText"/>
      </w:pPr>
      <w:r>
        <w:rPr>
          <w:rStyle w:val="FootnoteReference"/>
        </w:rPr>
        <w:footnoteRef/>
      </w:r>
      <w:r>
        <w:t xml:space="preserve"> </w:t>
      </w:r>
      <w:r w:rsidRPr="008E696C">
        <w:rPr>
          <w:rFonts w:ascii="Arial" w:hAnsi="Arial" w:cs="Arial"/>
          <w:sz w:val="20"/>
          <w:szCs w:val="20"/>
        </w:rPr>
        <w:t xml:space="preserve">Section 14 </w:t>
      </w:r>
      <w:r>
        <w:rPr>
          <w:rFonts w:ascii="Arial" w:hAnsi="Arial" w:cs="Arial"/>
          <w:sz w:val="20"/>
          <w:szCs w:val="20"/>
        </w:rPr>
        <w:t xml:space="preserve">of the </w:t>
      </w:r>
      <w:r w:rsidRPr="008E696C">
        <w:rPr>
          <w:rFonts w:ascii="Arial" w:hAnsi="Arial" w:cs="Arial"/>
          <w:sz w:val="20"/>
          <w:szCs w:val="20"/>
        </w:rPr>
        <w:t>Act.</w:t>
      </w:r>
      <w:r>
        <w:t xml:space="preserve"> </w:t>
      </w:r>
    </w:p>
  </w:footnote>
  <w:footnote w:id="181">
    <w:p w14:paraId="32137721" w14:textId="77777777" w:rsidR="005F4E29" w:rsidRPr="00642A49" w:rsidRDefault="005F4E29" w:rsidP="00D46B3E">
      <w:pPr>
        <w:pStyle w:val="FootnoteText"/>
        <w:ind w:left="284" w:hanging="284"/>
        <w:rPr>
          <w:lang w:val="en-US"/>
        </w:rPr>
      </w:pPr>
      <w:r>
        <w:rPr>
          <w:rStyle w:val="FootnoteReference"/>
        </w:rPr>
        <w:footnoteRef/>
      </w:r>
      <w:r>
        <w:t xml:space="preserve"> </w:t>
      </w:r>
      <w:r>
        <w:rPr>
          <w:lang w:val="en-US"/>
        </w:rPr>
        <w:t>And thus if it were re-imported at a later date, its re-export would require a permit application.</w:t>
      </w:r>
    </w:p>
  </w:footnote>
  <w:footnote w:id="182">
    <w:p w14:paraId="2FCE0A20" w14:textId="77777777" w:rsidR="005F4E29" w:rsidRPr="00273139" w:rsidRDefault="005F4E29" w:rsidP="003B4493">
      <w:pPr>
        <w:pStyle w:val="FootnoteText"/>
        <w:rPr>
          <w:lang w:val="en-US"/>
        </w:rPr>
      </w:pPr>
      <w:r>
        <w:rPr>
          <w:rStyle w:val="FootnoteReference"/>
        </w:rPr>
        <w:footnoteRef/>
      </w:r>
      <w:r>
        <w:t xml:space="preserve"> </w:t>
      </w:r>
      <w:r w:rsidRPr="0025348B">
        <w:rPr>
          <w:rFonts w:ascii="Arial" w:hAnsi="Arial" w:cs="Arial"/>
          <w:sz w:val="20"/>
          <w:szCs w:val="20"/>
        </w:rPr>
        <w:t>They now fall into Part 3.</w:t>
      </w:r>
    </w:p>
  </w:footnote>
  <w:footnote w:id="183">
    <w:p w14:paraId="0E673F00" w14:textId="686EA1BA" w:rsidR="005F4E29" w:rsidRPr="00101EEB" w:rsidRDefault="005F4E29" w:rsidP="00D46B3E">
      <w:pPr>
        <w:pStyle w:val="FootnoteText"/>
        <w:ind w:left="284" w:hanging="284"/>
        <w:rPr>
          <w:lang w:val="en-US"/>
        </w:rPr>
      </w:pPr>
      <w:r>
        <w:rPr>
          <w:rStyle w:val="FootnoteReference"/>
        </w:rPr>
        <w:footnoteRef/>
      </w:r>
      <w:r>
        <w:t xml:space="preserve"> </w:t>
      </w:r>
      <w:r w:rsidRPr="0025348B">
        <w:rPr>
          <w:rFonts w:ascii="Arial" w:hAnsi="Arial" w:cs="Arial"/>
          <w:sz w:val="20"/>
          <w:szCs w:val="20"/>
        </w:rPr>
        <w:t xml:space="preserve">The definition of ‘sacred site’ should harmonise with other Commonwealth, State or Territory legislation. For example: </w:t>
      </w:r>
      <w:r w:rsidRPr="0025348B">
        <w:rPr>
          <w:rFonts w:ascii="Arial" w:eastAsia="Times New Roman" w:hAnsi="Arial" w:cs="Arial"/>
          <w:sz w:val="20"/>
          <w:szCs w:val="20"/>
        </w:rPr>
        <w:t>"Sacred site" means a site that is sacred to Aboriginals or is otherwise of significance according to Aboriginal tradition, and includes any land that, under a law of the Northern Territory, is declared to be sacred to Aboriginals or of significance ac</w:t>
      </w:r>
      <w:r>
        <w:rPr>
          <w:rFonts w:ascii="Arial" w:eastAsia="Times New Roman" w:hAnsi="Arial" w:cs="Arial"/>
          <w:sz w:val="20"/>
          <w:szCs w:val="20"/>
        </w:rPr>
        <w:t>cording to Aboriginal tradition—</w:t>
      </w:r>
      <w:r w:rsidRPr="0025348B">
        <w:rPr>
          <w:rFonts w:ascii="Arial" w:eastAsia="Times New Roman" w:hAnsi="Arial" w:cs="Arial"/>
          <w:i/>
          <w:iCs/>
          <w:sz w:val="20"/>
          <w:szCs w:val="20"/>
        </w:rPr>
        <w:t>Aboriginal Land Rights (Northern Territory) Act 1976, Part VII, s.69</w:t>
      </w:r>
      <w:r>
        <w:rPr>
          <w:rFonts w:ascii="Arial" w:eastAsia="Times New Roman" w:hAnsi="Arial" w:cs="Arial"/>
          <w:i/>
          <w:iCs/>
          <w:sz w:val="20"/>
          <w:szCs w:val="20"/>
        </w:rPr>
        <w:t>.</w:t>
      </w:r>
    </w:p>
  </w:footnote>
  <w:footnote w:id="184">
    <w:p w14:paraId="29E8A085" w14:textId="77777777" w:rsidR="005F4E29" w:rsidRDefault="005F4E29" w:rsidP="00D46B3E">
      <w:pPr>
        <w:pStyle w:val="FootnoteText"/>
        <w:ind w:left="284" w:hanging="284"/>
      </w:pPr>
      <w:r>
        <w:rPr>
          <w:rStyle w:val="FootnoteReference"/>
        </w:rPr>
        <w:footnoteRef/>
      </w:r>
      <w:r>
        <w:t xml:space="preserve"> </w:t>
      </w:r>
      <w:r w:rsidRPr="00795420">
        <w:rPr>
          <w:sz w:val="18"/>
          <w:szCs w:val="18"/>
        </w:rPr>
        <w:t>This category will encompass Aboriginal Papunya paintings (pre</w:t>
      </w:r>
      <w:r>
        <w:rPr>
          <w:sz w:val="18"/>
          <w:szCs w:val="18"/>
        </w:rPr>
        <w:t>-</w:t>
      </w:r>
      <w:r w:rsidRPr="00795420">
        <w:rPr>
          <w:sz w:val="18"/>
          <w:szCs w:val="18"/>
        </w:rPr>
        <w:t>1974) having a current market value of at least $100,000 (excluding those with secret/sacred imagery which are covered under Part 1</w:t>
      </w:r>
      <w:r>
        <w:rPr>
          <w:sz w:val="18"/>
          <w:szCs w:val="18"/>
        </w:rPr>
        <w:t>)</w:t>
      </w:r>
      <w:r w:rsidRPr="00795420">
        <w:rPr>
          <w:sz w:val="18"/>
          <w:szCs w:val="18"/>
        </w:rPr>
        <w:t>.</w:t>
      </w:r>
    </w:p>
  </w:footnote>
  <w:footnote w:id="185">
    <w:p w14:paraId="748C5ED7" w14:textId="4AC7C4F2" w:rsidR="005F4E29" w:rsidRPr="00024A10" w:rsidRDefault="005F4E29" w:rsidP="00D46B3E">
      <w:pPr>
        <w:pStyle w:val="FootnoteText"/>
        <w:ind w:left="284" w:hanging="284"/>
        <w:rPr>
          <w:rStyle w:val="FootnoteReference"/>
          <w:rFonts w:ascii="Arial" w:hAnsi="Arial" w:cs="Arial"/>
          <w:sz w:val="20"/>
          <w:szCs w:val="20"/>
          <w:vertAlign w:val="baseline"/>
        </w:rPr>
      </w:pPr>
      <w:r w:rsidRPr="00024A10">
        <w:rPr>
          <w:rStyle w:val="FootnoteReference"/>
          <w:rFonts w:ascii="Arial" w:hAnsi="Arial" w:cs="Arial"/>
          <w:sz w:val="20"/>
          <w:szCs w:val="20"/>
        </w:rPr>
        <w:footnoteRef/>
      </w:r>
      <w:r w:rsidRPr="00024A10">
        <w:rPr>
          <w:rStyle w:val="FootnoteReference"/>
          <w:rFonts w:ascii="Arial" w:hAnsi="Arial" w:cs="Arial"/>
          <w:sz w:val="20"/>
          <w:szCs w:val="20"/>
        </w:rPr>
        <w:t xml:space="preserve"> </w:t>
      </w:r>
      <w:r w:rsidRPr="00024A10">
        <w:rPr>
          <w:rStyle w:val="FootnoteReference"/>
          <w:rFonts w:ascii="Arial" w:hAnsi="Arial" w:cs="Arial"/>
          <w:sz w:val="20"/>
          <w:szCs w:val="20"/>
          <w:vertAlign w:val="baseline"/>
        </w:rPr>
        <w:t>One of the great problems in bringing successful prosecutions is the difficulty of proving the exact country of origin where national boundaries cross-cultural regions (</w:t>
      </w:r>
      <w:proofErr w:type="spellStart"/>
      <w:r w:rsidRPr="00024A10">
        <w:rPr>
          <w:rStyle w:val="FootnoteReference"/>
          <w:rFonts w:ascii="Arial" w:hAnsi="Arial" w:cs="Arial"/>
          <w:sz w:val="20"/>
          <w:szCs w:val="20"/>
          <w:vertAlign w:val="baseline"/>
        </w:rPr>
        <w:t>eg</w:t>
      </w:r>
      <w:proofErr w:type="spellEnd"/>
      <w:r w:rsidRPr="00024A10">
        <w:rPr>
          <w:rStyle w:val="FootnoteReference"/>
          <w:rFonts w:ascii="Arial" w:hAnsi="Arial" w:cs="Arial"/>
          <w:sz w:val="20"/>
          <w:szCs w:val="20"/>
          <w:vertAlign w:val="baseline"/>
        </w:rPr>
        <w:t xml:space="preserve"> Mesopotamia). To overcome this it is essential that the burden be reversed so that it is upon the possessor of the object to provide evidence of lawful export.</w:t>
      </w:r>
      <w:r>
        <w:rPr>
          <w:rStyle w:val="FootnoteReference"/>
          <w:rFonts w:ascii="Arial" w:hAnsi="Arial" w:cs="Arial"/>
          <w:sz w:val="20"/>
          <w:szCs w:val="20"/>
          <w:vertAlign w:val="baseline"/>
        </w:rPr>
        <w:t xml:space="preserve"> </w:t>
      </w:r>
    </w:p>
  </w:footnote>
  <w:footnote w:id="186">
    <w:p w14:paraId="481F473B" w14:textId="7B147017" w:rsidR="005F4E29" w:rsidRPr="0089089C" w:rsidRDefault="005F4E29" w:rsidP="00D46B3E">
      <w:pPr>
        <w:pStyle w:val="FootnoteText"/>
        <w:ind w:left="284" w:hanging="284"/>
        <w:rPr>
          <w:sz w:val="20"/>
          <w:szCs w:val="20"/>
          <w:lang w:val="en-US"/>
        </w:rPr>
      </w:pPr>
      <w:r w:rsidRPr="00024A10">
        <w:rPr>
          <w:rStyle w:val="FootnoteReference"/>
          <w:rFonts w:ascii="Arial" w:hAnsi="Arial" w:cs="Arial"/>
          <w:sz w:val="20"/>
          <w:szCs w:val="20"/>
        </w:rPr>
        <w:footnoteRef/>
      </w:r>
      <w:r>
        <w:rPr>
          <w:rFonts w:ascii="Arial" w:hAnsi="Arial" w:cs="Arial"/>
          <w:sz w:val="20"/>
          <w:szCs w:val="20"/>
        </w:rPr>
        <w:t xml:space="preserve"> </w:t>
      </w:r>
      <w:r w:rsidRPr="00024A10">
        <w:rPr>
          <w:rFonts w:ascii="Arial" w:hAnsi="Arial" w:cs="Arial"/>
          <w:sz w:val="20"/>
          <w:szCs w:val="20"/>
        </w:rPr>
        <w:t>Subject to limited exceptions where it is not appropriate to provide the information, such as national security considerations.</w:t>
      </w:r>
      <w:r>
        <w:rPr>
          <w:sz w:val="20"/>
          <w:szCs w:val="20"/>
        </w:rPr>
        <w:t xml:space="preserve"> </w:t>
      </w:r>
    </w:p>
  </w:footnote>
  <w:footnote w:id="187">
    <w:p w14:paraId="72FC7647" w14:textId="6434FF98" w:rsidR="005F4E29" w:rsidRPr="00024A10" w:rsidRDefault="005F4E29" w:rsidP="00F8414F">
      <w:pPr>
        <w:pStyle w:val="FootnoteText"/>
        <w:rPr>
          <w:rStyle w:val="FootnoteReference"/>
          <w:rFonts w:ascii="Arial" w:hAnsi="Arial" w:cs="Arial"/>
          <w:sz w:val="20"/>
          <w:szCs w:val="20"/>
          <w:vertAlign w:val="baseline"/>
        </w:rPr>
      </w:pPr>
      <w:r w:rsidRPr="00D46B3E">
        <w:rPr>
          <w:rStyle w:val="FootnoteReference"/>
          <w:rFonts w:ascii="Arial" w:hAnsi="Arial" w:cs="Arial"/>
          <w:sz w:val="20"/>
          <w:szCs w:val="20"/>
        </w:rPr>
        <w:footnoteRef/>
      </w:r>
      <w:r w:rsidRPr="00D46B3E">
        <w:rPr>
          <w:rStyle w:val="FootnoteReference"/>
          <w:rFonts w:ascii="Arial" w:hAnsi="Arial" w:cs="Arial"/>
          <w:sz w:val="20"/>
          <w:szCs w:val="20"/>
        </w:rPr>
        <w:t xml:space="preserve"> </w:t>
      </w:r>
      <w:r w:rsidRPr="00024A10">
        <w:rPr>
          <w:rStyle w:val="FootnoteReference"/>
          <w:rFonts w:ascii="Arial" w:hAnsi="Arial" w:cs="Arial"/>
          <w:sz w:val="20"/>
          <w:szCs w:val="20"/>
          <w:vertAlign w:val="baseline"/>
        </w:rPr>
        <w:t>The UNIDROIT Convention</w:t>
      </w:r>
      <w:r>
        <w:rPr>
          <w:rFonts w:ascii="Arial" w:hAnsi="Arial" w:cs="Arial"/>
          <w:sz w:val="20"/>
          <w:szCs w:val="20"/>
        </w:rPr>
        <w:t xml:space="preserve"> 1995</w:t>
      </w:r>
      <w:r w:rsidRPr="00024A10">
        <w:rPr>
          <w:rStyle w:val="FootnoteReference"/>
          <w:rFonts w:ascii="Arial" w:hAnsi="Arial" w:cs="Arial"/>
          <w:sz w:val="20"/>
          <w:szCs w:val="20"/>
          <w:vertAlign w:val="baseline"/>
        </w:rPr>
        <w:t>, Art 6, uses ‘fair and reasonable’ but does not define those terms.</w:t>
      </w:r>
    </w:p>
  </w:footnote>
  <w:footnote w:id="188">
    <w:p w14:paraId="5A526572" w14:textId="42B55234" w:rsidR="005F4E29" w:rsidRDefault="005F4E29" w:rsidP="00D46B3E">
      <w:pPr>
        <w:pStyle w:val="FootnoteText"/>
        <w:ind w:left="284" w:hanging="284"/>
      </w:pPr>
      <w:r>
        <w:rPr>
          <w:rStyle w:val="FootnoteReference"/>
        </w:rPr>
        <w:footnoteRef/>
      </w:r>
      <w:r>
        <w:t xml:space="preserve"> </w:t>
      </w:r>
      <w:r w:rsidRPr="00024A10">
        <w:rPr>
          <w:rStyle w:val="FootnoteReference"/>
          <w:rFonts w:ascii="Arial" w:hAnsi="Arial" w:cs="Arial"/>
          <w:sz w:val="20"/>
          <w:szCs w:val="20"/>
          <w:vertAlign w:val="baseline"/>
        </w:rPr>
        <w:t>N</w:t>
      </w:r>
      <w:r>
        <w:rPr>
          <w:rFonts w:ascii="Arial" w:hAnsi="Arial" w:cs="Arial"/>
          <w:sz w:val="20"/>
          <w:szCs w:val="20"/>
        </w:rPr>
        <w:t xml:space="preserve">ew </w:t>
      </w:r>
      <w:r w:rsidRPr="00024A10">
        <w:rPr>
          <w:rStyle w:val="FootnoteReference"/>
          <w:rFonts w:ascii="Arial" w:hAnsi="Arial" w:cs="Arial"/>
          <w:sz w:val="20"/>
          <w:szCs w:val="20"/>
          <w:vertAlign w:val="baseline"/>
        </w:rPr>
        <w:t>Z</w:t>
      </w:r>
      <w:r>
        <w:rPr>
          <w:rStyle w:val="FootnoteReference"/>
          <w:rFonts w:ascii="Arial" w:hAnsi="Arial" w:cs="Arial"/>
          <w:sz w:val="20"/>
          <w:szCs w:val="20"/>
          <w:vertAlign w:val="baseline"/>
        </w:rPr>
        <w:t>ealand</w:t>
      </w:r>
      <w:r w:rsidRPr="00024A10">
        <w:rPr>
          <w:rStyle w:val="FootnoteReference"/>
          <w:rFonts w:ascii="Arial" w:hAnsi="Arial" w:cs="Arial"/>
          <w:sz w:val="20"/>
          <w:szCs w:val="20"/>
          <w:vertAlign w:val="baseline"/>
        </w:rPr>
        <w:t xml:space="preserve"> adds 50 years after the death of that person but this is not supported. The analogy with copyright law (as the term was at the date of the UNIDROIT Convention is fallacious).</w:t>
      </w:r>
      <w:r>
        <w:rPr>
          <w:rStyle w:val="FootnoteReference"/>
          <w:sz w:val="20"/>
          <w:szCs w:val="20"/>
          <w:vertAlign w:val="baseline"/>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D72066D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1DA348B"/>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2496A44"/>
    <w:multiLevelType w:val="hybridMultilevel"/>
    <w:tmpl w:val="ECF2BEA0"/>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 w15:restartNumberingAfterBreak="0">
    <w:nsid w:val="02646356"/>
    <w:multiLevelType w:val="hybridMultilevel"/>
    <w:tmpl w:val="64B28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F21A56"/>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36312E8"/>
    <w:multiLevelType w:val="hybridMultilevel"/>
    <w:tmpl w:val="EFC64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A75C18"/>
    <w:multiLevelType w:val="multilevel"/>
    <w:tmpl w:val="E4D2FCA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bullet"/>
      <w:lvlText w:val=""/>
      <w:lvlJc w:val="left"/>
      <w:pPr>
        <w:ind w:left="907" w:hanging="340"/>
      </w:pPr>
      <w:rPr>
        <w:rFonts w:ascii="Symbol" w:hAnsi="Symbol" w:hint="default"/>
      </w:rPr>
    </w:lvl>
    <w:lvl w:ilvl="5">
      <w:start w:val="1"/>
      <w:numFmt w:val="lowerRoman"/>
      <w:suff w:val="space"/>
      <w:lvlText w:val="(%6)"/>
      <w:lvlJc w:val="left"/>
      <w:pPr>
        <w:ind w:left="1208" w:hanging="215"/>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408653F"/>
    <w:multiLevelType w:val="hybridMultilevel"/>
    <w:tmpl w:val="BC9C49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6284F46"/>
    <w:multiLevelType w:val="hybridMultilevel"/>
    <w:tmpl w:val="0FBE5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62E36D2"/>
    <w:multiLevelType w:val="hybridMultilevel"/>
    <w:tmpl w:val="9E3C0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D8446C"/>
    <w:multiLevelType w:val="hybridMultilevel"/>
    <w:tmpl w:val="4EDCB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C3584D"/>
    <w:multiLevelType w:val="multilevel"/>
    <w:tmpl w:val="DCFE8C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720" w:hanging="720"/>
      </w:pPr>
      <w:rPr>
        <w:rFonts w:ascii="Symbol" w:hAnsi="Symbol" w:hint="default"/>
      </w:rPr>
    </w:lvl>
    <w:lvl w:ilvl="3">
      <w:start w:val="1"/>
      <w:numFmt w:val="decimal"/>
      <w:lvlText w:val="(%4)"/>
      <w:lvlJc w:val="left"/>
      <w:pPr>
        <w:ind w:left="864" w:hanging="864"/>
      </w:pPr>
      <w:rPr>
        <w:rFonts w:hint="default"/>
      </w:rPr>
    </w:lvl>
    <w:lvl w:ilvl="4">
      <w:start w:val="1"/>
      <w:numFmt w:val="lowerLetter"/>
      <w:lvlText w:val="(%5)"/>
      <w:lvlJc w:val="left"/>
      <w:pPr>
        <w:ind w:left="1008" w:hanging="1008"/>
      </w:pPr>
      <w:rPr>
        <w:rFonts w:hint="default"/>
      </w:rPr>
    </w:lvl>
    <w:lvl w:ilvl="5">
      <w:start w:val="1"/>
      <w:numFmt w:val="bullet"/>
      <w:lvlText w:val=""/>
      <w:lvlJc w:val="left"/>
      <w:pPr>
        <w:ind w:left="1152" w:hanging="1152"/>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0CD44E19"/>
    <w:multiLevelType w:val="multilevel"/>
    <w:tmpl w:val="806ACFE8"/>
    <w:styleLink w:val="HeadingList"/>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3" w15:restartNumberingAfterBreak="0">
    <w:nsid w:val="0CF95DE1"/>
    <w:multiLevelType w:val="hybridMultilevel"/>
    <w:tmpl w:val="B8BEF9F8"/>
    <w:lvl w:ilvl="0" w:tplc="22AED262">
      <w:start w:val="1"/>
      <w:numFmt w:val="decimal"/>
      <w:lvlText w:val="(%1)"/>
      <w:lvlJc w:val="left"/>
      <w:pPr>
        <w:ind w:left="720" w:hanging="360"/>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F224F58"/>
    <w:multiLevelType w:val="hybridMultilevel"/>
    <w:tmpl w:val="5FD83A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F5A1441"/>
    <w:multiLevelType w:val="hybridMultilevel"/>
    <w:tmpl w:val="7EC4A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FB82C82"/>
    <w:multiLevelType w:val="hybridMultilevel"/>
    <w:tmpl w:val="5C20A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FEB5B01"/>
    <w:multiLevelType w:val="hybridMultilevel"/>
    <w:tmpl w:val="ED744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187271E"/>
    <w:multiLevelType w:val="hybridMultilevel"/>
    <w:tmpl w:val="C5468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18D7CE5"/>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11BD3D0C"/>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11FE6362"/>
    <w:multiLevelType w:val="hybridMultilevel"/>
    <w:tmpl w:val="E11445A6"/>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0F6C88"/>
    <w:multiLevelType w:val="multilevel"/>
    <w:tmpl w:val="DBEC6E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4"/>
      <w:numFmt w:val="lowerLetter"/>
      <w:lvlText w:val="(%5)"/>
      <w:lvlJc w:val="left"/>
      <w:pPr>
        <w:ind w:left="1021" w:hanging="454"/>
      </w:pPr>
      <w:rPr>
        <w:rFonts w:hint="default"/>
      </w:rPr>
    </w:lvl>
    <w:lvl w:ilvl="5">
      <w:start w:val="1"/>
      <w:numFmt w:val="lowerRoman"/>
      <w:lvlText w:val="(%6)"/>
      <w:lvlJc w:val="left"/>
      <w:pPr>
        <w:ind w:left="1474" w:hanging="453"/>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1299395F"/>
    <w:multiLevelType w:val="hybridMultilevel"/>
    <w:tmpl w:val="EC200B68"/>
    <w:lvl w:ilvl="0" w:tplc="0C090001">
      <w:start w:val="1"/>
      <w:numFmt w:val="bullet"/>
      <w:lvlText w:val=""/>
      <w:lvlJc w:val="left"/>
      <w:pPr>
        <w:ind w:left="1391" w:hanging="360"/>
      </w:pPr>
      <w:rPr>
        <w:rFonts w:ascii="Symbol" w:hAnsi="Symbol" w:hint="default"/>
      </w:rPr>
    </w:lvl>
    <w:lvl w:ilvl="1" w:tplc="0C090003" w:tentative="1">
      <w:start w:val="1"/>
      <w:numFmt w:val="bullet"/>
      <w:lvlText w:val="o"/>
      <w:lvlJc w:val="left"/>
      <w:pPr>
        <w:ind w:left="2111" w:hanging="360"/>
      </w:pPr>
      <w:rPr>
        <w:rFonts w:ascii="Courier New" w:hAnsi="Courier New" w:cs="Courier New" w:hint="default"/>
      </w:rPr>
    </w:lvl>
    <w:lvl w:ilvl="2" w:tplc="0C090005" w:tentative="1">
      <w:start w:val="1"/>
      <w:numFmt w:val="bullet"/>
      <w:lvlText w:val=""/>
      <w:lvlJc w:val="left"/>
      <w:pPr>
        <w:ind w:left="2831" w:hanging="360"/>
      </w:pPr>
      <w:rPr>
        <w:rFonts w:ascii="Wingdings" w:hAnsi="Wingdings" w:hint="default"/>
      </w:rPr>
    </w:lvl>
    <w:lvl w:ilvl="3" w:tplc="0C090001" w:tentative="1">
      <w:start w:val="1"/>
      <w:numFmt w:val="bullet"/>
      <w:lvlText w:val=""/>
      <w:lvlJc w:val="left"/>
      <w:pPr>
        <w:ind w:left="3551" w:hanging="360"/>
      </w:pPr>
      <w:rPr>
        <w:rFonts w:ascii="Symbol" w:hAnsi="Symbol" w:hint="default"/>
      </w:rPr>
    </w:lvl>
    <w:lvl w:ilvl="4" w:tplc="0C090003" w:tentative="1">
      <w:start w:val="1"/>
      <w:numFmt w:val="bullet"/>
      <w:lvlText w:val="o"/>
      <w:lvlJc w:val="left"/>
      <w:pPr>
        <w:ind w:left="4271" w:hanging="360"/>
      </w:pPr>
      <w:rPr>
        <w:rFonts w:ascii="Courier New" w:hAnsi="Courier New" w:cs="Courier New" w:hint="default"/>
      </w:rPr>
    </w:lvl>
    <w:lvl w:ilvl="5" w:tplc="0C090005" w:tentative="1">
      <w:start w:val="1"/>
      <w:numFmt w:val="bullet"/>
      <w:lvlText w:val=""/>
      <w:lvlJc w:val="left"/>
      <w:pPr>
        <w:ind w:left="4991" w:hanging="360"/>
      </w:pPr>
      <w:rPr>
        <w:rFonts w:ascii="Wingdings" w:hAnsi="Wingdings" w:hint="default"/>
      </w:rPr>
    </w:lvl>
    <w:lvl w:ilvl="6" w:tplc="0C090001" w:tentative="1">
      <w:start w:val="1"/>
      <w:numFmt w:val="bullet"/>
      <w:lvlText w:val=""/>
      <w:lvlJc w:val="left"/>
      <w:pPr>
        <w:ind w:left="5711" w:hanging="360"/>
      </w:pPr>
      <w:rPr>
        <w:rFonts w:ascii="Symbol" w:hAnsi="Symbol" w:hint="default"/>
      </w:rPr>
    </w:lvl>
    <w:lvl w:ilvl="7" w:tplc="0C090003" w:tentative="1">
      <w:start w:val="1"/>
      <w:numFmt w:val="bullet"/>
      <w:lvlText w:val="o"/>
      <w:lvlJc w:val="left"/>
      <w:pPr>
        <w:ind w:left="6431" w:hanging="360"/>
      </w:pPr>
      <w:rPr>
        <w:rFonts w:ascii="Courier New" w:hAnsi="Courier New" w:cs="Courier New" w:hint="default"/>
      </w:rPr>
    </w:lvl>
    <w:lvl w:ilvl="8" w:tplc="0C090005" w:tentative="1">
      <w:start w:val="1"/>
      <w:numFmt w:val="bullet"/>
      <w:lvlText w:val=""/>
      <w:lvlJc w:val="left"/>
      <w:pPr>
        <w:ind w:left="7151" w:hanging="360"/>
      </w:pPr>
      <w:rPr>
        <w:rFonts w:ascii="Wingdings" w:hAnsi="Wingdings" w:hint="default"/>
      </w:rPr>
    </w:lvl>
  </w:abstractNum>
  <w:abstractNum w:abstractNumId="24" w15:restartNumberingAfterBreak="0">
    <w:nsid w:val="12D51699"/>
    <w:multiLevelType w:val="hybridMultilevel"/>
    <w:tmpl w:val="9C7247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3C058D8"/>
    <w:multiLevelType w:val="hybridMultilevel"/>
    <w:tmpl w:val="A13038FE"/>
    <w:lvl w:ilvl="0" w:tplc="DA720B9E">
      <w:start w:val="1"/>
      <w:numFmt w:val="decimal"/>
      <w:lvlText w:val="(%1)"/>
      <w:lvlJc w:val="left"/>
      <w:pPr>
        <w:ind w:left="720" w:hanging="360"/>
      </w:pPr>
      <w:rPr>
        <w:rFonts w:hint="default"/>
      </w:rPr>
    </w:lvl>
    <w:lvl w:ilvl="1" w:tplc="32DA227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63F12FB"/>
    <w:multiLevelType w:val="multilevel"/>
    <w:tmpl w:val="7F1845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lowerRoman"/>
      <w:lvlText w:val="(%6)"/>
      <w:lvlJc w:val="left"/>
      <w:pPr>
        <w:ind w:left="1474" w:hanging="453"/>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16920922"/>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16CC380B"/>
    <w:multiLevelType w:val="hybridMultilevel"/>
    <w:tmpl w:val="6F929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D51244"/>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170130BB"/>
    <w:multiLevelType w:val="hybridMultilevel"/>
    <w:tmpl w:val="6FE410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7A83F5B"/>
    <w:multiLevelType w:val="hybridMultilevel"/>
    <w:tmpl w:val="EE1EA92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327664"/>
    <w:multiLevelType w:val="multilevel"/>
    <w:tmpl w:val="F4B21BA6"/>
    <w:lvl w:ilvl="0">
      <w:start w:val="1"/>
      <w:numFmt w:val="decimal"/>
      <w:pStyle w:val="NumberLevel1"/>
      <w:lvlText w:val="%1."/>
      <w:lvlJc w:val="left"/>
      <w:pPr>
        <w:tabs>
          <w:tab w:val="num" w:pos="709"/>
        </w:tabs>
        <w:ind w:left="0" w:hanging="709"/>
      </w:pPr>
      <w:rPr>
        <w:rFonts w:hint="default"/>
        <w:sz w:val="20"/>
      </w:rPr>
    </w:lvl>
    <w:lvl w:ilvl="1">
      <w:start w:val="1"/>
      <w:numFmt w:val="decimal"/>
      <w:pStyle w:val="NumberLevel2"/>
      <w:lvlText w:val="%1.%2."/>
      <w:lvlJc w:val="left"/>
      <w:pPr>
        <w:tabs>
          <w:tab w:val="num" w:pos="709"/>
        </w:tabs>
        <w:ind w:left="0" w:hanging="709"/>
      </w:pPr>
      <w:rPr>
        <w:rFonts w:hint="default"/>
        <w:sz w:val="20"/>
      </w:rPr>
    </w:lvl>
    <w:lvl w:ilvl="2">
      <w:start w:val="1"/>
      <w:numFmt w:val="decimal"/>
      <w:pStyle w:val="NumberLevel3"/>
      <w:lvlText w:val="%1.%2.%3."/>
      <w:lvlJc w:val="left"/>
      <w:pPr>
        <w:tabs>
          <w:tab w:val="num" w:pos="709"/>
        </w:tabs>
        <w:ind w:left="0" w:hanging="709"/>
      </w:pPr>
      <w:rPr>
        <w:rFonts w:hint="default"/>
        <w:sz w:val="20"/>
      </w:rPr>
    </w:lvl>
    <w:lvl w:ilvl="3">
      <w:start w:val="1"/>
      <w:numFmt w:val="lowerLetter"/>
      <w:pStyle w:val="NumberLevel4"/>
      <w:lvlText w:val="%4."/>
      <w:lvlJc w:val="left"/>
      <w:pPr>
        <w:tabs>
          <w:tab w:val="num" w:pos="709"/>
        </w:tabs>
        <w:ind w:left="425" w:hanging="425"/>
      </w:pPr>
      <w:rPr>
        <w:rFonts w:hint="default"/>
      </w:rPr>
    </w:lvl>
    <w:lvl w:ilvl="4">
      <w:start w:val="1"/>
      <w:numFmt w:val="bullet"/>
      <w:pStyle w:val="NumberLevel5"/>
      <w:lvlText w:val=""/>
      <w:lvlJc w:val="left"/>
      <w:pPr>
        <w:tabs>
          <w:tab w:val="num" w:pos="709"/>
        </w:tabs>
        <w:ind w:left="425" w:hanging="425"/>
      </w:pPr>
      <w:rPr>
        <w:rFonts w:ascii="Symbol" w:hAnsi="Symbol" w:hint="default"/>
        <w:b w:val="0"/>
        <w:i w:val="0"/>
        <w:color w:val="auto"/>
      </w:rPr>
    </w:lvl>
    <w:lvl w:ilvl="5">
      <w:start w:val="1"/>
      <w:numFmt w:val="bullet"/>
      <w:pStyle w:val="NumberLevel6"/>
      <w:lvlText w:val="–"/>
      <w:lvlJc w:val="left"/>
      <w:pPr>
        <w:tabs>
          <w:tab w:val="num" w:pos="1418"/>
        </w:tabs>
        <w:ind w:left="851" w:hanging="426"/>
      </w:pPr>
      <w:rPr>
        <w:rFonts w:hint="default"/>
        <w:b w:val="0"/>
        <w:i w:val="0"/>
      </w:rPr>
    </w:lvl>
    <w:lvl w:ilvl="6">
      <w:start w:val="1"/>
      <w:numFmt w:val="bullet"/>
      <w:pStyle w:val="NumberLevel7"/>
      <w:lvlText w:val="–"/>
      <w:lvlJc w:val="left"/>
      <w:pPr>
        <w:tabs>
          <w:tab w:val="num" w:pos="1843"/>
        </w:tabs>
        <w:ind w:left="1276" w:hanging="425"/>
      </w:pPr>
      <w:rPr>
        <w:rFonts w:hint="default"/>
        <w:b w:val="0"/>
        <w:i w:val="0"/>
      </w:rPr>
    </w:lvl>
    <w:lvl w:ilvl="7">
      <w:start w:val="1"/>
      <w:numFmt w:val="bullet"/>
      <w:pStyle w:val="NumberLevel8"/>
      <w:lvlText w:val="–"/>
      <w:lvlJc w:val="left"/>
      <w:pPr>
        <w:tabs>
          <w:tab w:val="num" w:pos="2410"/>
        </w:tabs>
        <w:ind w:left="1701" w:hanging="425"/>
      </w:pPr>
      <w:rPr>
        <w:rFonts w:hint="default"/>
        <w:b w:val="0"/>
        <w:i w:val="0"/>
      </w:rPr>
    </w:lvl>
    <w:lvl w:ilvl="8">
      <w:start w:val="1"/>
      <w:numFmt w:val="bullet"/>
      <w:pStyle w:val="NumberLevel9"/>
      <w:lvlText w:val="–"/>
      <w:lvlJc w:val="left"/>
      <w:pPr>
        <w:tabs>
          <w:tab w:val="num" w:pos="2835"/>
        </w:tabs>
        <w:ind w:left="2126" w:hanging="425"/>
      </w:pPr>
      <w:rPr>
        <w:rFonts w:hint="default"/>
        <w:b w:val="0"/>
        <w:i w:val="0"/>
      </w:rPr>
    </w:lvl>
  </w:abstractNum>
  <w:abstractNum w:abstractNumId="33" w15:restartNumberingAfterBreak="0">
    <w:nsid w:val="1B430E11"/>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1D074FFA"/>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1DBD1D53"/>
    <w:multiLevelType w:val="hybridMultilevel"/>
    <w:tmpl w:val="57468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E0733D6"/>
    <w:multiLevelType w:val="multilevel"/>
    <w:tmpl w:val="DBEC6E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4"/>
      <w:numFmt w:val="lowerLetter"/>
      <w:lvlText w:val="(%5)"/>
      <w:lvlJc w:val="left"/>
      <w:pPr>
        <w:ind w:left="1021" w:hanging="454"/>
      </w:pPr>
      <w:rPr>
        <w:rFonts w:hint="default"/>
      </w:rPr>
    </w:lvl>
    <w:lvl w:ilvl="5">
      <w:start w:val="1"/>
      <w:numFmt w:val="lowerRoman"/>
      <w:lvlText w:val="(%6)"/>
      <w:lvlJc w:val="left"/>
      <w:pPr>
        <w:ind w:left="1474" w:hanging="453"/>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1F134732"/>
    <w:multiLevelType w:val="hybridMultilevel"/>
    <w:tmpl w:val="543E2A56"/>
    <w:lvl w:ilvl="0" w:tplc="629ECF6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1F355ED2"/>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20296E57"/>
    <w:multiLevelType w:val="multilevel"/>
    <w:tmpl w:val="3A289488"/>
    <w:lvl w:ilvl="0">
      <w:start w:val="1"/>
      <w:numFmt w:val="bullet"/>
      <w:lvlText w:val=""/>
      <w:lvlJc w:val="left"/>
      <w:pPr>
        <w:tabs>
          <w:tab w:val="num" w:pos="709"/>
        </w:tabs>
        <w:ind w:left="709" w:hanging="709"/>
      </w:pPr>
      <w:rPr>
        <w:rFonts w:ascii="Symbol" w:hAnsi="Symbol" w:hint="default"/>
        <w:b w:val="0"/>
        <w:i w:val="0"/>
        <w:sz w:val="18"/>
      </w:rPr>
    </w:lvl>
    <w:lvl w:ilvl="1">
      <w:start w:val="1"/>
      <w:numFmt w:val="none"/>
      <w:lvlText w:val="(a)"/>
      <w:lvlJc w:val="left"/>
      <w:pPr>
        <w:ind w:left="360" w:hanging="360"/>
      </w:pPr>
      <w:rPr>
        <w:rFonts w:hint="default"/>
        <w:b w:val="0"/>
        <w:i w:val="0"/>
        <w:sz w:val="18"/>
      </w:rPr>
    </w:lvl>
    <w:lvl w:ilvl="2">
      <w:start w:val="1"/>
      <w:numFmt w:val="lowerLetter"/>
      <w:lvlText w:val="(%3)"/>
      <w:lvlJc w:val="left"/>
      <w:pPr>
        <w:tabs>
          <w:tab w:val="num" w:pos="1418"/>
        </w:tabs>
        <w:ind w:left="1418" w:hanging="709"/>
      </w:pPr>
      <w:rPr>
        <w:rFonts w:ascii="Arial" w:hAnsi="Arial" w:hint="default"/>
        <w:b w:val="0"/>
        <w:i w:val="0"/>
        <w:sz w:val="18"/>
      </w:rPr>
    </w:lvl>
    <w:lvl w:ilvl="3">
      <w:start w:val="1"/>
      <w:numFmt w:val="lowerRoman"/>
      <w:lvlText w:val="(%4)"/>
      <w:lvlJc w:val="left"/>
      <w:pPr>
        <w:tabs>
          <w:tab w:val="num" w:pos="2126"/>
        </w:tabs>
        <w:ind w:left="2126" w:hanging="708"/>
      </w:pPr>
      <w:rPr>
        <w:rFonts w:ascii="Arial" w:hAnsi="Arial" w:hint="default"/>
        <w:b w:val="0"/>
        <w:i w:val="0"/>
        <w:sz w:val="18"/>
      </w:rPr>
    </w:lvl>
    <w:lvl w:ilvl="4">
      <w:start w:val="1"/>
      <w:numFmt w:val="upperLetter"/>
      <w:lvlText w:val="(%5)"/>
      <w:lvlJc w:val="left"/>
      <w:pPr>
        <w:tabs>
          <w:tab w:val="num" w:pos="2835"/>
        </w:tabs>
        <w:ind w:left="2835" w:hanging="709"/>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205E6ECA"/>
    <w:multiLevelType w:val="multilevel"/>
    <w:tmpl w:val="94EA67B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20B859B1"/>
    <w:multiLevelType w:val="hybridMultilevel"/>
    <w:tmpl w:val="BEEAA1CA"/>
    <w:lvl w:ilvl="0" w:tplc="F87E83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1A56EC3"/>
    <w:multiLevelType w:val="hybridMultilevel"/>
    <w:tmpl w:val="5EDEF87A"/>
    <w:lvl w:ilvl="0" w:tplc="9104C548">
      <w:start w:val="1"/>
      <w:numFmt w:val="decimal"/>
      <w:lvlText w:val="(%1)"/>
      <w:lvlJc w:val="left"/>
      <w:pPr>
        <w:ind w:left="720" w:hanging="360"/>
      </w:pPr>
      <w:rPr>
        <w:rFonts w:hint="default"/>
      </w:rPr>
    </w:lvl>
    <w:lvl w:ilvl="1" w:tplc="32DA227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1AF6320"/>
    <w:multiLevelType w:val="hybridMultilevel"/>
    <w:tmpl w:val="369E9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1C23549"/>
    <w:multiLevelType w:val="hybridMultilevel"/>
    <w:tmpl w:val="F31E9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20A0228"/>
    <w:multiLevelType w:val="hybridMultilevel"/>
    <w:tmpl w:val="EA2C3DA6"/>
    <w:lvl w:ilvl="0" w:tplc="6C0A5D5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22AE36E1"/>
    <w:multiLevelType w:val="hybridMultilevel"/>
    <w:tmpl w:val="8C6A5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3216D52"/>
    <w:multiLevelType w:val="hybridMultilevel"/>
    <w:tmpl w:val="63121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3580DFB"/>
    <w:multiLevelType w:val="multilevel"/>
    <w:tmpl w:val="5B4CEB10"/>
    <w:lvl w:ilvl="0">
      <w:start w:val="1"/>
      <w:numFmt w:val="decimal"/>
      <w:pStyle w:val="Heading2"/>
      <w:lvlText w:val="%1"/>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3"/>
      <w:lvlText w:val="%1.%2"/>
      <w:lvlJc w:val="left"/>
      <w:pPr>
        <w:ind w:left="576" w:hanging="576"/>
      </w:pPr>
      <w:rPr>
        <w:rFonts w:hint="default"/>
      </w:rPr>
    </w:lvl>
    <w:lvl w:ilvl="2">
      <w:start w:val="1"/>
      <w:numFmt w:val="decimal"/>
      <w:pStyle w:val="Heading4"/>
      <w:lvlText w:val="%1.%2.%3"/>
      <w:lvlJc w:val="left"/>
      <w:pPr>
        <w:ind w:left="720" w:hanging="720"/>
      </w:pPr>
      <w:rPr>
        <w:rFonts w:hint="default"/>
      </w:rPr>
    </w:lvl>
    <w:lvl w:ilvl="3">
      <w:start w:val="1"/>
      <w:numFmt w:val="decimal"/>
      <w:pStyle w:val="Heading5"/>
      <w:lvlText w:val="%1.%2.%3.%4"/>
      <w:lvlJc w:val="left"/>
      <w:pPr>
        <w:ind w:left="864" w:hanging="864"/>
      </w:pPr>
      <w:rPr>
        <w:rFonts w:hint="default"/>
      </w:rPr>
    </w:lvl>
    <w:lvl w:ilvl="4">
      <w:start w:val="1"/>
      <w:numFmt w:val="decimal"/>
      <w:pStyle w:val="Heading6"/>
      <w:lvlText w:val="%1.%2.%3.%4.%5"/>
      <w:lvlJc w:val="left"/>
      <w:pPr>
        <w:ind w:left="1008" w:hanging="1008"/>
      </w:pPr>
      <w:rPr>
        <w:rFonts w:hint="default"/>
      </w:rPr>
    </w:lvl>
    <w:lvl w:ilvl="5">
      <w:start w:val="1"/>
      <w:numFmt w:val="decimal"/>
      <w:pStyle w:val="Heading7"/>
      <w:lvlText w:val="%1.%2.%3.%4.%5.%6"/>
      <w:lvlJc w:val="left"/>
      <w:pPr>
        <w:ind w:left="1152" w:hanging="1152"/>
      </w:pPr>
      <w:rPr>
        <w:rFonts w:hint="default"/>
      </w:rPr>
    </w:lvl>
    <w:lvl w:ilvl="6">
      <w:start w:val="1"/>
      <w:numFmt w:val="decimal"/>
      <w:pStyle w:val="Heading8"/>
      <w:lvlText w:val="%1.%2.%3.%4.%5.%6.%7"/>
      <w:lvlJc w:val="left"/>
      <w:pPr>
        <w:ind w:left="1296" w:hanging="1296"/>
      </w:pPr>
      <w:rPr>
        <w:rFonts w:hint="default"/>
      </w:rPr>
    </w:lvl>
    <w:lvl w:ilvl="7">
      <w:start w:val="1"/>
      <w:numFmt w:val="decimal"/>
      <w:pStyle w:val="Heading9"/>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23E24738"/>
    <w:multiLevelType w:val="multilevel"/>
    <w:tmpl w:val="7F1845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lowerRoman"/>
      <w:lvlText w:val="(%6)"/>
      <w:lvlJc w:val="left"/>
      <w:pPr>
        <w:ind w:left="1474" w:hanging="453"/>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24894484"/>
    <w:multiLevelType w:val="hybridMultilevel"/>
    <w:tmpl w:val="A21A2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65B1B49"/>
    <w:multiLevelType w:val="multilevel"/>
    <w:tmpl w:val="55B093F8"/>
    <w:lvl w:ilvl="0">
      <w:start w:val="1"/>
      <w:numFmt w:val="none"/>
      <w:lvlRestart w:val="0"/>
      <w:pStyle w:val="Quotation"/>
      <w:suff w:val="nothing"/>
      <w:lvlText w:val=""/>
      <w:lvlJc w:val="left"/>
      <w:pPr>
        <w:tabs>
          <w:tab w:val="num" w:pos="425"/>
        </w:tabs>
        <w:ind w:left="425" w:firstLine="0"/>
      </w:pPr>
    </w:lvl>
    <w:lvl w:ilvl="1">
      <w:start w:val="1"/>
      <w:numFmt w:val="none"/>
      <w:lvlRestart w:val="0"/>
      <w:pStyle w:val="Quotation1"/>
      <w:suff w:val="nothing"/>
      <w:lvlText w:val=""/>
      <w:lvlJc w:val="left"/>
      <w:pPr>
        <w:tabs>
          <w:tab w:val="num" w:pos="425"/>
        </w:tabs>
        <w:ind w:left="425" w:firstLine="0"/>
      </w:pPr>
    </w:lvl>
    <w:lvl w:ilvl="2">
      <w:start w:val="1"/>
      <w:numFmt w:val="none"/>
      <w:lvlRestart w:val="0"/>
      <w:pStyle w:val="Quotation2"/>
      <w:suff w:val="nothing"/>
      <w:lvlText w:val=""/>
      <w:lvlJc w:val="left"/>
      <w:pPr>
        <w:tabs>
          <w:tab w:val="num" w:pos="850"/>
        </w:tabs>
        <w:ind w:left="850" w:firstLine="0"/>
      </w:pPr>
    </w:lvl>
    <w:lvl w:ilvl="3">
      <w:start w:val="1"/>
      <w:numFmt w:val="none"/>
      <w:lvlRestart w:val="0"/>
      <w:pStyle w:val="Quotation3"/>
      <w:suff w:val="nothing"/>
      <w:lvlText w:val=""/>
      <w:lvlJc w:val="left"/>
      <w:pPr>
        <w:tabs>
          <w:tab w:val="num" w:pos="1276"/>
        </w:tabs>
        <w:ind w:left="1276" w:firstLine="0"/>
      </w:pPr>
    </w:lvl>
    <w:lvl w:ilvl="4">
      <w:start w:val="1"/>
      <w:numFmt w:val="none"/>
      <w:lvlRestart w:val="0"/>
      <w:pStyle w:val="Quotation4"/>
      <w:suff w:val="nothing"/>
      <w:lvlText w:val=""/>
      <w:lvlJc w:val="left"/>
      <w:pPr>
        <w:tabs>
          <w:tab w:val="num" w:pos="1701"/>
        </w:tabs>
        <w:ind w:left="1701" w:firstLine="0"/>
      </w:pPr>
    </w:lvl>
    <w:lvl w:ilvl="5">
      <w:start w:val="1"/>
      <w:numFmt w:val="none"/>
      <w:lvlRestart w:val="0"/>
      <w:pStyle w:val="Quotation5"/>
      <w:suff w:val="nothing"/>
      <w:lvlText w:val=""/>
      <w:lvlJc w:val="left"/>
      <w:pPr>
        <w:tabs>
          <w:tab w:val="num" w:pos="2126"/>
        </w:tabs>
        <w:ind w:left="2126" w:firstLine="0"/>
      </w:pPr>
    </w:lvl>
    <w:lvl w:ilvl="6">
      <w:start w:val="1"/>
      <w:numFmt w:val="none"/>
      <w:lvlRestart w:val="0"/>
      <w:pStyle w:val="Quotation6"/>
      <w:suff w:val="nothing"/>
      <w:lvlText w:val=""/>
      <w:lvlJc w:val="left"/>
      <w:pPr>
        <w:tabs>
          <w:tab w:val="num" w:pos="2551"/>
        </w:tabs>
        <w:ind w:left="2551" w:firstLine="0"/>
      </w:pPr>
    </w:lvl>
    <w:lvl w:ilvl="7">
      <w:start w:val="1"/>
      <w:numFmt w:val="none"/>
      <w:lvlRestart w:val="0"/>
      <w:pStyle w:val="Quotation7"/>
      <w:suff w:val="nothing"/>
      <w:lvlText w:val=""/>
      <w:lvlJc w:val="left"/>
      <w:pPr>
        <w:tabs>
          <w:tab w:val="num" w:pos="2976"/>
        </w:tabs>
        <w:ind w:left="2976" w:firstLine="0"/>
      </w:pPr>
    </w:lvl>
    <w:lvl w:ilvl="8">
      <w:start w:val="1"/>
      <w:numFmt w:val="none"/>
      <w:lvlRestart w:val="0"/>
      <w:pStyle w:val="Quotation8"/>
      <w:suff w:val="nothing"/>
      <w:lvlText w:val=""/>
      <w:lvlJc w:val="left"/>
      <w:pPr>
        <w:tabs>
          <w:tab w:val="num" w:pos="3402"/>
        </w:tabs>
        <w:ind w:left="3402" w:firstLine="0"/>
      </w:pPr>
    </w:lvl>
  </w:abstractNum>
  <w:abstractNum w:abstractNumId="52" w15:restartNumberingAfterBreak="0">
    <w:nsid w:val="275C1CFA"/>
    <w:multiLevelType w:val="multilevel"/>
    <w:tmpl w:val="7F1845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lowerRoman"/>
      <w:lvlText w:val="(%6)"/>
      <w:lvlJc w:val="left"/>
      <w:pPr>
        <w:ind w:left="1474" w:hanging="453"/>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276468D7"/>
    <w:multiLevelType w:val="hybridMultilevel"/>
    <w:tmpl w:val="9794A0A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4" w15:restartNumberingAfterBreak="0">
    <w:nsid w:val="278A1A3C"/>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15:restartNumberingAfterBreak="0">
    <w:nsid w:val="27E24B87"/>
    <w:multiLevelType w:val="hybridMultilevel"/>
    <w:tmpl w:val="5C20D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865693B"/>
    <w:multiLevelType w:val="hybridMultilevel"/>
    <w:tmpl w:val="A1804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28E05C07"/>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15:restartNumberingAfterBreak="0">
    <w:nsid w:val="299E5608"/>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9" w15:restartNumberingAfterBreak="0">
    <w:nsid w:val="2B0C1834"/>
    <w:multiLevelType w:val="hybridMultilevel"/>
    <w:tmpl w:val="5FE67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2C03255A"/>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1" w15:restartNumberingAfterBreak="0">
    <w:nsid w:val="2CAB46D3"/>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2" w15:restartNumberingAfterBreak="0">
    <w:nsid w:val="2D165751"/>
    <w:multiLevelType w:val="hybridMultilevel"/>
    <w:tmpl w:val="30BAA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2D2822F2"/>
    <w:multiLevelType w:val="multilevel"/>
    <w:tmpl w:val="DCFE8C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720" w:hanging="720"/>
      </w:pPr>
      <w:rPr>
        <w:rFonts w:ascii="Symbol" w:hAnsi="Symbol" w:hint="default"/>
      </w:rPr>
    </w:lvl>
    <w:lvl w:ilvl="3">
      <w:start w:val="1"/>
      <w:numFmt w:val="decimal"/>
      <w:lvlText w:val="(%4)"/>
      <w:lvlJc w:val="left"/>
      <w:pPr>
        <w:ind w:left="864" w:hanging="864"/>
      </w:pPr>
      <w:rPr>
        <w:rFonts w:hint="default"/>
      </w:rPr>
    </w:lvl>
    <w:lvl w:ilvl="4">
      <w:start w:val="1"/>
      <w:numFmt w:val="lowerLetter"/>
      <w:lvlText w:val="(%5)"/>
      <w:lvlJc w:val="left"/>
      <w:pPr>
        <w:ind w:left="1008" w:hanging="1008"/>
      </w:pPr>
      <w:rPr>
        <w:rFonts w:hint="default"/>
      </w:rPr>
    </w:lvl>
    <w:lvl w:ilvl="5">
      <w:start w:val="1"/>
      <w:numFmt w:val="bullet"/>
      <w:lvlText w:val=""/>
      <w:lvlJc w:val="left"/>
      <w:pPr>
        <w:ind w:left="1152" w:hanging="1152"/>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4" w15:restartNumberingAfterBreak="0">
    <w:nsid w:val="2D6B2A3E"/>
    <w:multiLevelType w:val="hybridMultilevel"/>
    <w:tmpl w:val="0F64AB20"/>
    <w:lvl w:ilvl="0" w:tplc="1DC44BD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2EF1056A"/>
    <w:multiLevelType w:val="hybridMultilevel"/>
    <w:tmpl w:val="9E2ECE7E"/>
    <w:lvl w:ilvl="0" w:tplc="484E4F1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2F353AA6"/>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7" w15:restartNumberingAfterBreak="0">
    <w:nsid w:val="2FA17D97"/>
    <w:multiLevelType w:val="multilevel"/>
    <w:tmpl w:val="3A289488"/>
    <w:lvl w:ilvl="0">
      <w:start w:val="1"/>
      <w:numFmt w:val="bullet"/>
      <w:lvlText w:val=""/>
      <w:lvlJc w:val="left"/>
      <w:pPr>
        <w:tabs>
          <w:tab w:val="num" w:pos="709"/>
        </w:tabs>
        <w:ind w:left="709" w:hanging="709"/>
      </w:pPr>
      <w:rPr>
        <w:rFonts w:ascii="Symbol" w:hAnsi="Symbol" w:hint="default"/>
        <w:b w:val="0"/>
        <w:i w:val="0"/>
        <w:sz w:val="18"/>
      </w:rPr>
    </w:lvl>
    <w:lvl w:ilvl="1">
      <w:start w:val="1"/>
      <w:numFmt w:val="none"/>
      <w:lvlText w:val="(a)"/>
      <w:lvlJc w:val="left"/>
      <w:pPr>
        <w:ind w:left="360" w:hanging="360"/>
      </w:pPr>
      <w:rPr>
        <w:rFonts w:hint="default"/>
        <w:b w:val="0"/>
        <w:i w:val="0"/>
        <w:sz w:val="18"/>
      </w:rPr>
    </w:lvl>
    <w:lvl w:ilvl="2">
      <w:start w:val="1"/>
      <w:numFmt w:val="lowerLetter"/>
      <w:lvlText w:val="(%3)"/>
      <w:lvlJc w:val="left"/>
      <w:pPr>
        <w:tabs>
          <w:tab w:val="num" w:pos="1418"/>
        </w:tabs>
        <w:ind w:left="1418" w:hanging="709"/>
      </w:pPr>
      <w:rPr>
        <w:rFonts w:ascii="Arial" w:hAnsi="Arial" w:hint="default"/>
        <w:b w:val="0"/>
        <w:i w:val="0"/>
        <w:sz w:val="18"/>
      </w:rPr>
    </w:lvl>
    <w:lvl w:ilvl="3">
      <w:start w:val="1"/>
      <w:numFmt w:val="lowerRoman"/>
      <w:lvlText w:val="(%4)"/>
      <w:lvlJc w:val="left"/>
      <w:pPr>
        <w:tabs>
          <w:tab w:val="num" w:pos="2126"/>
        </w:tabs>
        <w:ind w:left="2126" w:hanging="708"/>
      </w:pPr>
      <w:rPr>
        <w:rFonts w:ascii="Arial" w:hAnsi="Arial" w:hint="default"/>
        <w:b w:val="0"/>
        <w:i w:val="0"/>
        <w:sz w:val="18"/>
      </w:rPr>
    </w:lvl>
    <w:lvl w:ilvl="4">
      <w:start w:val="1"/>
      <w:numFmt w:val="upperLetter"/>
      <w:lvlText w:val="(%5)"/>
      <w:lvlJc w:val="left"/>
      <w:pPr>
        <w:tabs>
          <w:tab w:val="num" w:pos="2835"/>
        </w:tabs>
        <w:ind w:left="2835" w:hanging="709"/>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8" w15:restartNumberingAfterBreak="0">
    <w:nsid w:val="30074B11"/>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9" w15:restartNumberingAfterBreak="0">
    <w:nsid w:val="30415A94"/>
    <w:multiLevelType w:val="hybridMultilevel"/>
    <w:tmpl w:val="C360C52C"/>
    <w:lvl w:ilvl="0" w:tplc="0C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06B41FE"/>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1" w15:restartNumberingAfterBreak="0">
    <w:nsid w:val="321752AA"/>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2" w15:restartNumberingAfterBreak="0">
    <w:nsid w:val="32BA47C2"/>
    <w:multiLevelType w:val="multilevel"/>
    <w:tmpl w:val="3A289488"/>
    <w:lvl w:ilvl="0">
      <w:start w:val="1"/>
      <w:numFmt w:val="bullet"/>
      <w:lvlText w:val=""/>
      <w:lvlJc w:val="left"/>
      <w:pPr>
        <w:tabs>
          <w:tab w:val="num" w:pos="709"/>
        </w:tabs>
        <w:ind w:left="709" w:hanging="709"/>
      </w:pPr>
      <w:rPr>
        <w:rFonts w:ascii="Symbol" w:hAnsi="Symbol" w:hint="default"/>
        <w:b w:val="0"/>
        <w:i w:val="0"/>
        <w:sz w:val="18"/>
      </w:rPr>
    </w:lvl>
    <w:lvl w:ilvl="1">
      <w:start w:val="1"/>
      <w:numFmt w:val="none"/>
      <w:lvlText w:val="(a)"/>
      <w:lvlJc w:val="left"/>
      <w:pPr>
        <w:ind w:left="360" w:hanging="360"/>
      </w:pPr>
      <w:rPr>
        <w:rFonts w:hint="default"/>
        <w:b w:val="0"/>
        <w:i w:val="0"/>
        <w:sz w:val="18"/>
      </w:rPr>
    </w:lvl>
    <w:lvl w:ilvl="2">
      <w:start w:val="1"/>
      <w:numFmt w:val="lowerLetter"/>
      <w:lvlText w:val="(%3)"/>
      <w:lvlJc w:val="left"/>
      <w:pPr>
        <w:tabs>
          <w:tab w:val="num" w:pos="1418"/>
        </w:tabs>
        <w:ind w:left="1418" w:hanging="709"/>
      </w:pPr>
      <w:rPr>
        <w:rFonts w:ascii="Arial" w:hAnsi="Arial" w:hint="default"/>
        <w:b w:val="0"/>
        <w:i w:val="0"/>
        <w:sz w:val="18"/>
      </w:rPr>
    </w:lvl>
    <w:lvl w:ilvl="3">
      <w:start w:val="1"/>
      <w:numFmt w:val="lowerRoman"/>
      <w:lvlText w:val="(%4)"/>
      <w:lvlJc w:val="left"/>
      <w:pPr>
        <w:tabs>
          <w:tab w:val="num" w:pos="2126"/>
        </w:tabs>
        <w:ind w:left="2126" w:hanging="708"/>
      </w:pPr>
      <w:rPr>
        <w:rFonts w:ascii="Arial" w:hAnsi="Arial" w:hint="default"/>
        <w:b w:val="0"/>
        <w:i w:val="0"/>
        <w:sz w:val="18"/>
      </w:rPr>
    </w:lvl>
    <w:lvl w:ilvl="4">
      <w:start w:val="1"/>
      <w:numFmt w:val="upperLetter"/>
      <w:lvlText w:val="(%5)"/>
      <w:lvlJc w:val="left"/>
      <w:pPr>
        <w:tabs>
          <w:tab w:val="num" w:pos="2835"/>
        </w:tabs>
        <w:ind w:left="2835" w:hanging="709"/>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15:restartNumberingAfterBreak="0">
    <w:nsid w:val="331F7554"/>
    <w:multiLevelType w:val="hybridMultilevel"/>
    <w:tmpl w:val="2F7C2FD0"/>
    <w:lvl w:ilvl="0" w:tplc="AB2AF180">
      <w:start w:val="1"/>
      <w:numFmt w:val="bullet"/>
      <w:pStyle w:val="LetterLevel4"/>
      <w:lvlText w:val="o"/>
      <w:lvlJc w:val="left"/>
      <w:pPr>
        <w:ind w:left="2138" w:hanging="360"/>
      </w:pPr>
      <w:rPr>
        <w:rFonts w:ascii="Courier New" w:hAnsi="Courier New" w:cs="Courier New" w:hint="default"/>
      </w:rPr>
    </w:lvl>
    <w:lvl w:ilvl="1" w:tplc="0C090003" w:tentative="1">
      <w:start w:val="1"/>
      <w:numFmt w:val="bullet"/>
      <w:lvlText w:val="o"/>
      <w:lvlJc w:val="left"/>
      <w:pPr>
        <w:ind w:left="2858" w:hanging="360"/>
      </w:pPr>
      <w:rPr>
        <w:rFonts w:ascii="Courier New" w:hAnsi="Courier New" w:cs="Courier New" w:hint="default"/>
      </w:rPr>
    </w:lvl>
    <w:lvl w:ilvl="2" w:tplc="0C090005">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pStyle w:val="LetterLevel5"/>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74" w15:restartNumberingAfterBreak="0">
    <w:nsid w:val="33237149"/>
    <w:multiLevelType w:val="multilevel"/>
    <w:tmpl w:val="3680386E"/>
    <w:lvl w:ilvl="0">
      <w:start w:val="4"/>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2"/>
      <w:numFmt w:val="decimal"/>
      <w:lvlText w:val="(%4)"/>
      <w:lvlJc w:val="left"/>
      <w:pPr>
        <w:ind w:left="578" w:hanging="578"/>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890" w:hanging="890"/>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15:restartNumberingAfterBreak="0">
    <w:nsid w:val="337E3523"/>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6" w15:restartNumberingAfterBreak="0">
    <w:nsid w:val="33992098"/>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7" w15:restartNumberingAfterBreak="0">
    <w:nsid w:val="33BC00BE"/>
    <w:multiLevelType w:val="hybridMultilevel"/>
    <w:tmpl w:val="68E4640C"/>
    <w:lvl w:ilvl="0" w:tplc="E626C1F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36D30CDB"/>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9" w15:restartNumberingAfterBreak="0">
    <w:nsid w:val="37CE239C"/>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0" w15:restartNumberingAfterBreak="0">
    <w:nsid w:val="380A0CAD"/>
    <w:multiLevelType w:val="hybridMultilevel"/>
    <w:tmpl w:val="47F6F436"/>
    <w:lvl w:ilvl="0" w:tplc="69DC8CE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3A0D53D4"/>
    <w:multiLevelType w:val="hybridMultilevel"/>
    <w:tmpl w:val="6D7CCC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3BAF69D2"/>
    <w:multiLevelType w:val="hybridMultilevel"/>
    <w:tmpl w:val="64907070"/>
    <w:lvl w:ilvl="0" w:tplc="0514418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3BBC6B04"/>
    <w:multiLevelType w:val="hybridMultilevel"/>
    <w:tmpl w:val="370AC6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3CCA3F1D"/>
    <w:multiLevelType w:val="hybridMultilevel"/>
    <w:tmpl w:val="E74CF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3D4A7DFF"/>
    <w:multiLevelType w:val="hybridMultilevel"/>
    <w:tmpl w:val="C910F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3D814601"/>
    <w:multiLevelType w:val="multilevel"/>
    <w:tmpl w:val="539858DE"/>
    <w:lvl w:ilvl="0">
      <w:start w:val="1"/>
      <w:numFmt w:val="decimal"/>
      <w:pStyle w:val="BookSub3"/>
      <w:lvlText w:val="%1. "/>
      <w:lvlJc w:val="left"/>
      <w:pPr>
        <w:tabs>
          <w:tab w:val="num" w:pos="360"/>
        </w:tabs>
        <w:ind w:left="0" w:firstLine="0"/>
      </w:pPr>
      <w:rPr>
        <w:rFonts w:ascii="Arial" w:hAnsi="Arial" w:hint="default"/>
        <w:b w:val="0"/>
        <w:i w:val="0"/>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7" w15:restartNumberingAfterBreak="0">
    <w:nsid w:val="3E8E0DC7"/>
    <w:multiLevelType w:val="hybridMultilevel"/>
    <w:tmpl w:val="8C343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3F1433A8"/>
    <w:multiLevelType w:val="hybridMultilevel"/>
    <w:tmpl w:val="0C1E5930"/>
    <w:lvl w:ilvl="0" w:tplc="0C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F2114E1"/>
    <w:multiLevelType w:val="hybridMultilevel"/>
    <w:tmpl w:val="510CC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3F666181"/>
    <w:multiLevelType w:val="hybridMultilevel"/>
    <w:tmpl w:val="D2E05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3FA00FC0"/>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2" w15:restartNumberingAfterBreak="0">
    <w:nsid w:val="403F67C1"/>
    <w:multiLevelType w:val="multilevel"/>
    <w:tmpl w:val="7F1845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lowerRoman"/>
      <w:lvlText w:val="(%6)"/>
      <w:lvlJc w:val="left"/>
      <w:pPr>
        <w:ind w:left="1474" w:hanging="453"/>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3" w15:restartNumberingAfterBreak="0">
    <w:nsid w:val="407B6632"/>
    <w:multiLevelType w:val="hybridMultilevel"/>
    <w:tmpl w:val="38EAE650"/>
    <w:lvl w:ilvl="0" w:tplc="FA4A7F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434C7D69"/>
    <w:multiLevelType w:val="hybridMultilevel"/>
    <w:tmpl w:val="992CD18A"/>
    <w:lvl w:ilvl="0" w:tplc="3E02558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43747B57"/>
    <w:multiLevelType w:val="hybridMultilevel"/>
    <w:tmpl w:val="FD8A1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449C5510"/>
    <w:multiLevelType w:val="hybridMultilevel"/>
    <w:tmpl w:val="545A8A34"/>
    <w:lvl w:ilvl="0" w:tplc="73A885FA">
      <w:start w:val="1"/>
      <w:numFmt w:val="lowerRoman"/>
      <w:pStyle w:val="Style2"/>
      <w:lvlText w:val="(%1)"/>
      <w:lvlJc w:val="left"/>
      <w:pPr>
        <w:ind w:left="2498" w:hanging="360"/>
      </w:pPr>
      <w:rPr>
        <w:rFonts w:ascii="Verdana" w:eastAsiaTheme="minorEastAsia" w:hAnsi="Verdana" w:cs="Arial"/>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7" w15:restartNumberingAfterBreak="0">
    <w:nsid w:val="45214FE7"/>
    <w:multiLevelType w:val="hybridMultilevel"/>
    <w:tmpl w:val="2EAAA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47776643"/>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9" w15:restartNumberingAfterBreak="0">
    <w:nsid w:val="478926C8"/>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0" w15:restartNumberingAfterBreak="0">
    <w:nsid w:val="48AA61BE"/>
    <w:multiLevelType w:val="hybridMultilevel"/>
    <w:tmpl w:val="992CD18A"/>
    <w:lvl w:ilvl="0" w:tplc="3E02558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48C02C8C"/>
    <w:multiLevelType w:val="hybridMultilevel"/>
    <w:tmpl w:val="668EB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49C014FC"/>
    <w:multiLevelType w:val="hybridMultilevel"/>
    <w:tmpl w:val="87762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9F336FE"/>
    <w:multiLevelType w:val="multilevel"/>
    <w:tmpl w:val="DCFE8C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720" w:hanging="720"/>
      </w:pPr>
      <w:rPr>
        <w:rFonts w:ascii="Symbol" w:hAnsi="Symbol" w:hint="default"/>
      </w:rPr>
    </w:lvl>
    <w:lvl w:ilvl="3">
      <w:start w:val="1"/>
      <w:numFmt w:val="decimal"/>
      <w:lvlText w:val="(%4)"/>
      <w:lvlJc w:val="left"/>
      <w:pPr>
        <w:ind w:left="864" w:hanging="864"/>
      </w:pPr>
      <w:rPr>
        <w:rFonts w:hint="default"/>
      </w:rPr>
    </w:lvl>
    <w:lvl w:ilvl="4">
      <w:start w:val="1"/>
      <w:numFmt w:val="lowerLetter"/>
      <w:lvlText w:val="(%5)"/>
      <w:lvlJc w:val="left"/>
      <w:pPr>
        <w:ind w:left="1008" w:hanging="1008"/>
      </w:pPr>
      <w:rPr>
        <w:rFonts w:hint="default"/>
      </w:rPr>
    </w:lvl>
    <w:lvl w:ilvl="5">
      <w:start w:val="1"/>
      <w:numFmt w:val="bullet"/>
      <w:lvlText w:val=""/>
      <w:lvlJc w:val="left"/>
      <w:pPr>
        <w:ind w:left="1152" w:hanging="1152"/>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4" w15:restartNumberingAfterBreak="0">
    <w:nsid w:val="4AE03432"/>
    <w:multiLevelType w:val="hybridMultilevel"/>
    <w:tmpl w:val="359E6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4B872C10"/>
    <w:multiLevelType w:val="hybridMultilevel"/>
    <w:tmpl w:val="F00A63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4D30623F"/>
    <w:multiLevelType w:val="hybridMultilevel"/>
    <w:tmpl w:val="A3C8C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4D5861C7"/>
    <w:multiLevelType w:val="multilevel"/>
    <w:tmpl w:val="7F1845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lowerRoman"/>
      <w:lvlText w:val="(%6)"/>
      <w:lvlJc w:val="left"/>
      <w:pPr>
        <w:ind w:left="1474" w:hanging="453"/>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8" w15:restartNumberingAfterBreak="0">
    <w:nsid w:val="4EB36804"/>
    <w:multiLevelType w:val="hybridMultilevel"/>
    <w:tmpl w:val="51BAB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4F151613"/>
    <w:multiLevelType w:val="hybridMultilevel"/>
    <w:tmpl w:val="9176C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4F6C1DE5"/>
    <w:multiLevelType w:val="hybridMultilevel"/>
    <w:tmpl w:val="1B36459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FC20A58"/>
    <w:multiLevelType w:val="hybridMultilevel"/>
    <w:tmpl w:val="17741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4FFA7AE7"/>
    <w:multiLevelType w:val="hybridMultilevel"/>
    <w:tmpl w:val="9C888364"/>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3" w15:restartNumberingAfterBreak="0">
    <w:nsid w:val="526E01AB"/>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4" w15:restartNumberingAfterBreak="0">
    <w:nsid w:val="530646B7"/>
    <w:multiLevelType w:val="hybridMultilevel"/>
    <w:tmpl w:val="F97A4A4C"/>
    <w:lvl w:ilvl="0" w:tplc="4A1C6774">
      <w:start w:val="1"/>
      <w:numFmt w:val="lowerLetter"/>
      <w:pStyle w:val="BookSub5"/>
      <w:lvlText w:val="(%1) "/>
      <w:lvlJc w:val="left"/>
      <w:pPr>
        <w:tabs>
          <w:tab w:val="num" w:pos="360"/>
        </w:tabs>
        <w:ind w:left="0" w:firstLine="0"/>
      </w:pPr>
      <w:rPr>
        <w:rFonts w:ascii="Arial" w:hAnsi="Arial" w:hint="default"/>
        <w:b w:val="0"/>
        <w:i/>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5518446C"/>
    <w:multiLevelType w:val="hybridMultilevel"/>
    <w:tmpl w:val="4C7ED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557E14A2"/>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7" w15:restartNumberingAfterBreak="0">
    <w:nsid w:val="55F15878"/>
    <w:multiLevelType w:val="hybridMultilevel"/>
    <w:tmpl w:val="6638C952"/>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6181387"/>
    <w:multiLevelType w:val="multilevel"/>
    <w:tmpl w:val="113690C8"/>
    <w:lvl w:ilvl="0">
      <w:start w:val="5"/>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2"/>
      <w:numFmt w:val="decimal"/>
      <w:lvlText w:val="(%4)"/>
      <w:lvlJc w:val="left"/>
      <w:pPr>
        <w:ind w:left="578" w:hanging="578"/>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890" w:hanging="890"/>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9" w15:restartNumberingAfterBreak="0">
    <w:nsid w:val="565C5B84"/>
    <w:multiLevelType w:val="hybridMultilevel"/>
    <w:tmpl w:val="42B23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567506E3"/>
    <w:multiLevelType w:val="hybridMultilevel"/>
    <w:tmpl w:val="6602B5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576C1B28"/>
    <w:multiLevelType w:val="hybridMultilevel"/>
    <w:tmpl w:val="FF8E9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57D0120E"/>
    <w:multiLevelType w:val="hybridMultilevel"/>
    <w:tmpl w:val="28C204FC"/>
    <w:lvl w:ilvl="0" w:tplc="888E3E5E">
      <w:start w:val="1"/>
      <w:numFmt w:val="bullet"/>
      <w:pStyle w:val="Level1"/>
      <w:lvlText w:val=""/>
      <w:lvlJc w:val="left"/>
      <w:pPr>
        <w:ind w:left="1645" w:hanging="360"/>
      </w:pPr>
      <w:rPr>
        <w:rFonts w:ascii="Symbol" w:hAnsi="Symbol" w:hint="default"/>
      </w:rPr>
    </w:lvl>
    <w:lvl w:ilvl="1" w:tplc="0C090003" w:tentative="1">
      <w:start w:val="1"/>
      <w:numFmt w:val="bullet"/>
      <w:lvlText w:val="o"/>
      <w:lvlJc w:val="left"/>
      <w:pPr>
        <w:ind w:left="2365" w:hanging="360"/>
      </w:pPr>
      <w:rPr>
        <w:rFonts w:ascii="Courier New" w:hAnsi="Courier New" w:cs="Courier New" w:hint="default"/>
      </w:rPr>
    </w:lvl>
    <w:lvl w:ilvl="2" w:tplc="0C090005" w:tentative="1">
      <w:start w:val="1"/>
      <w:numFmt w:val="bullet"/>
      <w:lvlText w:val=""/>
      <w:lvlJc w:val="left"/>
      <w:pPr>
        <w:ind w:left="3085" w:hanging="360"/>
      </w:pPr>
      <w:rPr>
        <w:rFonts w:ascii="Wingdings" w:hAnsi="Wingdings" w:hint="default"/>
      </w:rPr>
    </w:lvl>
    <w:lvl w:ilvl="3" w:tplc="0C090001" w:tentative="1">
      <w:start w:val="1"/>
      <w:numFmt w:val="bullet"/>
      <w:lvlText w:val=""/>
      <w:lvlJc w:val="left"/>
      <w:pPr>
        <w:ind w:left="3805" w:hanging="360"/>
      </w:pPr>
      <w:rPr>
        <w:rFonts w:ascii="Symbol" w:hAnsi="Symbol" w:hint="default"/>
      </w:rPr>
    </w:lvl>
    <w:lvl w:ilvl="4" w:tplc="0C090003" w:tentative="1">
      <w:start w:val="1"/>
      <w:numFmt w:val="bullet"/>
      <w:lvlText w:val="o"/>
      <w:lvlJc w:val="left"/>
      <w:pPr>
        <w:ind w:left="4525" w:hanging="360"/>
      </w:pPr>
      <w:rPr>
        <w:rFonts w:ascii="Courier New" w:hAnsi="Courier New" w:cs="Courier New" w:hint="default"/>
      </w:rPr>
    </w:lvl>
    <w:lvl w:ilvl="5" w:tplc="0C090005" w:tentative="1">
      <w:start w:val="1"/>
      <w:numFmt w:val="bullet"/>
      <w:lvlText w:val=""/>
      <w:lvlJc w:val="left"/>
      <w:pPr>
        <w:ind w:left="5245" w:hanging="360"/>
      </w:pPr>
      <w:rPr>
        <w:rFonts w:ascii="Wingdings" w:hAnsi="Wingdings" w:hint="default"/>
      </w:rPr>
    </w:lvl>
    <w:lvl w:ilvl="6" w:tplc="0C090001" w:tentative="1">
      <w:start w:val="1"/>
      <w:numFmt w:val="bullet"/>
      <w:lvlText w:val=""/>
      <w:lvlJc w:val="left"/>
      <w:pPr>
        <w:ind w:left="5965" w:hanging="360"/>
      </w:pPr>
      <w:rPr>
        <w:rFonts w:ascii="Symbol" w:hAnsi="Symbol" w:hint="default"/>
      </w:rPr>
    </w:lvl>
    <w:lvl w:ilvl="7" w:tplc="0C090003" w:tentative="1">
      <w:start w:val="1"/>
      <w:numFmt w:val="bullet"/>
      <w:lvlText w:val="o"/>
      <w:lvlJc w:val="left"/>
      <w:pPr>
        <w:ind w:left="6685" w:hanging="360"/>
      </w:pPr>
      <w:rPr>
        <w:rFonts w:ascii="Courier New" w:hAnsi="Courier New" w:cs="Courier New" w:hint="default"/>
      </w:rPr>
    </w:lvl>
    <w:lvl w:ilvl="8" w:tplc="0C090005" w:tentative="1">
      <w:start w:val="1"/>
      <w:numFmt w:val="bullet"/>
      <w:lvlText w:val=""/>
      <w:lvlJc w:val="left"/>
      <w:pPr>
        <w:ind w:left="7405" w:hanging="360"/>
      </w:pPr>
      <w:rPr>
        <w:rFonts w:ascii="Wingdings" w:hAnsi="Wingdings" w:hint="default"/>
      </w:rPr>
    </w:lvl>
  </w:abstractNum>
  <w:abstractNum w:abstractNumId="123" w15:restartNumberingAfterBreak="0">
    <w:nsid w:val="58475EB8"/>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4" w15:restartNumberingAfterBreak="0">
    <w:nsid w:val="5970589D"/>
    <w:multiLevelType w:val="hybridMultilevel"/>
    <w:tmpl w:val="3CF27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5A0D73D8"/>
    <w:multiLevelType w:val="multilevel"/>
    <w:tmpl w:val="9370BF6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lowerRoman"/>
      <w:lvlText w:val="(%6)"/>
      <w:lvlJc w:val="left"/>
      <w:pPr>
        <w:ind w:left="1474" w:hanging="453"/>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6" w15:restartNumberingAfterBreak="0">
    <w:nsid w:val="5A6355C6"/>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7" w15:restartNumberingAfterBreak="0">
    <w:nsid w:val="5B8A0280"/>
    <w:multiLevelType w:val="hybridMultilevel"/>
    <w:tmpl w:val="675A88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5CD94872"/>
    <w:multiLevelType w:val="multilevel"/>
    <w:tmpl w:val="DCFE8C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720" w:hanging="720"/>
      </w:pPr>
      <w:rPr>
        <w:rFonts w:ascii="Symbol" w:hAnsi="Symbol" w:hint="default"/>
      </w:rPr>
    </w:lvl>
    <w:lvl w:ilvl="3">
      <w:start w:val="1"/>
      <w:numFmt w:val="decimal"/>
      <w:lvlText w:val="(%4)"/>
      <w:lvlJc w:val="left"/>
      <w:pPr>
        <w:ind w:left="864" w:hanging="864"/>
      </w:pPr>
      <w:rPr>
        <w:rFonts w:hint="default"/>
      </w:rPr>
    </w:lvl>
    <w:lvl w:ilvl="4">
      <w:start w:val="1"/>
      <w:numFmt w:val="lowerLetter"/>
      <w:lvlText w:val="(%5)"/>
      <w:lvlJc w:val="left"/>
      <w:pPr>
        <w:ind w:left="1008" w:hanging="1008"/>
      </w:pPr>
      <w:rPr>
        <w:rFonts w:hint="default"/>
      </w:rPr>
    </w:lvl>
    <w:lvl w:ilvl="5">
      <w:start w:val="1"/>
      <w:numFmt w:val="bullet"/>
      <w:lvlText w:val=""/>
      <w:lvlJc w:val="left"/>
      <w:pPr>
        <w:ind w:left="1152" w:hanging="1152"/>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9" w15:restartNumberingAfterBreak="0">
    <w:nsid w:val="5D316DE2"/>
    <w:multiLevelType w:val="hybridMultilevel"/>
    <w:tmpl w:val="71C89794"/>
    <w:lvl w:ilvl="0" w:tplc="0C090003">
      <w:start w:val="1"/>
      <w:numFmt w:val="bullet"/>
      <w:lvlText w:val="o"/>
      <w:lvlJc w:val="left"/>
      <w:pPr>
        <w:ind w:left="2136" w:hanging="360"/>
      </w:pPr>
      <w:rPr>
        <w:rFonts w:ascii="Courier New" w:hAnsi="Courier New" w:cs="Courier New" w:hint="default"/>
      </w:rPr>
    </w:lvl>
    <w:lvl w:ilvl="1" w:tplc="0C090003" w:tentative="1">
      <w:start w:val="1"/>
      <w:numFmt w:val="bullet"/>
      <w:lvlText w:val="o"/>
      <w:lvlJc w:val="left"/>
      <w:pPr>
        <w:ind w:left="2856" w:hanging="360"/>
      </w:pPr>
      <w:rPr>
        <w:rFonts w:ascii="Courier New" w:hAnsi="Courier New" w:cs="Courier New" w:hint="default"/>
      </w:rPr>
    </w:lvl>
    <w:lvl w:ilvl="2" w:tplc="0C090005" w:tentative="1">
      <w:start w:val="1"/>
      <w:numFmt w:val="bullet"/>
      <w:lvlText w:val=""/>
      <w:lvlJc w:val="left"/>
      <w:pPr>
        <w:ind w:left="3576" w:hanging="360"/>
      </w:pPr>
      <w:rPr>
        <w:rFonts w:ascii="Wingdings" w:hAnsi="Wingdings" w:hint="default"/>
      </w:rPr>
    </w:lvl>
    <w:lvl w:ilvl="3" w:tplc="0C090001" w:tentative="1">
      <w:start w:val="1"/>
      <w:numFmt w:val="bullet"/>
      <w:lvlText w:val=""/>
      <w:lvlJc w:val="left"/>
      <w:pPr>
        <w:ind w:left="4296" w:hanging="360"/>
      </w:pPr>
      <w:rPr>
        <w:rFonts w:ascii="Symbol" w:hAnsi="Symbol" w:hint="default"/>
      </w:rPr>
    </w:lvl>
    <w:lvl w:ilvl="4" w:tplc="0C090003" w:tentative="1">
      <w:start w:val="1"/>
      <w:numFmt w:val="bullet"/>
      <w:lvlText w:val="o"/>
      <w:lvlJc w:val="left"/>
      <w:pPr>
        <w:ind w:left="5016" w:hanging="360"/>
      </w:pPr>
      <w:rPr>
        <w:rFonts w:ascii="Courier New" w:hAnsi="Courier New" w:cs="Courier New" w:hint="default"/>
      </w:rPr>
    </w:lvl>
    <w:lvl w:ilvl="5" w:tplc="0C090005" w:tentative="1">
      <w:start w:val="1"/>
      <w:numFmt w:val="bullet"/>
      <w:lvlText w:val=""/>
      <w:lvlJc w:val="left"/>
      <w:pPr>
        <w:ind w:left="5736" w:hanging="360"/>
      </w:pPr>
      <w:rPr>
        <w:rFonts w:ascii="Wingdings" w:hAnsi="Wingdings" w:hint="default"/>
      </w:rPr>
    </w:lvl>
    <w:lvl w:ilvl="6" w:tplc="0C090001" w:tentative="1">
      <w:start w:val="1"/>
      <w:numFmt w:val="bullet"/>
      <w:lvlText w:val=""/>
      <w:lvlJc w:val="left"/>
      <w:pPr>
        <w:ind w:left="6456" w:hanging="360"/>
      </w:pPr>
      <w:rPr>
        <w:rFonts w:ascii="Symbol" w:hAnsi="Symbol" w:hint="default"/>
      </w:rPr>
    </w:lvl>
    <w:lvl w:ilvl="7" w:tplc="0C090003" w:tentative="1">
      <w:start w:val="1"/>
      <w:numFmt w:val="bullet"/>
      <w:lvlText w:val="o"/>
      <w:lvlJc w:val="left"/>
      <w:pPr>
        <w:ind w:left="7176" w:hanging="360"/>
      </w:pPr>
      <w:rPr>
        <w:rFonts w:ascii="Courier New" w:hAnsi="Courier New" w:cs="Courier New" w:hint="default"/>
      </w:rPr>
    </w:lvl>
    <w:lvl w:ilvl="8" w:tplc="0C090005" w:tentative="1">
      <w:start w:val="1"/>
      <w:numFmt w:val="bullet"/>
      <w:lvlText w:val=""/>
      <w:lvlJc w:val="left"/>
      <w:pPr>
        <w:ind w:left="7896" w:hanging="360"/>
      </w:pPr>
      <w:rPr>
        <w:rFonts w:ascii="Wingdings" w:hAnsi="Wingdings" w:hint="default"/>
      </w:rPr>
    </w:lvl>
  </w:abstractNum>
  <w:abstractNum w:abstractNumId="130" w15:restartNumberingAfterBreak="0">
    <w:nsid w:val="5D5A052D"/>
    <w:multiLevelType w:val="hybridMultilevel"/>
    <w:tmpl w:val="3A38CE98"/>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1" w15:restartNumberingAfterBreak="0">
    <w:nsid w:val="5DEB4669"/>
    <w:multiLevelType w:val="hybridMultilevel"/>
    <w:tmpl w:val="A2FAFDD6"/>
    <w:lvl w:ilvl="0" w:tplc="247882F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15:restartNumberingAfterBreak="0">
    <w:nsid w:val="5E037115"/>
    <w:multiLevelType w:val="hybridMultilevel"/>
    <w:tmpl w:val="BC209DB6"/>
    <w:lvl w:ilvl="0" w:tplc="2A4C656A">
      <w:start w:val="1"/>
      <w:numFmt w:val="lowerRoman"/>
      <w:pStyle w:val="BookSub4"/>
      <w:lvlText w:val="(%1) "/>
      <w:lvlJc w:val="left"/>
      <w:pPr>
        <w:tabs>
          <w:tab w:val="num" w:pos="720"/>
        </w:tabs>
        <w:ind w:left="0" w:firstLine="0"/>
      </w:pPr>
      <w:rPr>
        <w:rFonts w:ascii="Arial" w:hAnsi="Arial" w:hint="default"/>
        <w:b w:val="0"/>
        <w:i/>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15:restartNumberingAfterBreak="0">
    <w:nsid w:val="5E604AD7"/>
    <w:multiLevelType w:val="multilevel"/>
    <w:tmpl w:val="7F1845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lowerRoman"/>
      <w:lvlText w:val="(%6)"/>
      <w:lvlJc w:val="left"/>
      <w:pPr>
        <w:ind w:left="1474" w:hanging="453"/>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4" w15:restartNumberingAfterBreak="0">
    <w:nsid w:val="5F841E43"/>
    <w:multiLevelType w:val="multilevel"/>
    <w:tmpl w:val="7F1845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lowerRoman"/>
      <w:lvlText w:val="(%6)"/>
      <w:lvlJc w:val="left"/>
      <w:pPr>
        <w:ind w:left="1474" w:hanging="453"/>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5" w15:restartNumberingAfterBreak="0">
    <w:nsid w:val="6072420C"/>
    <w:multiLevelType w:val="multilevel"/>
    <w:tmpl w:val="1F14911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6"/>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6" w15:restartNumberingAfterBreak="0">
    <w:nsid w:val="60CF2F51"/>
    <w:multiLevelType w:val="multilevel"/>
    <w:tmpl w:val="7F1845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lowerRoman"/>
      <w:lvlText w:val="(%6)"/>
      <w:lvlJc w:val="left"/>
      <w:pPr>
        <w:ind w:left="1474" w:hanging="453"/>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7" w15:restartNumberingAfterBreak="0">
    <w:nsid w:val="60FE47C3"/>
    <w:multiLevelType w:val="hybridMultilevel"/>
    <w:tmpl w:val="49221C54"/>
    <w:lvl w:ilvl="0" w:tplc="7F961B04">
      <w:start w:val="1"/>
      <w:numFmt w:val="decimal"/>
      <w:lvlText w:val="(%1)"/>
      <w:lvlJc w:val="left"/>
      <w:pPr>
        <w:ind w:left="720" w:hanging="360"/>
      </w:pPr>
      <w:rPr>
        <w:rFonts w:hint="default"/>
      </w:rPr>
    </w:lvl>
    <w:lvl w:ilvl="1" w:tplc="32DA227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61DC005B"/>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9" w15:restartNumberingAfterBreak="0">
    <w:nsid w:val="620828EC"/>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0" w15:restartNumberingAfterBreak="0">
    <w:nsid w:val="62CE3E33"/>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1" w15:restartNumberingAfterBreak="0">
    <w:nsid w:val="62CF7CF6"/>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2" w15:restartNumberingAfterBreak="0">
    <w:nsid w:val="63D77289"/>
    <w:multiLevelType w:val="hybridMultilevel"/>
    <w:tmpl w:val="9DC4F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640B53C1"/>
    <w:multiLevelType w:val="multilevel"/>
    <w:tmpl w:val="7F1845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lowerRoman"/>
      <w:lvlText w:val="(%6)"/>
      <w:lvlJc w:val="left"/>
      <w:pPr>
        <w:ind w:left="1474" w:hanging="453"/>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4" w15:restartNumberingAfterBreak="0">
    <w:nsid w:val="642F2B49"/>
    <w:multiLevelType w:val="hybridMultilevel"/>
    <w:tmpl w:val="942E0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64376874"/>
    <w:multiLevelType w:val="hybridMultilevel"/>
    <w:tmpl w:val="CD46A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6476452A"/>
    <w:multiLevelType w:val="hybridMultilevel"/>
    <w:tmpl w:val="52ECC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64CF282C"/>
    <w:multiLevelType w:val="hybridMultilevel"/>
    <w:tmpl w:val="D5DCE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66645369"/>
    <w:multiLevelType w:val="hybridMultilevel"/>
    <w:tmpl w:val="54B64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67A443D3"/>
    <w:multiLevelType w:val="hybridMultilevel"/>
    <w:tmpl w:val="72D26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681C5005"/>
    <w:multiLevelType w:val="hybridMultilevel"/>
    <w:tmpl w:val="14AED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9F47AB9"/>
    <w:multiLevelType w:val="multilevel"/>
    <w:tmpl w:val="6AB8A0A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720" w:hanging="720"/>
      </w:pPr>
      <w:rPr>
        <w:rFonts w:ascii="Symbol" w:hAnsi="Symbol"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2" w15:restartNumberingAfterBreak="0">
    <w:nsid w:val="6A214814"/>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3" w15:restartNumberingAfterBreak="0">
    <w:nsid w:val="6B4F09E6"/>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4" w15:restartNumberingAfterBreak="0">
    <w:nsid w:val="6C5F396F"/>
    <w:multiLevelType w:val="hybridMultilevel"/>
    <w:tmpl w:val="445851E4"/>
    <w:lvl w:ilvl="0" w:tplc="A440A89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5" w15:restartNumberingAfterBreak="0">
    <w:nsid w:val="6CC75824"/>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6" w15:restartNumberingAfterBreak="0">
    <w:nsid w:val="6CE85555"/>
    <w:multiLevelType w:val="multilevel"/>
    <w:tmpl w:val="7F1845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lowerRoman"/>
      <w:lvlText w:val="(%6)"/>
      <w:lvlJc w:val="left"/>
      <w:pPr>
        <w:ind w:left="1474" w:hanging="453"/>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7" w15:restartNumberingAfterBreak="0">
    <w:nsid w:val="6D174BAF"/>
    <w:multiLevelType w:val="hybridMultilevel"/>
    <w:tmpl w:val="71E24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6E7E31C6"/>
    <w:multiLevelType w:val="hybridMultilevel"/>
    <w:tmpl w:val="4ED499EA"/>
    <w:lvl w:ilvl="0" w:tplc="32DA2276">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59" w15:restartNumberingAfterBreak="0">
    <w:nsid w:val="6FFD14CC"/>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0" w15:restartNumberingAfterBreak="0">
    <w:nsid w:val="706361E9"/>
    <w:multiLevelType w:val="hybridMultilevel"/>
    <w:tmpl w:val="05DE5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70CB677A"/>
    <w:multiLevelType w:val="hybridMultilevel"/>
    <w:tmpl w:val="AE1612CC"/>
    <w:lvl w:ilvl="0" w:tplc="2C145A10">
      <w:start w:val="1"/>
      <w:numFmt w:val="decimal"/>
      <w:lvlText w:val="(%1)"/>
      <w:lvlJc w:val="left"/>
      <w:pPr>
        <w:ind w:left="720" w:hanging="360"/>
      </w:pPr>
      <w:rPr>
        <w:rFonts w:hint="default"/>
      </w:rPr>
    </w:lvl>
    <w:lvl w:ilvl="1" w:tplc="32DA2276">
      <w:start w:val="1"/>
      <w:numFmt w:val="lowerLetter"/>
      <w:lvlText w:val="(%2)"/>
      <w:lvlJc w:val="left"/>
      <w:pPr>
        <w:ind w:left="1440" w:hanging="360"/>
      </w:pPr>
      <w:rPr>
        <w:rFonts w:hint="default"/>
      </w:r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70E00629"/>
    <w:multiLevelType w:val="hybridMultilevel"/>
    <w:tmpl w:val="F37ED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71395869"/>
    <w:multiLevelType w:val="hybridMultilevel"/>
    <w:tmpl w:val="EF8A10E6"/>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164" w15:restartNumberingAfterBreak="0">
    <w:nsid w:val="71D7211B"/>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5" w15:restartNumberingAfterBreak="0">
    <w:nsid w:val="72E2117A"/>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6" w15:restartNumberingAfterBreak="0">
    <w:nsid w:val="734436F8"/>
    <w:multiLevelType w:val="hybridMultilevel"/>
    <w:tmpl w:val="EE3AB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73595DFD"/>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8" w15:restartNumberingAfterBreak="0">
    <w:nsid w:val="73B710CE"/>
    <w:multiLevelType w:val="multilevel"/>
    <w:tmpl w:val="D884BCB2"/>
    <w:lvl w:ilvl="0">
      <w:start w:val="1"/>
      <w:numFmt w:val="bullet"/>
      <w:pStyle w:val="Bullet"/>
      <w:lvlText w:val=""/>
      <w:lvlJc w:val="left"/>
      <w:pPr>
        <w:ind w:left="680" w:hanging="340"/>
      </w:pPr>
      <w:rPr>
        <w:rFonts w:ascii="Wingdings 2" w:hAnsi="Wingdings 2" w:hint="default"/>
        <w:color w:val="404040" w:themeColor="text1" w:themeTint="BF"/>
        <w:position w:val="3"/>
        <w:sz w:val="10"/>
      </w:rPr>
    </w:lvl>
    <w:lvl w:ilvl="1">
      <w:start w:val="1"/>
      <w:numFmt w:val="bullet"/>
      <w:lvlText w:val=""/>
      <w:lvlJc w:val="left"/>
      <w:pPr>
        <w:ind w:left="1020" w:hanging="340"/>
      </w:pPr>
      <w:rPr>
        <w:rFonts w:ascii="Wingdings 2" w:hAnsi="Wingdings 2" w:hint="default"/>
        <w:color w:val="404040" w:themeColor="text1" w:themeTint="BF"/>
        <w:position w:val="3"/>
        <w:sz w:val="10"/>
      </w:rPr>
    </w:lvl>
    <w:lvl w:ilvl="2">
      <w:start w:val="1"/>
      <w:numFmt w:val="bullet"/>
      <w:lvlText w:val=""/>
      <w:lvlJc w:val="left"/>
      <w:pPr>
        <w:ind w:left="1360" w:hanging="340"/>
      </w:pPr>
      <w:rPr>
        <w:rFonts w:ascii="Wingdings 2" w:hAnsi="Wingdings 2" w:hint="default"/>
        <w:color w:val="404040" w:themeColor="text1" w:themeTint="BF"/>
        <w:position w:val="4"/>
        <w:sz w:val="10"/>
      </w:rPr>
    </w:lvl>
    <w:lvl w:ilvl="3">
      <w:start w:val="1"/>
      <w:numFmt w:val="bullet"/>
      <w:lvlText w:val=""/>
      <w:lvlJc w:val="left"/>
      <w:pPr>
        <w:ind w:left="1700" w:hanging="340"/>
      </w:pPr>
      <w:rPr>
        <w:rFonts w:ascii="Wingdings 2" w:hAnsi="Wingdings 2" w:hint="default"/>
        <w:color w:val="404040" w:themeColor="text1" w:themeTint="BF"/>
        <w:position w:val="3"/>
        <w:sz w:val="10"/>
      </w:rPr>
    </w:lvl>
    <w:lvl w:ilvl="4">
      <w:start w:val="1"/>
      <w:numFmt w:val="none"/>
      <w:lvlText w:val=""/>
      <w:lvlJc w:val="left"/>
      <w:pPr>
        <w:ind w:left="2040" w:hanging="340"/>
      </w:pPr>
      <w:rPr>
        <w:rFonts w:hint="default"/>
        <w:color w:val="404040" w:themeColor="text1" w:themeTint="BF"/>
        <w:position w:val="3"/>
        <w:sz w:val="10"/>
      </w:rPr>
    </w:lvl>
    <w:lvl w:ilvl="5">
      <w:start w:val="1"/>
      <w:numFmt w:val="none"/>
      <w:lvlText w:val=""/>
      <w:lvlJc w:val="left"/>
      <w:pPr>
        <w:ind w:left="2380" w:hanging="340"/>
      </w:pPr>
      <w:rPr>
        <w:rFonts w:hint="default"/>
        <w:color w:val="404040" w:themeColor="text1" w:themeTint="BF"/>
        <w:position w:val="3"/>
        <w:sz w:val="10"/>
      </w:rPr>
    </w:lvl>
    <w:lvl w:ilvl="6">
      <w:start w:val="1"/>
      <w:numFmt w:val="none"/>
      <w:lvlText w:val=""/>
      <w:lvlJc w:val="left"/>
      <w:pPr>
        <w:ind w:left="2720" w:hanging="340"/>
      </w:pPr>
      <w:rPr>
        <w:rFonts w:hint="default"/>
        <w:color w:val="404040" w:themeColor="text1" w:themeTint="BF"/>
        <w:position w:val="3"/>
        <w:sz w:val="10"/>
      </w:rPr>
    </w:lvl>
    <w:lvl w:ilvl="7">
      <w:start w:val="1"/>
      <w:numFmt w:val="none"/>
      <w:lvlText w:val=""/>
      <w:lvlJc w:val="left"/>
      <w:pPr>
        <w:ind w:left="3060" w:hanging="340"/>
      </w:pPr>
      <w:rPr>
        <w:rFonts w:hint="default"/>
        <w:color w:val="404040" w:themeColor="text1" w:themeTint="BF"/>
        <w:position w:val="3"/>
        <w:sz w:val="10"/>
      </w:rPr>
    </w:lvl>
    <w:lvl w:ilvl="8">
      <w:start w:val="1"/>
      <w:numFmt w:val="none"/>
      <w:lvlText w:val=""/>
      <w:lvlJc w:val="left"/>
      <w:pPr>
        <w:ind w:left="3400" w:hanging="340"/>
      </w:pPr>
      <w:rPr>
        <w:rFonts w:hint="default"/>
        <w:color w:val="404040" w:themeColor="text1" w:themeTint="BF"/>
        <w:position w:val="3"/>
        <w:sz w:val="10"/>
      </w:rPr>
    </w:lvl>
  </w:abstractNum>
  <w:abstractNum w:abstractNumId="169" w15:restartNumberingAfterBreak="0">
    <w:nsid w:val="74C32D90"/>
    <w:multiLevelType w:val="hybridMultilevel"/>
    <w:tmpl w:val="463CD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7634755B"/>
    <w:multiLevelType w:val="hybridMultilevel"/>
    <w:tmpl w:val="E4B69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76BB413A"/>
    <w:multiLevelType w:val="hybridMultilevel"/>
    <w:tmpl w:val="41FCB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77206476"/>
    <w:multiLevelType w:val="hybridMultilevel"/>
    <w:tmpl w:val="B3ECDF30"/>
    <w:lvl w:ilvl="0" w:tplc="B3B82CD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3" w15:restartNumberingAfterBreak="0">
    <w:nsid w:val="7775230E"/>
    <w:multiLevelType w:val="hybridMultilevel"/>
    <w:tmpl w:val="963CE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780C2E4B"/>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5" w15:restartNumberingAfterBreak="0">
    <w:nsid w:val="78750102"/>
    <w:multiLevelType w:val="hybridMultilevel"/>
    <w:tmpl w:val="25BCE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79726501"/>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7" w15:restartNumberingAfterBreak="0">
    <w:nsid w:val="7B182447"/>
    <w:multiLevelType w:val="hybridMultilevel"/>
    <w:tmpl w:val="E0F84380"/>
    <w:lvl w:ilvl="0" w:tplc="C80C1AA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7B293829"/>
    <w:multiLevelType w:val="hybridMultilevel"/>
    <w:tmpl w:val="54140138"/>
    <w:lvl w:ilvl="0" w:tplc="85BC04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9" w15:restartNumberingAfterBreak="0">
    <w:nsid w:val="7B320A9D"/>
    <w:multiLevelType w:val="hybridMultilevel"/>
    <w:tmpl w:val="D7B866EC"/>
    <w:lvl w:ilvl="0" w:tplc="EDEE5546">
      <w:start w:val="1"/>
      <w:numFmt w:val="decimal"/>
      <w:lvlText w:val="(%1)"/>
      <w:lvlJc w:val="left"/>
      <w:pPr>
        <w:ind w:left="720" w:hanging="360"/>
      </w:pPr>
      <w:rPr>
        <w:rFonts w:hint="default"/>
      </w:rPr>
    </w:lvl>
    <w:lvl w:ilvl="1" w:tplc="32DA2276">
      <w:start w:val="1"/>
      <w:numFmt w:val="lowerLetter"/>
      <w:lvlText w:val="(%2)"/>
      <w:lvlJc w:val="left"/>
      <w:pPr>
        <w:ind w:left="1440" w:hanging="360"/>
      </w:pPr>
      <w:rPr>
        <w:rFonts w:hint="default"/>
      </w:rPr>
    </w:lvl>
    <w:lvl w:ilvl="2" w:tplc="0C090001">
      <w:start w:val="1"/>
      <w:numFmt w:val="bullet"/>
      <w:lvlText w:val=""/>
      <w:lvlJc w:val="left"/>
      <w:pPr>
        <w:ind w:left="1315"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0" w15:restartNumberingAfterBreak="0">
    <w:nsid w:val="7BF54B83"/>
    <w:multiLevelType w:val="multilevel"/>
    <w:tmpl w:val="3A289488"/>
    <w:lvl w:ilvl="0">
      <w:start w:val="1"/>
      <w:numFmt w:val="bullet"/>
      <w:lvlText w:val=""/>
      <w:lvlJc w:val="left"/>
      <w:pPr>
        <w:tabs>
          <w:tab w:val="num" w:pos="709"/>
        </w:tabs>
        <w:ind w:left="709" w:hanging="709"/>
      </w:pPr>
      <w:rPr>
        <w:rFonts w:ascii="Symbol" w:hAnsi="Symbol" w:hint="default"/>
        <w:b w:val="0"/>
        <w:i w:val="0"/>
        <w:sz w:val="18"/>
      </w:rPr>
    </w:lvl>
    <w:lvl w:ilvl="1">
      <w:start w:val="1"/>
      <w:numFmt w:val="none"/>
      <w:lvlText w:val="(a)"/>
      <w:lvlJc w:val="left"/>
      <w:pPr>
        <w:ind w:left="360" w:hanging="360"/>
      </w:pPr>
      <w:rPr>
        <w:rFonts w:hint="default"/>
        <w:b w:val="0"/>
        <w:i w:val="0"/>
        <w:sz w:val="18"/>
      </w:rPr>
    </w:lvl>
    <w:lvl w:ilvl="2">
      <w:start w:val="1"/>
      <w:numFmt w:val="lowerLetter"/>
      <w:lvlText w:val="(%3)"/>
      <w:lvlJc w:val="left"/>
      <w:pPr>
        <w:tabs>
          <w:tab w:val="num" w:pos="1418"/>
        </w:tabs>
        <w:ind w:left="1418" w:hanging="709"/>
      </w:pPr>
      <w:rPr>
        <w:rFonts w:ascii="Arial" w:hAnsi="Arial" w:hint="default"/>
        <w:b w:val="0"/>
        <w:i w:val="0"/>
        <w:sz w:val="18"/>
      </w:rPr>
    </w:lvl>
    <w:lvl w:ilvl="3">
      <w:start w:val="1"/>
      <w:numFmt w:val="lowerRoman"/>
      <w:lvlText w:val="(%4)"/>
      <w:lvlJc w:val="left"/>
      <w:pPr>
        <w:tabs>
          <w:tab w:val="num" w:pos="2126"/>
        </w:tabs>
        <w:ind w:left="2126" w:hanging="708"/>
      </w:pPr>
      <w:rPr>
        <w:rFonts w:ascii="Arial" w:hAnsi="Arial" w:hint="default"/>
        <w:b w:val="0"/>
        <w:i w:val="0"/>
        <w:sz w:val="18"/>
      </w:rPr>
    </w:lvl>
    <w:lvl w:ilvl="4">
      <w:start w:val="1"/>
      <w:numFmt w:val="upperLetter"/>
      <w:lvlText w:val="(%5)"/>
      <w:lvlJc w:val="left"/>
      <w:pPr>
        <w:tabs>
          <w:tab w:val="num" w:pos="2835"/>
        </w:tabs>
        <w:ind w:left="2835" w:hanging="709"/>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1" w15:restartNumberingAfterBreak="0">
    <w:nsid w:val="7E2B7DE4"/>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2" w15:restartNumberingAfterBreak="0">
    <w:nsid w:val="7F052A18"/>
    <w:multiLevelType w:val="multilevel"/>
    <w:tmpl w:val="96304F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bullet"/>
      <w:lvlText w:val=""/>
      <w:lvlJc w:val="left"/>
      <w:pPr>
        <w:ind w:left="1474" w:hanging="453"/>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3" w15:restartNumberingAfterBreak="0">
    <w:nsid w:val="7FE129FB"/>
    <w:multiLevelType w:val="multilevel"/>
    <w:tmpl w:val="7F1845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578" w:hanging="578"/>
      </w:pPr>
      <w:rPr>
        <w:rFonts w:hint="default"/>
      </w:rPr>
    </w:lvl>
    <w:lvl w:ilvl="4">
      <w:start w:val="1"/>
      <w:numFmt w:val="lowerLetter"/>
      <w:lvlText w:val="(%5)"/>
      <w:lvlJc w:val="left"/>
      <w:pPr>
        <w:ind w:left="1021" w:hanging="454"/>
      </w:pPr>
      <w:rPr>
        <w:rFonts w:hint="default"/>
      </w:rPr>
    </w:lvl>
    <w:lvl w:ilvl="5">
      <w:start w:val="1"/>
      <w:numFmt w:val="lowerRoman"/>
      <w:lvlText w:val="(%6)"/>
      <w:lvlJc w:val="left"/>
      <w:pPr>
        <w:ind w:left="1474" w:hanging="453"/>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49"/>
  </w:num>
  <w:num w:numId="2">
    <w:abstractNumId w:val="105"/>
  </w:num>
  <w:num w:numId="3">
    <w:abstractNumId w:val="111"/>
  </w:num>
  <w:num w:numId="4">
    <w:abstractNumId w:val="119"/>
  </w:num>
  <w:num w:numId="5">
    <w:abstractNumId w:val="73"/>
  </w:num>
  <w:num w:numId="6">
    <w:abstractNumId w:val="130"/>
  </w:num>
  <w:num w:numId="7">
    <w:abstractNumId w:val="104"/>
  </w:num>
  <w:num w:numId="8">
    <w:abstractNumId w:val="162"/>
  </w:num>
  <w:num w:numId="9">
    <w:abstractNumId w:val="169"/>
  </w:num>
  <w:num w:numId="10">
    <w:abstractNumId w:val="145"/>
  </w:num>
  <w:num w:numId="11">
    <w:abstractNumId w:val="35"/>
  </w:num>
  <w:num w:numId="12">
    <w:abstractNumId w:val="89"/>
  </w:num>
  <w:num w:numId="13">
    <w:abstractNumId w:val="95"/>
  </w:num>
  <w:num w:numId="14">
    <w:abstractNumId w:val="170"/>
  </w:num>
  <w:num w:numId="15">
    <w:abstractNumId w:val="85"/>
  </w:num>
  <w:num w:numId="16">
    <w:abstractNumId w:val="129"/>
  </w:num>
  <w:num w:numId="17">
    <w:abstractNumId w:val="24"/>
  </w:num>
  <w:num w:numId="18">
    <w:abstractNumId w:val="127"/>
  </w:num>
  <w:num w:numId="19">
    <w:abstractNumId w:val="15"/>
  </w:num>
  <w:num w:numId="20">
    <w:abstractNumId w:val="9"/>
  </w:num>
  <w:num w:numId="21">
    <w:abstractNumId w:val="30"/>
  </w:num>
  <w:num w:numId="22">
    <w:abstractNumId w:val="81"/>
  </w:num>
  <w:num w:numId="23">
    <w:abstractNumId w:val="43"/>
  </w:num>
  <w:num w:numId="24">
    <w:abstractNumId w:val="83"/>
  </w:num>
  <w:num w:numId="25">
    <w:abstractNumId w:val="115"/>
  </w:num>
  <w:num w:numId="26">
    <w:abstractNumId w:val="56"/>
  </w:num>
  <w:num w:numId="27">
    <w:abstractNumId w:val="17"/>
  </w:num>
  <w:num w:numId="28">
    <w:abstractNumId w:val="120"/>
  </w:num>
  <w:num w:numId="29">
    <w:abstractNumId w:val="157"/>
  </w:num>
  <w:num w:numId="30">
    <w:abstractNumId w:val="146"/>
  </w:num>
  <w:num w:numId="31">
    <w:abstractNumId w:val="2"/>
  </w:num>
  <w:num w:numId="32">
    <w:abstractNumId w:val="50"/>
  </w:num>
  <w:num w:numId="33">
    <w:abstractNumId w:val="171"/>
  </w:num>
  <w:num w:numId="34">
    <w:abstractNumId w:val="3"/>
  </w:num>
  <w:num w:numId="35">
    <w:abstractNumId w:val="144"/>
  </w:num>
  <w:num w:numId="36">
    <w:abstractNumId w:val="8"/>
  </w:num>
  <w:num w:numId="37">
    <w:abstractNumId w:val="121"/>
  </w:num>
  <w:num w:numId="38">
    <w:abstractNumId w:val="16"/>
  </w:num>
  <w:num w:numId="39">
    <w:abstractNumId w:val="97"/>
  </w:num>
  <w:num w:numId="40">
    <w:abstractNumId w:val="14"/>
  </w:num>
  <w:num w:numId="41">
    <w:abstractNumId w:val="124"/>
  </w:num>
  <w:num w:numId="42">
    <w:abstractNumId w:val="47"/>
  </w:num>
  <w:num w:numId="43">
    <w:abstractNumId w:val="84"/>
  </w:num>
  <w:num w:numId="44">
    <w:abstractNumId w:val="40"/>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0"/>
  </w:num>
  <w:num w:numId="48">
    <w:abstractNumId w:val="110"/>
  </w:num>
  <w:num w:numId="49">
    <w:abstractNumId w:val="102"/>
  </w:num>
  <w:num w:numId="50">
    <w:abstractNumId w:val="31"/>
  </w:num>
  <w:num w:numId="51">
    <w:abstractNumId w:val="109"/>
  </w:num>
  <w:num w:numId="52">
    <w:abstractNumId w:val="108"/>
  </w:num>
  <w:num w:numId="53">
    <w:abstractNumId w:val="175"/>
  </w:num>
  <w:num w:numId="54">
    <w:abstractNumId w:val="46"/>
  </w:num>
  <w:num w:numId="55">
    <w:abstractNumId w:val="173"/>
  </w:num>
  <w:num w:numId="56">
    <w:abstractNumId w:val="160"/>
  </w:num>
  <w:num w:numId="57">
    <w:abstractNumId w:val="87"/>
  </w:num>
  <w:num w:numId="58">
    <w:abstractNumId w:val="72"/>
  </w:num>
  <w:num w:numId="59">
    <w:abstractNumId w:val="39"/>
  </w:num>
  <w:num w:numId="60">
    <w:abstractNumId w:val="67"/>
  </w:num>
  <w:num w:numId="61">
    <w:abstractNumId w:val="180"/>
  </w:num>
  <w:num w:numId="62">
    <w:abstractNumId w:val="101"/>
  </w:num>
  <w:num w:numId="63">
    <w:abstractNumId w:val="32"/>
  </w:num>
  <w:num w:numId="64">
    <w:abstractNumId w:val="51"/>
  </w:num>
  <w:num w:numId="65">
    <w:abstractNumId w:val="166"/>
  </w:num>
  <w:num w:numId="66">
    <w:abstractNumId w:val="26"/>
  </w:num>
  <w:num w:numId="67">
    <w:abstractNumId w:val="12"/>
  </w:num>
  <w:num w:numId="68">
    <w:abstractNumId w:val="132"/>
  </w:num>
  <w:num w:numId="69">
    <w:abstractNumId w:val="86"/>
  </w:num>
  <w:num w:numId="70">
    <w:abstractNumId w:val="114"/>
  </w:num>
  <w:num w:numId="71">
    <w:abstractNumId w:val="96"/>
  </w:num>
  <w:num w:numId="72">
    <w:abstractNumId w:val="5"/>
  </w:num>
  <w:num w:numId="73">
    <w:abstractNumId w:val="44"/>
  </w:num>
  <w:num w:numId="74">
    <w:abstractNumId w:val="7"/>
  </w:num>
  <w:num w:numId="75">
    <w:abstractNumId w:val="168"/>
  </w:num>
  <w:num w:numId="76">
    <w:abstractNumId w:val="28"/>
  </w:num>
  <w:num w:numId="77">
    <w:abstractNumId w:val="55"/>
  </w:num>
  <w:num w:numId="78">
    <w:abstractNumId w:val="10"/>
  </w:num>
  <w:num w:numId="79">
    <w:abstractNumId w:val="69"/>
  </w:num>
  <w:num w:numId="80">
    <w:abstractNumId w:val="88"/>
  </w:num>
  <w:num w:numId="81">
    <w:abstractNumId w:val="53"/>
  </w:num>
  <w:num w:numId="82">
    <w:abstractNumId w:val="62"/>
  </w:num>
  <w:num w:numId="83">
    <w:abstractNumId w:val="117"/>
  </w:num>
  <w:num w:numId="84">
    <w:abstractNumId w:val="26"/>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none"/>
        <w:lvlText w:val="(1)"/>
        <w:lvlJc w:val="left"/>
        <w:pPr>
          <w:ind w:left="578" w:hanging="578"/>
        </w:pPr>
        <w:rPr>
          <w:rFonts w:hint="default"/>
        </w:rPr>
      </w:lvl>
    </w:lvlOverride>
    <w:lvlOverride w:ilvl="4">
      <w:lvl w:ilvl="4">
        <w:start w:val="1"/>
        <w:numFmt w:val="lowerLetter"/>
        <w:lvlText w:val="(%5)"/>
        <w:lvlJc w:val="left"/>
        <w:pPr>
          <w:ind w:left="1021" w:hanging="454"/>
        </w:pPr>
        <w:rPr>
          <w:rFonts w:hint="default"/>
        </w:rPr>
      </w:lvl>
    </w:lvlOverride>
    <w:lvlOverride w:ilvl="5">
      <w:lvl w:ilvl="5">
        <w:start w:val="1"/>
        <w:numFmt w:val="bullet"/>
        <w:lvlText w:val=""/>
        <w:lvlJc w:val="left"/>
        <w:pPr>
          <w:ind w:left="1474" w:hanging="453"/>
        </w:pPr>
        <w:rPr>
          <w:rFonts w:ascii="Symbol" w:hAnsi="Symbol"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85">
    <w:abstractNumId w:val="26"/>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4)"/>
        <w:lvlJc w:val="left"/>
        <w:pPr>
          <w:ind w:left="578" w:hanging="578"/>
        </w:pPr>
        <w:rPr>
          <w:rFonts w:hint="default"/>
        </w:rPr>
      </w:lvl>
    </w:lvlOverride>
    <w:lvlOverride w:ilvl="4">
      <w:lvl w:ilvl="4">
        <w:start w:val="1"/>
        <w:numFmt w:val="lowerLetter"/>
        <w:lvlText w:val="(%5)"/>
        <w:lvlJc w:val="left"/>
        <w:pPr>
          <w:ind w:left="919" w:hanging="352"/>
        </w:pPr>
        <w:rPr>
          <w:rFonts w:hint="default"/>
        </w:rPr>
      </w:lvl>
    </w:lvlOverride>
    <w:lvlOverride w:ilvl="5">
      <w:lvl w:ilvl="5">
        <w:start w:val="1"/>
        <w:numFmt w:val="lowerRoman"/>
        <w:lvlText w:val="(%6)"/>
        <w:lvlJc w:val="left"/>
        <w:pPr>
          <w:ind w:left="1372" w:hanging="453"/>
        </w:pPr>
        <w:rPr>
          <w:rFonts w:hint="default"/>
        </w:rPr>
      </w:lvl>
    </w:lvlOverride>
    <w:lvlOverride w:ilvl="6">
      <w:lvl w:ilvl="6">
        <w:start w:val="1"/>
        <w:numFmt w:val="bullet"/>
        <w:lvlText w:val=""/>
        <w:lvlJc w:val="left"/>
        <w:pPr>
          <w:ind w:left="1296" w:hanging="377"/>
        </w:pPr>
        <w:rPr>
          <w:rFonts w:ascii="Symbol" w:hAnsi="Symbol"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86">
    <w:abstractNumId w:val="18"/>
  </w:num>
  <w:num w:numId="87">
    <w:abstractNumId w:val="6"/>
  </w:num>
  <w:num w:numId="88">
    <w:abstractNumId w:val="23"/>
  </w:num>
  <w:num w:numId="89">
    <w:abstractNumId w:val="128"/>
  </w:num>
  <w:num w:numId="90">
    <w:abstractNumId w:val="11"/>
  </w:num>
  <w:num w:numId="91">
    <w:abstractNumId w:val="163"/>
  </w:num>
  <w:num w:numId="92">
    <w:abstractNumId w:val="122"/>
  </w:num>
  <w:num w:numId="93">
    <w:abstractNumId w:val="112"/>
  </w:num>
  <w:num w:numId="94">
    <w:abstractNumId w:val="21"/>
  </w:num>
  <w:num w:numId="95">
    <w:abstractNumId w:val="147"/>
  </w:num>
  <w:num w:numId="96">
    <w:abstractNumId w:val="106"/>
  </w:num>
  <w:num w:numId="97">
    <w:abstractNumId w:val="142"/>
  </w:num>
  <w:num w:numId="98">
    <w:abstractNumId w:val="48"/>
  </w:num>
  <w:num w:numId="99">
    <w:abstractNumId w:val="174"/>
  </w:num>
  <w:num w:numId="100">
    <w:abstractNumId w:val="54"/>
  </w:num>
  <w:num w:numId="101">
    <w:abstractNumId w:val="58"/>
  </w:num>
  <w:num w:numId="102">
    <w:abstractNumId w:val="63"/>
  </w:num>
  <w:num w:numId="103">
    <w:abstractNumId w:val="103"/>
  </w:num>
  <w:num w:numId="104">
    <w:abstractNumId w:val="158"/>
  </w:num>
  <w:num w:numId="105">
    <w:abstractNumId w:val="61"/>
  </w:num>
  <w:num w:numId="106">
    <w:abstractNumId w:val="98"/>
  </w:num>
  <w:num w:numId="107">
    <w:abstractNumId w:val="140"/>
  </w:num>
  <w:num w:numId="108">
    <w:abstractNumId w:val="152"/>
  </w:num>
  <w:num w:numId="109">
    <w:abstractNumId w:val="151"/>
  </w:num>
  <w:num w:numId="110">
    <w:abstractNumId w:val="159"/>
  </w:num>
  <w:num w:numId="111">
    <w:abstractNumId w:val="181"/>
  </w:num>
  <w:num w:numId="112">
    <w:abstractNumId w:val="141"/>
  </w:num>
  <w:num w:numId="113">
    <w:abstractNumId w:val="76"/>
  </w:num>
  <w:num w:numId="114">
    <w:abstractNumId w:val="20"/>
  </w:num>
  <w:num w:numId="115">
    <w:abstractNumId w:val="78"/>
  </w:num>
  <w:num w:numId="116">
    <w:abstractNumId w:val="123"/>
  </w:num>
  <w:num w:numId="117">
    <w:abstractNumId w:val="4"/>
  </w:num>
  <w:num w:numId="118">
    <w:abstractNumId w:val="118"/>
  </w:num>
  <w:num w:numId="119">
    <w:abstractNumId w:val="113"/>
  </w:num>
  <w:num w:numId="120">
    <w:abstractNumId w:val="70"/>
  </w:num>
  <w:num w:numId="121">
    <w:abstractNumId w:val="153"/>
  </w:num>
  <w:num w:numId="122">
    <w:abstractNumId w:val="182"/>
  </w:num>
  <w:num w:numId="123">
    <w:abstractNumId w:val="38"/>
  </w:num>
  <w:num w:numId="124">
    <w:abstractNumId w:val="138"/>
  </w:num>
  <w:num w:numId="125">
    <w:abstractNumId w:val="139"/>
  </w:num>
  <w:num w:numId="126">
    <w:abstractNumId w:val="19"/>
  </w:num>
  <w:num w:numId="127">
    <w:abstractNumId w:val="71"/>
  </w:num>
  <w:num w:numId="128">
    <w:abstractNumId w:val="34"/>
  </w:num>
  <w:num w:numId="129">
    <w:abstractNumId w:val="164"/>
  </w:num>
  <w:num w:numId="130">
    <w:abstractNumId w:val="75"/>
  </w:num>
  <w:num w:numId="131">
    <w:abstractNumId w:val="91"/>
  </w:num>
  <w:num w:numId="132">
    <w:abstractNumId w:val="165"/>
  </w:num>
  <w:num w:numId="133">
    <w:abstractNumId w:val="33"/>
  </w:num>
  <w:num w:numId="134">
    <w:abstractNumId w:val="116"/>
  </w:num>
  <w:num w:numId="135">
    <w:abstractNumId w:val="68"/>
  </w:num>
  <w:num w:numId="136">
    <w:abstractNumId w:val="29"/>
  </w:num>
  <w:num w:numId="137">
    <w:abstractNumId w:val="176"/>
  </w:num>
  <w:num w:numId="138">
    <w:abstractNumId w:val="66"/>
  </w:num>
  <w:num w:numId="139">
    <w:abstractNumId w:val="57"/>
  </w:num>
  <w:num w:numId="140">
    <w:abstractNumId w:val="79"/>
  </w:num>
  <w:num w:numId="141">
    <w:abstractNumId w:val="126"/>
  </w:num>
  <w:num w:numId="142">
    <w:abstractNumId w:val="99"/>
  </w:num>
  <w:num w:numId="143">
    <w:abstractNumId w:val="167"/>
  </w:num>
  <w:num w:numId="144">
    <w:abstractNumId w:val="131"/>
  </w:num>
  <w:num w:numId="145">
    <w:abstractNumId w:val="177"/>
  </w:num>
  <w:num w:numId="146">
    <w:abstractNumId w:val="161"/>
  </w:num>
  <w:num w:numId="147">
    <w:abstractNumId w:val="172"/>
  </w:num>
  <w:num w:numId="148">
    <w:abstractNumId w:val="154"/>
  </w:num>
  <w:num w:numId="149">
    <w:abstractNumId w:val="179"/>
  </w:num>
  <w:num w:numId="150">
    <w:abstractNumId w:val="80"/>
  </w:num>
  <w:num w:numId="151">
    <w:abstractNumId w:val="42"/>
  </w:num>
  <w:num w:numId="152">
    <w:abstractNumId w:val="13"/>
  </w:num>
  <w:num w:numId="153">
    <w:abstractNumId w:val="25"/>
  </w:num>
  <w:num w:numId="154">
    <w:abstractNumId w:val="37"/>
  </w:num>
  <w:num w:numId="155">
    <w:abstractNumId w:val="77"/>
  </w:num>
  <w:num w:numId="156">
    <w:abstractNumId w:val="100"/>
  </w:num>
  <w:num w:numId="157">
    <w:abstractNumId w:val="137"/>
  </w:num>
  <w:num w:numId="158">
    <w:abstractNumId w:val="93"/>
  </w:num>
  <w:num w:numId="159">
    <w:abstractNumId w:val="41"/>
  </w:num>
  <w:num w:numId="160">
    <w:abstractNumId w:val="65"/>
  </w:num>
  <w:num w:numId="161">
    <w:abstractNumId w:val="178"/>
  </w:num>
  <w:num w:numId="162">
    <w:abstractNumId w:val="45"/>
  </w:num>
  <w:num w:numId="163">
    <w:abstractNumId w:val="64"/>
  </w:num>
  <w:num w:numId="164">
    <w:abstractNumId w:val="82"/>
  </w:num>
  <w:num w:numId="165">
    <w:abstractNumId w:val="148"/>
  </w:num>
  <w:num w:numId="166">
    <w:abstractNumId w:val="90"/>
  </w:num>
  <w:num w:numId="167">
    <w:abstractNumId w:val="155"/>
  </w:num>
  <w:num w:numId="168">
    <w:abstractNumId w:val="1"/>
  </w:num>
  <w:num w:numId="169">
    <w:abstractNumId w:val="27"/>
  </w:num>
  <w:num w:numId="170">
    <w:abstractNumId w:val="74"/>
  </w:num>
  <w:num w:numId="171">
    <w:abstractNumId w:val="0"/>
  </w:num>
  <w:num w:numId="172">
    <w:abstractNumId w:val="59"/>
  </w:num>
  <w:num w:numId="173">
    <w:abstractNumId w:val="52"/>
  </w:num>
  <w:num w:numId="174">
    <w:abstractNumId w:val="107"/>
  </w:num>
  <w:num w:numId="175">
    <w:abstractNumId w:val="133"/>
  </w:num>
  <w:num w:numId="176">
    <w:abstractNumId w:val="134"/>
  </w:num>
  <w:num w:numId="177">
    <w:abstractNumId w:val="49"/>
  </w:num>
  <w:num w:numId="178">
    <w:abstractNumId w:val="136"/>
  </w:num>
  <w:num w:numId="179">
    <w:abstractNumId w:val="143"/>
  </w:num>
  <w:num w:numId="180">
    <w:abstractNumId w:val="156"/>
  </w:num>
  <w:num w:numId="181">
    <w:abstractNumId w:val="92"/>
  </w:num>
  <w:num w:numId="182">
    <w:abstractNumId w:val="135"/>
  </w:num>
  <w:num w:numId="183">
    <w:abstractNumId w:val="183"/>
  </w:num>
  <w:num w:numId="184">
    <w:abstractNumId w:val="22"/>
  </w:num>
  <w:num w:numId="185">
    <w:abstractNumId w:val="60"/>
  </w:num>
  <w:num w:numId="186">
    <w:abstractNumId w:val="36"/>
  </w:num>
  <w:num w:numId="187">
    <w:abstractNumId w:val="125"/>
  </w:num>
  <w:num w:numId="188">
    <w:abstractNumId w:val="94"/>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1528" w:allStyles="0" w:customStyles="0" w:latentStyles="0" w:stylesInUse="1" w:headingStyles="1" w:numberingStyles="0" w:tableStyles="0" w:directFormattingOnRuns="1" w:directFormattingOnParagraphs="0"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052"/>
    <w:rsid w:val="0000289C"/>
    <w:rsid w:val="00002D04"/>
    <w:rsid w:val="000030B5"/>
    <w:rsid w:val="00003993"/>
    <w:rsid w:val="00003AF9"/>
    <w:rsid w:val="00006A4E"/>
    <w:rsid w:val="00017A15"/>
    <w:rsid w:val="0002102C"/>
    <w:rsid w:val="00021DFA"/>
    <w:rsid w:val="00021ECB"/>
    <w:rsid w:val="00024A10"/>
    <w:rsid w:val="000322A8"/>
    <w:rsid w:val="0003635C"/>
    <w:rsid w:val="0004175E"/>
    <w:rsid w:val="000437EC"/>
    <w:rsid w:val="00047679"/>
    <w:rsid w:val="00052178"/>
    <w:rsid w:val="00055B3D"/>
    <w:rsid w:val="00060FDA"/>
    <w:rsid w:val="00062E60"/>
    <w:rsid w:val="00062F8A"/>
    <w:rsid w:val="00065C49"/>
    <w:rsid w:val="00070287"/>
    <w:rsid w:val="000713CD"/>
    <w:rsid w:val="00077B7A"/>
    <w:rsid w:val="00077D07"/>
    <w:rsid w:val="000842F5"/>
    <w:rsid w:val="00091756"/>
    <w:rsid w:val="000A0230"/>
    <w:rsid w:val="000A0E9F"/>
    <w:rsid w:val="000A1084"/>
    <w:rsid w:val="000A3B34"/>
    <w:rsid w:val="000A4368"/>
    <w:rsid w:val="000A4B5D"/>
    <w:rsid w:val="000A59D1"/>
    <w:rsid w:val="000A6E05"/>
    <w:rsid w:val="000A6E21"/>
    <w:rsid w:val="000B51F5"/>
    <w:rsid w:val="000B6292"/>
    <w:rsid w:val="000B7612"/>
    <w:rsid w:val="000C0DAE"/>
    <w:rsid w:val="000C3AC9"/>
    <w:rsid w:val="000C4AD9"/>
    <w:rsid w:val="000D01BD"/>
    <w:rsid w:val="000D39E2"/>
    <w:rsid w:val="000D437D"/>
    <w:rsid w:val="000D4769"/>
    <w:rsid w:val="000D71F7"/>
    <w:rsid w:val="000F2004"/>
    <w:rsid w:val="000F3D37"/>
    <w:rsid w:val="000F6D2A"/>
    <w:rsid w:val="000F6F69"/>
    <w:rsid w:val="001018C8"/>
    <w:rsid w:val="00101B07"/>
    <w:rsid w:val="001020FF"/>
    <w:rsid w:val="001058BA"/>
    <w:rsid w:val="00105F9B"/>
    <w:rsid w:val="0011369F"/>
    <w:rsid w:val="001150E0"/>
    <w:rsid w:val="00115A3E"/>
    <w:rsid w:val="001177DA"/>
    <w:rsid w:val="0012033C"/>
    <w:rsid w:val="0012282E"/>
    <w:rsid w:val="001243B3"/>
    <w:rsid w:val="001254B5"/>
    <w:rsid w:val="001264C6"/>
    <w:rsid w:val="00126A60"/>
    <w:rsid w:val="00130EFD"/>
    <w:rsid w:val="00134C24"/>
    <w:rsid w:val="001366A7"/>
    <w:rsid w:val="00140C53"/>
    <w:rsid w:val="00141B38"/>
    <w:rsid w:val="00142DA5"/>
    <w:rsid w:val="0014612A"/>
    <w:rsid w:val="00150CDE"/>
    <w:rsid w:val="00151E41"/>
    <w:rsid w:val="00152982"/>
    <w:rsid w:val="00156DD6"/>
    <w:rsid w:val="001573C5"/>
    <w:rsid w:val="00157459"/>
    <w:rsid w:val="00160ABE"/>
    <w:rsid w:val="00162BC7"/>
    <w:rsid w:val="00165377"/>
    <w:rsid w:val="00165C27"/>
    <w:rsid w:val="00167883"/>
    <w:rsid w:val="001702C1"/>
    <w:rsid w:val="001703AA"/>
    <w:rsid w:val="0017150C"/>
    <w:rsid w:val="00171956"/>
    <w:rsid w:val="00172D73"/>
    <w:rsid w:val="001733D6"/>
    <w:rsid w:val="00177E9A"/>
    <w:rsid w:val="00181B2A"/>
    <w:rsid w:val="00183D4F"/>
    <w:rsid w:val="001900D0"/>
    <w:rsid w:val="00191234"/>
    <w:rsid w:val="00192F8A"/>
    <w:rsid w:val="00193282"/>
    <w:rsid w:val="001A20CD"/>
    <w:rsid w:val="001A6E1C"/>
    <w:rsid w:val="001B217E"/>
    <w:rsid w:val="001B5D3A"/>
    <w:rsid w:val="001B6210"/>
    <w:rsid w:val="001B700B"/>
    <w:rsid w:val="001B7E66"/>
    <w:rsid w:val="001C0067"/>
    <w:rsid w:val="001C21DC"/>
    <w:rsid w:val="001C38EB"/>
    <w:rsid w:val="001C48B2"/>
    <w:rsid w:val="001C5090"/>
    <w:rsid w:val="001C5101"/>
    <w:rsid w:val="001C66B1"/>
    <w:rsid w:val="001C66D7"/>
    <w:rsid w:val="001C6EC9"/>
    <w:rsid w:val="001D05E9"/>
    <w:rsid w:val="001D1012"/>
    <w:rsid w:val="001D16FF"/>
    <w:rsid w:val="001D3D2E"/>
    <w:rsid w:val="001D3FB2"/>
    <w:rsid w:val="001D5B4D"/>
    <w:rsid w:val="001E0588"/>
    <w:rsid w:val="001E2CE5"/>
    <w:rsid w:val="001E3F04"/>
    <w:rsid w:val="001E4DAE"/>
    <w:rsid w:val="001E7AB6"/>
    <w:rsid w:val="001F14A4"/>
    <w:rsid w:val="001F2626"/>
    <w:rsid w:val="001F72BE"/>
    <w:rsid w:val="00201991"/>
    <w:rsid w:val="00202C55"/>
    <w:rsid w:val="00203233"/>
    <w:rsid w:val="0020425D"/>
    <w:rsid w:val="00210933"/>
    <w:rsid w:val="002119CF"/>
    <w:rsid w:val="002130B4"/>
    <w:rsid w:val="002143F7"/>
    <w:rsid w:val="00220B45"/>
    <w:rsid w:val="0022269B"/>
    <w:rsid w:val="0022292B"/>
    <w:rsid w:val="002238BD"/>
    <w:rsid w:val="00223AB9"/>
    <w:rsid w:val="0022436C"/>
    <w:rsid w:val="00225815"/>
    <w:rsid w:val="002262F5"/>
    <w:rsid w:val="0023112E"/>
    <w:rsid w:val="00233689"/>
    <w:rsid w:val="00236A29"/>
    <w:rsid w:val="002419AB"/>
    <w:rsid w:val="00244279"/>
    <w:rsid w:val="00246980"/>
    <w:rsid w:val="0025348B"/>
    <w:rsid w:val="00257056"/>
    <w:rsid w:val="002572D2"/>
    <w:rsid w:val="002630F9"/>
    <w:rsid w:val="00264804"/>
    <w:rsid w:val="002668B8"/>
    <w:rsid w:val="002722C8"/>
    <w:rsid w:val="00272A33"/>
    <w:rsid w:val="00283B3F"/>
    <w:rsid w:val="0028422D"/>
    <w:rsid w:val="00285179"/>
    <w:rsid w:val="0028606C"/>
    <w:rsid w:val="0029201A"/>
    <w:rsid w:val="00292161"/>
    <w:rsid w:val="00293205"/>
    <w:rsid w:val="0029656D"/>
    <w:rsid w:val="00296813"/>
    <w:rsid w:val="00297148"/>
    <w:rsid w:val="00297278"/>
    <w:rsid w:val="002A4866"/>
    <w:rsid w:val="002A5796"/>
    <w:rsid w:val="002D0FB9"/>
    <w:rsid w:val="002D33C8"/>
    <w:rsid w:val="002D58B6"/>
    <w:rsid w:val="002E0AF7"/>
    <w:rsid w:val="002E0B96"/>
    <w:rsid w:val="002E39E8"/>
    <w:rsid w:val="002E537A"/>
    <w:rsid w:val="002F0A0F"/>
    <w:rsid w:val="002F15EE"/>
    <w:rsid w:val="002F18F9"/>
    <w:rsid w:val="002F2883"/>
    <w:rsid w:val="002F3F8D"/>
    <w:rsid w:val="002F496B"/>
    <w:rsid w:val="00301D0E"/>
    <w:rsid w:val="00303071"/>
    <w:rsid w:val="00303152"/>
    <w:rsid w:val="0030530C"/>
    <w:rsid w:val="00306FB5"/>
    <w:rsid w:val="003076CE"/>
    <w:rsid w:val="00310AFB"/>
    <w:rsid w:val="00315989"/>
    <w:rsid w:val="00316AFA"/>
    <w:rsid w:val="00317107"/>
    <w:rsid w:val="00321187"/>
    <w:rsid w:val="0033173A"/>
    <w:rsid w:val="00332261"/>
    <w:rsid w:val="00332F96"/>
    <w:rsid w:val="00333F13"/>
    <w:rsid w:val="003353A6"/>
    <w:rsid w:val="00335E29"/>
    <w:rsid w:val="0033783F"/>
    <w:rsid w:val="00347707"/>
    <w:rsid w:val="0035006B"/>
    <w:rsid w:val="00353520"/>
    <w:rsid w:val="0035682E"/>
    <w:rsid w:val="003620FA"/>
    <w:rsid w:val="003637C2"/>
    <w:rsid w:val="00363E6C"/>
    <w:rsid w:val="00364444"/>
    <w:rsid w:val="003716E1"/>
    <w:rsid w:val="003737D8"/>
    <w:rsid w:val="00380E73"/>
    <w:rsid w:val="00382BB4"/>
    <w:rsid w:val="003847B7"/>
    <w:rsid w:val="003864C2"/>
    <w:rsid w:val="00386567"/>
    <w:rsid w:val="00390F2D"/>
    <w:rsid w:val="003910C8"/>
    <w:rsid w:val="00391399"/>
    <w:rsid w:val="00393491"/>
    <w:rsid w:val="003942FE"/>
    <w:rsid w:val="003978AD"/>
    <w:rsid w:val="003A3511"/>
    <w:rsid w:val="003A5D13"/>
    <w:rsid w:val="003A6B93"/>
    <w:rsid w:val="003A70D7"/>
    <w:rsid w:val="003A7F68"/>
    <w:rsid w:val="003B202A"/>
    <w:rsid w:val="003B4493"/>
    <w:rsid w:val="003B6904"/>
    <w:rsid w:val="003B69AB"/>
    <w:rsid w:val="003B74DD"/>
    <w:rsid w:val="003C132F"/>
    <w:rsid w:val="003C2AEE"/>
    <w:rsid w:val="003C2D29"/>
    <w:rsid w:val="003C3701"/>
    <w:rsid w:val="003C455C"/>
    <w:rsid w:val="003D370E"/>
    <w:rsid w:val="003D39D5"/>
    <w:rsid w:val="003D4AF4"/>
    <w:rsid w:val="003D724A"/>
    <w:rsid w:val="003E012B"/>
    <w:rsid w:val="003E2ADC"/>
    <w:rsid w:val="003E33B5"/>
    <w:rsid w:val="003E357D"/>
    <w:rsid w:val="003E4574"/>
    <w:rsid w:val="003E46DC"/>
    <w:rsid w:val="003E5909"/>
    <w:rsid w:val="003E6298"/>
    <w:rsid w:val="003F0CD6"/>
    <w:rsid w:val="003F1648"/>
    <w:rsid w:val="003F5C6D"/>
    <w:rsid w:val="003F61A2"/>
    <w:rsid w:val="004077D0"/>
    <w:rsid w:val="0041491F"/>
    <w:rsid w:val="0041525F"/>
    <w:rsid w:val="0042089F"/>
    <w:rsid w:val="00420BE4"/>
    <w:rsid w:val="00424FE6"/>
    <w:rsid w:val="00430C8A"/>
    <w:rsid w:val="00432021"/>
    <w:rsid w:val="0043233C"/>
    <w:rsid w:val="00434539"/>
    <w:rsid w:val="00434852"/>
    <w:rsid w:val="0043605A"/>
    <w:rsid w:val="0043644A"/>
    <w:rsid w:val="004379F5"/>
    <w:rsid w:val="0044021C"/>
    <w:rsid w:val="00441DC4"/>
    <w:rsid w:val="00444C74"/>
    <w:rsid w:val="00447550"/>
    <w:rsid w:val="00450C22"/>
    <w:rsid w:val="0045129D"/>
    <w:rsid w:val="004516CD"/>
    <w:rsid w:val="00456062"/>
    <w:rsid w:val="00457E39"/>
    <w:rsid w:val="00465008"/>
    <w:rsid w:val="00466711"/>
    <w:rsid w:val="0047267B"/>
    <w:rsid w:val="004747A5"/>
    <w:rsid w:val="00476C20"/>
    <w:rsid w:val="004776F3"/>
    <w:rsid w:val="004804EC"/>
    <w:rsid w:val="00482F48"/>
    <w:rsid w:val="004850EF"/>
    <w:rsid w:val="00485BF7"/>
    <w:rsid w:val="00485DE8"/>
    <w:rsid w:val="004A2675"/>
    <w:rsid w:val="004A3325"/>
    <w:rsid w:val="004B02E4"/>
    <w:rsid w:val="004B43E0"/>
    <w:rsid w:val="004B484C"/>
    <w:rsid w:val="004B4D1E"/>
    <w:rsid w:val="004B60F0"/>
    <w:rsid w:val="004B73B6"/>
    <w:rsid w:val="004B7721"/>
    <w:rsid w:val="004B7746"/>
    <w:rsid w:val="004B79B8"/>
    <w:rsid w:val="004C0987"/>
    <w:rsid w:val="004C1192"/>
    <w:rsid w:val="004C3725"/>
    <w:rsid w:val="004C4A19"/>
    <w:rsid w:val="004C5F5C"/>
    <w:rsid w:val="004D1F48"/>
    <w:rsid w:val="004D2685"/>
    <w:rsid w:val="004D2AE8"/>
    <w:rsid w:val="004D2C53"/>
    <w:rsid w:val="004D2DFB"/>
    <w:rsid w:val="004D3CAC"/>
    <w:rsid w:val="004D4297"/>
    <w:rsid w:val="004D63AE"/>
    <w:rsid w:val="004E13DE"/>
    <w:rsid w:val="004E3BF0"/>
    <w:rsid w:val="004E3F77"/>
    <w:rsid w:val="004F063C"/>
    <w:rsid w:val="004F1A3C"/>
    <w:rsid w:val="004F3A02"/>
    <w:rsid w:val="005011F4"/>
    <w:rsid w:val="005038A5"/>
    <w:rsid w:val="005045FE"/>
    <w:rsid w:val="005048F3"/>
    <w:rsid w:val="00504E08"/>
    <w:rsid w:val="00505064"/>
    <w:rsid w:val="00505965"/>
    <w:rsid w:val="0050730E"/>
    <w:rsid w:val="005074EC"/>
    <w:rsid w:val="0051136F"/>
    <w:rsid w:val="00511371"/>
    <w:rsid w:val="00513739"/>
    <w:rsid w:val="005158C3"/>
    <w:rsid w:val="00521790"/>
    <w:rsid w:val="005251F1"/>
    <w:rsid w:val="005257BF"/>
    <w:rsid w:val="00525F38"/>
    <w:rsid w:val="00530797"/>
    <w:rsid w:val="00536F1E"/>
    <w:rsid w:val="00537A1F"/>
    <w:rsid w:val="00540235"/>
    <w:rsid w:val="005415FC"/>
    <w:rsid w:val="00543B78"/>
    <w:rsid w:val="00550D54"/>
    <w:rsid w:val="00552577"/>
    <w:rsid w:val="00552742"/>
    <w:rsid w:val="005536DD"/>
    <w:rsid w:val="005558CB"/>
    <w:rsid w:val="00556D69"/>
    <w:rsid w:val="00560A3F"/>
    <w:rsid w:val="00566821"/>
    <w:rsid w:val="005674C1"/>
    <w:rsid w:val="00570432"/>
    <w:rsid w:val="00576D3A"/>
    <w:rsid w:val="00580973"/>
    <w:rsid w:val="00580A0A"/>
    <w:rsid w:val="00580D64"/>
    <w:rsid w:val="005822F6"/>
    <w:rsid w:val="00583A5A"/>
    <w:rsid w:val="00584F14"/>
    <w:rsid w:val="005875DB"/>
    <w:rsid w:val="00595724"/>
    <w:rsid w:val="00596A9A"/>
    <w:rsid w:val="005A1E21"/>
    <w:rsid w:val="005A59D8"/>
    <w:rsid w:val="005B4E8A"/>
    <w:rsid w:val="005B7171"/>
    <w:rsid w:val="005C6AB1"/>
    <w:rsid w:val="005C6CA4"/>
    <w:rsid w:val="005C7EA0"/>
    <w:rsid w:val="005E144E"/>
    <w:rsid w:val="005E4A43"/>
    <w:rsid w:val="005E4C20"/>
    <w:rsid w:val="005E6155"/>
    <w:rsid w:val="005E741E"/>
    <w:rsid w:val="005F0277"/>
    <w:rsid w:val="005F14B5"/>
    <w:rsid w:val="005F2416"/>
    <w:rsid w:val="005F3692"/>
    <w:rsid w:val="005F4E29"/>
    <w:rsid w:val="005F568A"/>
    <w:rsid w:val="005F6F18"/>
    <w:rsid w:val="00600D66"/>
    <w:rsid w:val="00604845"/>
    <w:rsid w:val="00611993"/>
    <w:rsid w:val="00621FE9"/>
    <w:rsid w:val="00622047"/>
    <w:rsid w:val="00624B35"/>
    <w:rsid w:val="00624DB3"/>
    <w:rsid w:val="006278B1"/>
    <w:rsid w:val="0063694E"/>
    <w:rsid w:val="00644127"/>
    <w:rsid w:val="0064434F"/>
    <w:rsid w:val="00645C6B"/>
    <w:rsid w:val="0064619D"/>
    <w:rsid w:val="00647AB8"/>
    <w:rsid w:val="006520F3"/>
    <w:rsid w:val="00653A5C"/>
    <w:rsid w:val="0065673C"/>
    <w:rsid w:val="00662161"/>
    <w:rsid w:val="00662EEB"/>
    <w:rsid w:val="00664363"/>
    <w:rsid w:val="00664A7B"/>
    <w:rsid w:val="00667536"/>
    <w:rsid w:val="00667802"/>
    <w:rsid w:val="00670C1F"/>
    <w:rsid w:val="006711A1"/>
    <w:rsid w:val="00672323"/>
    <w:rsid w:val="00673441"/>
    <w:rsid w:val="00673A12"/>
    <w:rsid w:val="00676A36"/>
    <w:rsid w:val="0067788F"/>
    <w:rsid w:val="00681664"/>
    <w:rsid w:val="00683FCB"/>
    <w:rsid w:val="006910CC"/>
    <w:rsid w:val="00691224"/>
    <w:rsid w:val="00694EA5"/>
    <w:rsid w:val="0069723D"/>
    <w:rsid w:val="006A18DA"/>
    <w:rsid w:val="006A42ED"/>
    <w:rsid w:val="006B01F8"/>
    <w:rsid w:val="006B5E88"/>
    <w:rsid w:val="006C411C"/>
    <w:rsid w:val="006C43D8"/>
    <w:rsid w:val="006C6FC4"/>
    <w:rsid w:val="006D0B3F"/>
    <w:rsid w:val="006D4F32"/>
    <w:rsid w:val="006E0A10"/>
    <w:rsid w:val="006E1644"/>
    <w:rsid w:val="006E1B03"/>
    <w:rsid w:val="006E2197"/>
    <w:rsid w:val="006E4267"/>
    <w:rsid w:val="006F0CA5"/>
    <w:rsid w:val="006F3052"/>
    <w:rsid w:val="006F417A"/>
    <w:rsid w:val="006F7C75"/>
    <w:rsid w:val="00703279"/>
    <w:rsid w:val="00705A2A"/>
    <w:rsid w:val="00706F59"/>
    <w:rsid w:val="00714F54"/>
    <w:rsid w:val="007155EF"/>
    <w:rsid w:val="0071651A"/>
    <w:rsid w:val="00720524"/>
    <w:rsid w:val="00720FC5"/>
    <w:rsid w:val="00723270"/>
    <w:rsid w:val="00723700"/>
    <w:rsid w:val="00723E36"/>
    <w:rsid w:val="00730880"/>
    <w:rsid w:val="007308AE"/>
    <w:rsid w:val="007355B5"/>
    <w:rsid w:val="00736229"/>
    <w:rsid w:val="00736837"/>
    <w:rsid w:val="00740510"/>
    <w:rsid w:val="007406C9"/>
    <w:rsid w:val="00745269"/>
    <w:rsid w:val="00747848"/>
    <w:rsid w:val="007521AA"/>
    <w:rsid w:val="0075327E"/>
    <w:rsid w:val="00753D86"/>
    <w:rsid w:val="00754772"/>
    <w:rsid w:val="00754915"/>
    <w:rsid w:val="0076039B"/>
    <w:rsid w:val="0076069C"/>
    <w:rsid w:val="007611BE"/>
    <w:rsid w:val="00761CBF"/>
    <w:rsid w:val="00765A19"/>
    <w:rsid w:val="0076697D"/>
    <w:rsid w:val="007673D2"/>
    <w:rsid w:val="00772A4F"/>
    <w:rsid w:val="007735AD"/>
    <w:rsid w:val="00776827"/>
    <w:rsid w:val="00776E5D"/>
    <w:rsid w:val="007773D4"/>
    <w:rsid w:val="00777C8C"/>
    <w:rsid w:val="0078229E"/>
    <w:rsid w:val="007862E7"/>
    <w:rsid w:val="00786D6B"/>
    <w:rsid w:val="00790404"/>
    <w:rsid w:val="00790A46"/>
    <w:rsid w:val="00790E93"/>
    <w:rsid w:val="00792F62"/>
    <w:rsid w:val="007955C2"/>
    <w:rsid w:val="007972E0"/>
    <w:rsid w:val="007A30CE"/>
    <w:rsid w:val="007A46AE"/>
    <w:rsid w:val="007A51F8"/>
    <w:rsid w:val="007A56C7"/>
    <w:rsid w:val="007A6A70"/>
    <w:rsid w:val="007B454A"/>
    <w:rsid w:val="007C0AA2"/>
    <w:rsid w:val="007C2331"/>
    <w:rsid w:val="007C4781"/>
    <w:rsid w:val="007C4B09"/>
    <w:rsid w:val="007C69C4"/>
    <w:rsid w:val="007D1F58"/>
    <w:rsid w:val="007D250A"/>
    <w:rsid w:val="007D671A"/>
    <w:rsid w:val="007E103D"/>
    <w:rsid w:val="007E152E"/>
    <w:rsid w:val="007E7386"/>
    <w:rsid w:val="007F0682"/>
    <w:rsid w:val="007F25CB"/>
    <w:rsid w:val="007F2E49"/>
    <w:rsid w:val="007F3104"/>
    <w:rsid w:val="007F3ABE"/>
    <w:rsid w:val="007F5E32"/>
    <w:rsid w:val="007F78AC"/>
    <w:rsid w:val="00800123"/>
    <w:rsid w:val="00800869"/>
    <w:rsid w:val="00801A32"/>
    <w:rsid w:val="00802775"/>
    <w:rsid w:val="008027A0"/>
    <w:rsid w:val="00802ED1"/>
    <w:rsid w:val="00802FC0"/>
    <w:rsid w:val="00803CE1"/>
    <w:rsid w:val="00804270"/>
    <w:rsid w:val="00804D86"/>
    <w:rsid w:val="00807130"/>
    <w:rsid w:val="008101CE"/>
    <w:rsid w:val="008105F7"/>
    <w:rsid w:val="00812230"/>
    <w:rsid w:val="008146EF"/>
    <w:rsid w:val="00815B41"/>
    <w:rsid w:val="00816731"/>
    <w:rsid w:val="00820BD5"/>
    <w:rsid w:val="00821280"/>
    <w:rsid w:val="0082176C"/>
    <w:rsid w:val="0082523A"/>
    <w:rsid w:val="00825698"/>
    <w:rsid w:val="008258B4"/>
    <w:rsid w:val="008277A0"/>
    <w:rsid w:val="008302EF"/>
    <w:rsid w:val="00831270"/>
    <w:rsid w:val="0084069A"/>
    <w:rsid w:val="00842201"/>
    <w:rsid w:val="00845754"/>
    <w:rsid w:val="00855992"/>
    <w:rsid w:val="00856FA4"/>
    <w:rsid w:val="0085738C"/>
    <w:rsid w:val="008601DF"/>
    <w:rsid w:val="00870430"/>
    <w:rsid w:val="00873102"/>
    <w:rsid w:val="00874DDC"/>
    <w:rsid w:val="008751C7"/>
    <w:rsid w:val="008757D4"/>
    <w:rsid w:val="00875F52"/>
    <w:rsid w:val="0087624C"/>
    <w:rsid w:val="00877E63"/>
    <w:rsid w:val="008815F5"/>
    <w:rsid w:val="0088400B"/>
    <w:rsid w:val="00884E0B"/>
    <w:rsid w:val="00886A7E"/>
    <w:rsid w:val="00886F82"/>
    <w:rsid w:val="008959EA"/>
    <w:rsid w:val="0089722F"/>
    <w:rsid w:val="008A0899"/>
    <w:rsid w:val="008A2C57"/>
    <w:rsid w:val="008A5C3D"/>
    <w:rsid w:val="008A78A4"/>
    <w:rsid w:val="008B0DDE"/>
    <w:rsid w:val="008B27ED"/>
    <w:rsid w:val="008B2A3C"/>
    <w:rsid w:val="008B4538"/>
    <w:rsid w:val="008B7D86"/>
    <w:rsid w:val="008C1B50"/>
    <w:rsid w:val="008C32C8"/>
    <w:rsid w:val="008C5876"/>
    <w:rsid w:val="008C5DCA"/>
    <w:rsid w:val="008C6CD8"/>
    <w:rsid w:val="008D16C6"/>
    <w:rsid w:val="008D1894"/>
    <w:rsid w:val="008D7284"/>
    <w:rsid w:val="008E4CB1"/>
    <w:rsid w:val="008E6433"/>
    <w:rsid w:val="008E696C"/>
    <w:rsid w:val="008E6A27"/>
    <w:rsid w:val="008F33D0"/>
    <w:rsid w:val="008F358D"/>
    <w:rsid w:val="008F7EC9"/>
    <w:rsid w:val="008F7F09"/>
    <w:rsid w:val="0090054F"/>
    <w:rsid w:val="009028B2"/>
    <w:rsid w:val="0091361F"/>
    <w:rsid w:val="00920725"/>
    <w:rsid w:val="009234FB"/>
    <w:rsid w:val="009237E4"/>
    <w:rsid w:val="009249F4"/>
    <w:rsid w:val="00930F06"/>
    <w:rsid w:val="00931F2B"/>
    <w:rsid w:val="00936160"/>
    <w:rsid w:val="00937470"/>
    <w:rsid w:val="009438A3"/>
    <w:rsid w:val="00946169"/>
    <w:rsid w:val="009502C6"/>
    <w:rsid w:val="00950CF9"/>
    <w:rsid w:val="00950E71"/>
    <w:rsid w:val="00952484"/>
    <w:rsid w:val="00953E82"/>
    <w:rsid w:val="009603A5"/>
    <w:rsid w:val="0096478A"/>
    <w:rsid w:val="00967F76"/>
    <w:rsid w:val="0097103A"/>
    <w:rsid w:val="00973243"/>
    <w:rsid w:val="009738D0"/>
    <w:rsid w:val="009762CD"/>
    <w:rsid w:val="00977962"/>
    <w:rsid w:val="009906D9"/>
    <w:rsid w:val="009955BA"/>
    <w:rsid w:val="009A1EC1"/>
    <w:rsid w:val="009A7038"/>
    <w:rsid w:val="009B36E8"/>
    <w:rsid w:val="009B477A"/>
    <w:rsid w:val="009B62AA"/>
    <w:rsid w:val="009B6358"/>
    <w:rsid w:val="009D3C78"/>
    <w:rsid w:val="009D48F0"/>
    <w:rsid w:val="009D6E9B"/>
    <w:rsid w:val="009D70BD"/>
    <w:rsid w:val="009E2346"/>
    <w:rsid w:val="009E2751"/>
    <w:rsid w:val="009E30FD"/>
    <w:rsid w:val="009E51BE"/>
    <w:rsid w:val="009F193B"/>
    <w:rsid w:val="009F203E"/>
    <w:rsid w:val="009F2156"/>
    <w:rsid w:val="009F220E"/>
    <w:rsid w:val="009F254A"/>
    <w:rsid w:val="00A01B18"/>
    <w:rsid w:val="00A040C8"/>
    <w:rsid w:val="00A07460"/>
    <w:rsid w:val="00A10B90"/>
    <w:rsid w:val="00A1201F"/>
    <w:rsid w:val="00A1266C"/>
    <w:rsid w:val="00A14C84"/>
    <w:rsid w:val="00A15F5D"/>
    <w:rsid w:val="00A16B58"/>
    <w:rsid w:val="00A1700F"/>
    <w:rsid w:val="00A170A0"/>
    <w:rsid w:val="00A204B1"/>
    <w:rsid w:val="00A216D2"/>
    <w:rsid w:val="00A21F1A"/>
    <w:rsid w:val="00A229D6"/>
    <w:rsid w:val="00A22C93"/>
    <w:rsid w:val="00A23E78"/>
    <w:rsid w:val="00A25739"/>
    <w:rsid w:val="00A307CC"/>
    <w:rsid w:val="00A310E1"/>
    <w:rsid w:val="00A33A90"/>
    <w:rsid w:val="00A3516C"/>
    <w:rsid w:val="00A36D95"/>
    <w:rsid w:val="00A41880"/>
    <w:rsid w:val="00A423D3"/>
    <w:rsid w:val="00A50ADA"/>
    <w:rsid w:val="00A52A65"/>
    <w:rsid w:val="00A5521B"/>
    <w:rsid w:val="00A5765B"/>
    <w:rsid w:val="00A605CF"/>
    <w:rsid w:val="00A60EB6"/>
    <w:rsid w:val="00A61DD0"/>
    <w:rsid w:val="00A66803"/>
    <w:rsid w:val="00A700AD"/>
    <w:rsid w:val="00A716C9"/>
    <w:rsid w:val="00A72038"/>
    <w:rsid w:val="00A81319"/>
    <w:rsid w:val="00A82664"/>
    <w:rsid w:val="00A86139"/>
    <w:rsid w:val="00A87132"/>
    <w:rsid w:val="00A87E9C"/>
    <w:rsid w:val="00A9041F"/>
    <w:rsid w:val="00A93402"/>
    <w:rsid w:val="00A93E18"/>
    <w:rsid w:val="00A95835"/>
    <w:rsid w:val="00A95915"/>
    <w:rsid w:val="00A96328"/>
    <w:rsid w:val="00A96C9F"/>
    <w:rsid w:val="00A977A4"/>
    <w:rsid w:val="00A97B4F"/>
    <w:rsid w:val="00AA025B"/>
    <w:rsid w:val="00AA0374"/>
    <w:rsid w:val="00AA6BFC"/>
    <w:rsid w:val="00AA70AF"/>
    <w:rsid w:val="00AA7153"/>
    <w:rsid w:val="00AB3ABA"/>
    <w:rsid w:val="00AB4AFC"/>
    <w:rsid w:val="00AB6407"/>
    <w:rsid w:val="00AC02C7"/>
    <w:rsid w:val="00AC05DA"/>
    <w:rsid w:val="00AC0D57"/>
    <w:rsid w:val="00AC14FE"/>
    <w:rsid w:val="00AC1DC3"/>
    <w:rsid w:val="00AC22B7"/>
    <w:rsid w:val="00AC2647"/>
    <w:rsid w:val="00AC5C84"/>
    <w:rsid w:val="00AD6D32"/>
    <w:rsid w:val="00AE0549"/>
    <w:rsid w:val="00AE76D9"/>
    <w:rsid w:val="00AE782F"/>
    <w:rsid w:val="00AF054A"/>
    <w:rsid w:val="00AF1214"/>
    <w:rsid w:val="00AF5DFE"/>
    <w:rsid w:val="00AF60A9"/>
    <w:rsid w:val="00AF76F5"/>
    <w:rsid w:val="00B00E65"/>
    <w:rsid w:val="00B019A1"/>
    <w:rsid w:val="00B03CF4"/>
    <w:rsid w:val="00B04D5D"/>
    <w:rsid w:val="00B053EE"/>
    <w:rsid w:val="00B073FD"/>
    <w:rsid w:val="00B07D9C"/>
    <w:rsid w:val="00B11E9A"/>
    <w:rsid w:val="00B12AE0"/>
    <w:rsid w:val="00B12D4D"/>
    <w:rsid w:val="00B12ED1"/>
    <w:rsid w:val="00B138C4"/>
    <w:rsid w:val="00B161AD"/>
    <w:rsid w:val="00B16EFA"/>
    <w:rsid w:val="00B2189A"/>
    <w:rsid w:val="00B23B74"/>
    <w:rsid w:val="00B30BF6"/>
    <w:rsid w:val="00B32385"/>
    <w:rsid w:val="00B32437"/>
    <w:rsid w:val="00B33AF7"/>
    <w:rsid w:val="00B3700B"/>
    <w:rsid w:val="00B51AD0"/>
    <w:rsid w:val="00B51B22"/>
    <w:rsid w:val="00B52365"/>
    <w:rsid w:val="00B54196"/>
    <w:rsid w:val="00B61D95"/>
    <w:rsid w:val="00B646EE"/>
    <w:rsid w:val="00B71FAA"/>
    <w:rsid w:val="00B72D3F"/>
    <w:rsid w:val="00B74E8B"/>
    <w:rsid w:val="00B75D30"/>
    <w:rsid w:val="00B76629"/>
    <w:rsid w:val="00B7786E"/>
    <w:rsid w:val="00B81ED4"/>
    <w:rsid w:val="00B82479"/>
    <w:rsid w:val="00B8344D"/>
    <w:rsid w:val="00B86DEF"/>
    <w:rsid w:val="00B87CEC"/>
    <w:rsid w:val="00B90FA0"/>
    <w:rsid w:val="00B91F13"/>
    <w:rsid w:val="00B971FF"/>
    <w:rsid w:val="00BA008D"/>
    <w:rsid w:val="00BA036F"/>
    <w:rsid w:val="00BA5E81"/>
    <w:rsid w:val="00BA74A8"/>
    <w:rsid w:val="00BB024A"/>
    <w:rsid w:val="00BB342F"/>
    <w:rsid w:val="00BB4ECA"/>
    <w:rsid w:val="00BB764B"/>
    <w:rsid w:val="00BC2899"/>
    <w:rsid w:val="00BC31CE"/>
    <w:rsid w:val="00BC533C"/>
    <w:rsid w:val="00BD0108"/>
    <w:rsid w:val="00BD1405"/>
    <w:rsid w:val="00BD3C89"/>
    <w:rsid w:val="00BD628A"/>
    <w:rsid w:val="00BD6F8B"/>
    <w:rsid w:val="00BD789C"/>
    <w:rsid w:val="00BD7A95"/>
    <w:rsid w:val="00BE587F"/>
    <w:rsid w:val="00C05222"/>
    <w:rsid w:val="00C06615"/>
    <w:rsid w:val="00C06A47"/>
    <w:rsid w:val="00C12013"/>
    <w:rsid w:val="00C12C07"/>
    <w:rsid w:val="00C13A67"/>
    <w:rsid w:val="00C20569"/>
    <w:rsid w:val="00C20ED2"/>
    <w:rsid w:val="00C2241B"/>
    <w:rsid w:val="00C24D56"/>
    <w:rsid w:val="00C255DB"/>
    <w:rsid w:val="00C30234"/>
    <w:rsid w:val="00C316C1"/>
    <w:rsid w:val="00C32A16"/>
    <w:rsid w:val="00C36727"/>
    <w:rsid w:val="00C369D3"/>
    <w:rsid w:val="00C41D9A"/>
    <w:rsid w:val="00C41EFC"/>
    <w:rsid w:val="00C51B42"/>
    <w:rsid w:val="00C60E5B"/>
    <w:rsid w:val="00C60F9D"/>
    <w:rsid w:val="00C629DD"/>
    <w:rsid w:val="00C65937"/>
    <w:rsid w:val="00C66090"/>
    <w:rsid w:val="00C6746C"/>
    <w:rsid w:val="00C8073C"/>
    <w:rsid w:val="00C816FD"/>
    <w:rsid w:val="00C84031"/>
    <w:rsid w:val="00C85ED6"/>
    <w:rsid w:val="00C90CCE"/>
    <w:rsid w:val="00C912B1"/>
    <w:rsid w:val="00C91887"/>
    <w:rsid w:val="00C963C9"/>
    <w:rsid w:val="00C96BAD"/>
    <w:rsid w:val="00C9795B"/>
    <w:rsid w:val="00CA0538"/>
    <w:rsid w:val="00CA294D"/>
    <w:rsid w:val="00CA6DCC"/>
    <w:rsid w:val="00CA7E05"/>
    <w:rsid w:val="00CB021F"/>
    <w:rsid w:val="00CB0610"/>
    <w:rsid w:val="00CB0B13"/>
    <w:rsid w:val="00CB469E"/>
    <w:rsid w:val="00CC03D8"/>
    <w:rsid w:val="00CC0F00"/>
    <w:rsid w:val="00CC2D4F"/>
    <w:rsid w:val="00CC40B1"/>
    <w:rsid w:val="00CC7A55"/>
    <w:rsid w:val="00CD0CFC"/>
    <w:rsid w:val="00CD0E06"/>
    <w:rsid w:val="00CD246A"/>
    <w:rsid w:val="00CD27A2"/>
    <w:rsid w:val="00CD289F"/>
    <w:rsid w:val="00CD587F"/>
    <w:rsid w:val="00CE075E"/>
    <w:rsid w:val="00CE0A57"/>
    <w:rsid w:val="00CE2D0C"/>
    <w:rsid w:val="00CF26FA"/>
    <w:rsid w:val="00CF59D9"/>
    <w:rsid w:val="00CF70CD"/>
    <w:rsid w:val="00D01BAA"/>
    <w:rsid w:val="00D0259F"/>
    <w:rsid w:val="00D04A5D"/>
    <w:rsid w:val="00D067E6"/>
    <w:rsid w:val="00D2332F"/>
    <w:rsid w:val="00D23BE3"/>
    <w:rsid w:val="00D26BE9"/>
    <w:rsid w:val="00D27D05"/>
    <w:rsid w:val="00D301A8"/>
    <w:rsid w:val="00D31A20"/>
    <w:rsid w:val="00D31AE3"/>
    <w:rsid w:val="00D32125"/>
    <w:rsid w:val="00D34A49"/>
    <w:rsid w:val="00D35B99"/>
    <w:rsid w:val="00D36165"/>
    <w:rsid w:val="00D37D21"/>
    <w:rsid w:val="00D42447"/>
    <w:rsid w:val="00D445FA"/>
    <w:rsid w:val="00D44A51"/>
    <w:rsid w:val="00D46B3E"/>
    <w:rsid w:val="00D51BE7"/>
    <w:rsid w:val="00D5484F"/>
    <w:rsid w:val="00D54A33"/>
    <w:rsid w:val="00D5521B"/>
    <w:rsid w:val="00D6085F"/>
    <w:rsid w:val="00D61481"/>
    <w:rsid w:val="00D7146B"/>
    <w:rsid w:val="00D81D12"/>
    <w:rsid w:val="00D82346"/>
    <w:rsid w:val="00D83029"/>
    <w:rsid w:val="00D83480"/>
    <w:rsid w:val="00D84691"/>
    <w:rsid w:val="00D94472"/>
    <w:rsid w:val="00D969CD"/>
    <w:rsid w:val="00DA564D"/>
    <w:rsid w:val="00DA57A8"/>
    <w:rsid w:val="00DA6443"/>
    <w:rsid w:val="00DA721B"/>
    <w:rsid w:val="00DA786F"/>
    <w:rsid w:val="00DB036E"/>
    <w:rsid w:val="00DB0C52"/>
    <w:rsid w:val="00DB3CC2"/>
    <w:rsid w:val="00DB49B1"/>
    <w:rsid w:val="00DB7404"/>
    <w:rsid w:val="00DB7522"/>
    <w:rsid w:val="00DC003A"/>
    <w:rsid w:val="00DC2B9B"/>
    <w:rsid w:val="00DC402F"/>
    <w:rsid w:val="00DC48E3"/>
    <w:rsid w:val="00DC4E33"/>
    <w:rsid w:val="00DC6951"/>
    <w:rsid w:val="00DC7256"/>
    <w:rsid w:val="00DD4FA3"/>
    <w:rsid w:val="00DD5639"/>
    <w:rsid w:val="00DE718F"/>
    <w:rsid w:val="00DE75E2"/>
    <w:rsid w:val="00DF03D5"/>
    <w:rsid w:val="00DF2691"/>
    <w:rsid w:val="00E00C63"/>
    <w:rsid w:val="00E03B0F"/>
    <w:rsid w:val="00E04227"/>
    <w:rsid w:val="00E06D97"/>
    <w:rsid w:val="00E07BC8"/>
    <w:rsid w:val="00E113BE"/>
    <w:rsid w:val="00E1765B"/>
    <w:rsid w:val="00E17B3E"/>
    <w:rsid w:val="00E17C6C"/>
    <w:rsid w:val="00E20083"/>
    <w:rsid w:val="00E2435E"/>
    <w:rsid w:val="00E26817"/>
    <w:rsid w:val="00E30E9C"/>
    <w:rsid w:val="00E333A4"/>
    <w:rsid w:val="00E42096"/>
    <w:rsid w:val="00E430FF"/>
    <w:rsid w:val="00E44521"/>
    <w:rsid w:val="00E515DC"/>
    <w:rsid w:val="00E522B3"/>
    <w:rsid w:val="00E52847"/>
    <w:rsid w:val="00E5299D"/>
    <w:rsid w:val="00E5347D"/>
    <w:rsid w:val="00E53ACB"/>
    <w:rsid w:val="00E61721"/>
    <w:rsid w:val="00E64026"/>
    <w:rsid w:val="00E640CA"/>
    <w:rsid w:val="00E71181"/>
    <w:rsid w:val="00E757F6"/>
    <w:rsid w:val="00E8004C"/>
    <w:rsid w:val="00E8051D"/>
    <w:rsid w:val="00E80A27"/>
    <w:rsid w:val="00E81A6E"/>
    <w:rsid w:val="00E84122"/>
    <w:rsid w:val="00E84B13"/>
    <w:rsid w:val="00E9126B"/>
    <w:rsid w:val="00E9780A"/>
    <w:rsid w:val="00EA2E31"/>
    <w:rsid w:val="00EA439A"/>
    <w:rsid w:val="00EA5867"/>
    <w:rsid w:val="00EA6D3A"/>
    <w:rsid w:val="00EB22DF"/>
    <w:rsid w:val="00EB39D3"/>
    <w:rsid w:val="00EC429A"/>
    <w:rsid w:val="00EC5005"/>
    <w:rsid w:val="00ED1868"/>
    <w:rsid w:val="00ED3681"/>
    <w:rsid w:val="00ED3D8B"/>
    <w:rsid w:val="00ED5987"/>
    <w:rsid w:val="00ED5FEC"/>
    <w:rsid w:val="00EE15A2"/>
    <w:rsid w:val="00EE1D6B"/>
    <w:rsid w:val="00EE3399"/>
    <w:rsid w:val="00EE4AEC"/>
    <w:rsid w:val="00EF0769"/>
    <w:rsid w:val="00EF0F8F"/>
    <w:rsid w:val="00EF313E"/>
    <w:rsid w:val="00EF3A3D"/>
    <w:rsid w:val="00F008F2"/>
    <w:rsid w:val="00F02ED1"/>
    <w:rsid w:val="00F03E55"/>
    <w:rsid w:val="00F04995"/>
    <w:rsid w:val="00F0716E"/>
    <w:rsid w:val="00F076EC"/>
    <w:rsid w:val="00F10391"/>
    <w:rsid w:val="00F10EDD"/>
    <w:rsid w:val="00F11B5E"/>
    <w:rsid w:val="00F1362B"/>
    <w:rsid w:val="00F14297"/>
    <w:rsid w:val="00F1551E"/>
    <w:rsid w:val="00F21A1D"/>
    <w:rsid w:val="00F244A7"/>
    <w:rsid w:val="00F31396"/>
    <w:rsid w:val="00F33A91"/>
    <w:rsid w:val="00F4358E"/>
    <w:rsid w:val="00F45BF1"/>
    <w:rsid w:val="00F47225"/>
    <w:rsid w:val="00F4744E"/>
    <w:rsid w:val="00F529AD"/>
    <w:rsid w:val="00F54575"/>
    <w:rsid w:val="00F551A3"/>
    <w:rsid w:val="00F55DB7"/>
    <w:rsid w:val="00F606DE"/>
    <w:rsid w:val="00F63A39"/>
    <w:rsid w:val="00F66D12"/>
    <w:rsid w:val="00F711FB"/>
    <w:rsid w:val="00F73A5C"/>
    <w:rsid w:val="00F750F1"/>
    <w:rsid w:val="00F755C5"/>
    <w:rsid w:val="00F8064D"/>
    <w:rsid w:val="00F81944"/>
    <w:rsid w:val="00F831BA"/>
    <w:rsid w:val="00F8414F"/>
    <w:rsid w:val="00F94344"/>
    <w:rsid w:val="00F94EC6"/>
    <w:rsid w:val="00F97426"/>
    <w:rsid w:val="00F97D23"/>
    <w:rsid w:val="00FA191A"/>
    <w:rsid w:val="00FA1A6C"/>
    <w:rsid w:val="00FA294F"/>
    <w:rsid w:val="00FA6C8C"/>
    <w:rsid w:val="00FA77FD"/>
    <w:rsid w:val="00FA7F43"/>
    <w:rsid w:val="00FB0FEC"/>
    <w:rsid w:val="00FB2F35"/>
    <w:rsid w:val="00FB5D99"/>
    <w:rsid w:val="00FC11A2"/>
    <w:rsid w:val="00FC1C56"/>
    <w:rsid w:val="00FC52CF"/>
    <w:rsid w:val="00FC5E93"/>
    <w:rsid w:val="00FC747E"/>
    <w:rsid w:val="00FC79B6"/>
    <w:rsid w:val="00FD2C25"/>
    <w:rsid w:val="00FD3282"/>
    <w:rsid w:val="00FD49E7"/>
    <w:rsid w:val="00FD590A"/>
    <w:rsid w:val="00FD5DE9"/>
    <w:rsid w:val="00FD65D6"/>
    <w:rsid w:val="00FD7B13"/>
    <w:rsid w:val="00FE2341"/>
    <w:rsid w:val="00FE4390"/>
    <w:rsid w:val="00FE50F2"/>
    <w:rsid w:val="00FE5BDD"/>
    <w:rsid w:val="00FF05B8"/>
    <w:rsid w:val="00FF1F44"/>
    <w:rsid w:val="00FF5363"/>
    <w:rsid w:val="00FF7220"/>
    <w:rsid w:val="00FF7E2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shapelayout v:ext="edit">
      <o:idmap v:ext="edit" data="1"/>
    </o:shapelayout>
  </w:shapeDefaults>
  <w:decimalSymbol w:val="."/>
  <w:listSeparator w:val=","/>
  <w14:docId w14:val="42881E7F"/>
  <w15:docId w15:val="{672FEDF5-4859-4E34-B2C7-5FCC21BC8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D29"/>
    <w:pPr>
      <w:spacing w:line="360" w:lineRule="auto"/>
    </w:pPr>
    <w:rPr>
      <w:rFonts w:ascii="Arial" w:hAnsi="Arial"/>
      <w:sz w:val="24"/>
    </w:rPr>
  </w:style>
  <w:style w:type="paragraph" w:styleId="Heading1">
    <w:name w:val="heading 1"/>
    <w:basedOn w:val="Normal"/>
    <w:next w:val="Normal"/>
    <w:link w:val="Heading1Char"/>
    <w:uiPriority w:val="9"/>
    <w:qFormat/>
    <w:rsid w:val="001C21DC"/>
    <w:pPr>
      <w:keepNext/>
      <w:keepLines/>
      <w:spacing w:before="480" w:after="0"/>
      <w:outlineLvl w:val="0"/>
    </w:pPr>
    <w:rPr>
      <w:rFonts w:asciiTheme="majorHAnsi" w:eastAsiaTheme="majorEastAsia" w:hAnsiTheme="majorHAnsi" w:cstheme="majorBidi"/>
      <w:b/>
      <w:bCs/>
      <w:color w:val="198D98"/>
      <w:sz w:val="28"/>
      <w:szCs w:val="28"/>
    </w:rPr>
  </w:style>
  <w:style w:type="paragraph" w:styleId="Heading2">
    <w:name w:val="heading 2"/>
    <w:basedOn w:val="Normal"/>
    <w:next w:val="Normal"/>
    <w:link w:val="Heading2Char"/>
    <w:unhideWhenUsed/>
    <w:qFormat/>
    <w:rsid w:val="001C21DC"/>
    <w:pPr>
      <w:keepNext/>
      <w:keepLines/>
      <w:numPr>
        <w:numId w:val="98"/>
      </w:numPr>
      <w:spacing w:before="360" w:after="0"/>
      <w:outlineLvl w:val="1"/>
    </w:pPr>
    <w:rPr>
      <w:rFonts w:asciiTheme="majorHAnsi" w:eastAsiaTheme="majorEastAsia" w:hAnsiTheme="majorHAnsi" w:cstheme="majorBidi"/>
      <w:b/>
      <w:bCs/>
      <w:color w:val="198D98"/>
      <w:sz w:val="26"/>
      <w:szCs w:val="26"/>
    </w:rPr>
  </w:style>
  <w:style w:type="paragraph" w:styleId="Heading3">
    <w:name w:val="heading 3"/>
    <w:basedOn w:val="Normal"/>
    <w:next w:val="Normal"/>
    <w:link w:val="Heading3Char"/>
    <w:unhideWhenUsed/>
    <w:qFormat/>
    <w:rsid w:val="001C21DC"/>
    <w:pPr>
      <w:keepNext/>
      <w:keepLines/>
      <w:numPr>
        <w:ilvl w:val="1"/>
        <w:numId w:val="98"/>
      </w:numPr>
      <w:spacing w:before="360" w:after="0"/>
      <w:outlineLvl w:val="2"/>
    </w:pPr>
    <w:rPr>
      <w:rFonts w:asciiTheme="majorHAnsi" w:eastAsiaTheme="majorEastAsia" w:hAnsiTheme="majorHAnsi" w:cstheme="majorBidi"/>
      <w:b/>
      <w:bCs/>
      <w:color w:val="6B3714"/>
    </w:rPr>
  </w:style>
  <w:style w:type="paragraph" w:styleId="Heading4">
    <w:name w:val="heading 4"/>
    <w:basedOn w:val="Normal"/>
    <w:next w:val="Normal"/>
    <w:link w:val="Heading4Char"/>
    <w:uiPriority w:val="9"/>
    <w:unhideWhenUsed/>
    <w:qFormat/>
    <w:rsid w:val="00052178"/>
    <w:pPr>
      <w:keepNext/>
      <w:keepLines/>
      <w:numPr>
        <w:ilvl w:val="2"/>
        <w:numId w:val="98"/>
      </w:numPr>
      <w:tabs>
        <w:tab w:val="left" w:pos="1134"/>
      </w:tabs>
      <w:spacing w:before="200" w:after="0"/>
      <w:outlineLvl w:val="3"/>
    </w:pPr>
    <w:rPr>
      <w:rFonts w:asciiTheme="majorHAnsi" w:eastAsiaTheme="majorEastAsia" w:hAnsiTheme="majorHAnsi" w:cstheme="majorBidi"/>
      <w:b/>
      <w:bCs/>
      <w:i/>
      <w:iCs/>
      <w:color w:val="846A00"/>
    </w:rPr>
  </w:style>
  <w:style w:type="paragraph" w:styleId="Heading5">
    <w:name w:val="heading 5"/>
    <w:basedOn w:val="Normal"/>
    <w:next w:val="Normal"/>
    <w:link w:val="Heading5Char"/>
    <w:uiPriority w:val="9"/>
    <w:unhideWhenUsed/>
    <w:qFormat/>
    <w:rsid w:val="00BA5E81"/>
    <w:pPr>
      <w:keepNext/>
      <w:keepLines/>
      <w:numPr>
        <w:ilvl w:val="3"/>
        <w:numId w:val="9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A5E81"/>
    <w:pPr>
      <w:keepNext/>
      <w:keepLines/>
      <w:numPr>
        <w:ilvl w:val="4"/>
        <w:numId w:val="9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BA5E81"/>
    <w:pPr>
      <w:keepNext/>
      <w:keepLines/>
      <w:numPr>
        <w:ilvl w:val="5"/>
        <w:numId w:val="9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BA5E81"/>
    <w:pPr>
      <w:keepNext/>
      <w:keepLines/>
      <w:numPr>
        <w:ilvl w:val="6"/>
        <w:numId w:val="9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BA5E81"/>
    <w:pPr>
      <w:keepNext/>
      <w:keepLines/>
      <w:numPr>
        <w:ilvl w:val="7"/>
        <w:numId w:val="9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1DC"/>
    <w:rPr>
      <w:rFonts w:asciiTheme="majorHAnsi" w:eastAsiaTheme="majorEastAsia" w:hAnsiTheme="majorHAnsi" w:cstheme="majorBidi"/>
      <w:b/>
      <w:bCs/>
      <w:color w:val="198D98"/>
      <w:sz w:val="28"/>
      <w:szCs w:val="28"/>
    </w:rPr>
  </w:style>
  <w:style w:type="paragraph" w:customStyle="1" w:styleId="LetterLevel1">
    <w:name w:val="Letter Level 1"/>
    <w:basedOn w:val="Normal"/>
    <w:autoRedefine/>
    <w:qFormat/>
    <w:rsid w:val="006F3052"/>
    <w:pPr>
      <w:keepNext/>
      <w:tabs>
        <w:tab w:val="left" w:pos="1418"/>
        <w:tab w:val="left" w:pos="2835"/>
      </w:tabs>
      <w:spacing w:after="160" w:line="336" w:lineRule="auto"/>
      <w:ind w:left="709"/>
      <w:outlineLvl w:val="0"/>
    </w:pPr>
    <w:rPr>
      <w:rFonts w:eastAsia="Times New Roman" w:cs="Arial"/>
      <w:color w:val="333333"/>
      <w:sz w:val="21"/>
      <w:szCs w:val="21"/>
      <w:lang w:val="en-GB"/>
    </w:rPr>
  </w:style>
  <w:style w:type="paragraph" w:customStyle="1" w:styleId="Letterlevel2">
    <w:name w:val="Letter level 2"/>
    <w:basedOn w:val="Normal"/>
    <w:autoRedefine/>
    <w:qFormat/>
    <w:rsid w:val="00BA008D"/>
    <w:pPr>
      <w:keepNext/>
      <w:tabs>
        <w:tab w:val="left" w:pos="1418"/>
        <w:tab w:val="left" w:pos="2835"/>
      </w:tabs>
      <w:spacing w:after="160" w:line="336" w:lineRule="auto"/>
      <w:ind w:left="142" w:hanging="142"/>
      <w:jc w:val="both"/>
      <w:outlineLvl w:val="1"/>
    </w:pPr>
    <w:rPr>
      <w:rFonts w:eastAsia="Times New Roman" w:cs="Arial"/>
      <w:color w:val="333333"/>
      <w:szCs w:val="24"/>
      <w:lang w:val="en-GB" w:eastAsia="en-AU"/>
    </w:rPr>
  </w:style>
  <w:style w:type="paragraph" w:styleId="ListParagraph">
    <w:name w:val="List Paragraph"/>
    <w:basedOn w:val="Normal"/>
    <w:uiPriority w:val="34"/>
    <w:qFormat/>
    <w:rsid w:val="00801A32"/>
    <w:pPr>
      <w:ind w:left="567" w:hanging="567"/>
      <w:contextualSpacing/>
    </w:pPr>
  </w:style>
  <w:style w:type="paragraph" w:styleId="Title">
    <w:name w:val="Title"/>
    <w:basedOn w:val="Normal"/>
    <w:next w:val="Normal"/>
    <w:link w:val="TitleChar"/>
    <w:uiPriority w:val="10"/>
    <w:qFormat/>
    <w:rsid w:val="00BC31CE"/>
    <w:pPr>
      <w:pBdr>
        <w:bottom w:val="single" w:sz="8" w:space="4" w:color="4F81BD" w:themeColor="accent1"/>
      </w:pBdr>
      <w:spacing w:after="300" w:line="240" w:lineRule="auto"/>
      <w:contextualSpacing/>
    </w:pPr>
    <w:rPr>
      <w:rFonts w:asciiTheme="majorHAnsi" w:eastAsiaTheme="majorEastAsia" w:hAnsiTheme="majorHAnsi" w:cstheme="majorBidi"/>
      <w:color w:val="23607C"/>
      <w:spacing w:val="5"/>
      <w:kern w:val="28"/>
      <w:sz w:val="52"/>
      <w:szCs w:val="52"/>
    </w:rPr>
  </w:style>
  <w:style w:type="character" w:customStyle="1" w:styleId="TitleChar">
    <w:name w:val="Title Char"/>
    <w:basedOn w:val="DefaultParagraphFont"/>
    <w:link w:val="Title"/>
    <w:uiPriority w:val="10"/>
    <w:rsid w:val="00BC31CE"/>
    <w:rPr>
      <w:rFonts w:asciiTheme="majorHAnsi" w:eastAsiaTheme="majorEastAsia" w:hAnsiTheme="majorHAnsi" w:cstheme="majorBidi"/>
      <w:color w:val="23607C"/>
      <w:spacing w:val="5"/>
      <w:kern w:val="28"/>
      <w:sz w:val="52"/>
      <w:szCs w:val="52"/>
    </w:rPr>
  </w:style>
  <w:style w:type="character" w:customStyle="1" w:styleId="Heading2Char">
    <w:name w:val="Heading 2 Char"/>
    <w:basedOn w:val="DefaultParagraphFont"/>
    <w:link w:val="Heading2"/>
    <w:rsid w:val="001C21DC"/>
    <w:rPr>
      <w:rFonts w:asciiTheme="majorHAnsi" w:eastAsiaTheme="majorEastAsia" w:hAnsiTheme="majorHAnsi" w:cstheme="majorBidi"/>
      <w:b/>
      <w:bCs/>
      <w:color w:val="198D98"/>
      <w:sz w:val="26"/>
      <w:szCs w:val="26"/>
    </w:rPr>
  </w:style>
  <w:style w:type="character" w:styleId="CommentReference">
    <w:name w:val="annotation reference"/>
    <w:basedOn w:val="DefaultParagraphFont"/>
    <w:uiPriority w:val="99"/>
    <w:semiHidden/>
    <w:unhideWhenUsed/>
    <w:rsid w:val="00E8004C"/>
    <w:rPr>
      <w:sz w:val="16"/>
      <w:szCs w:val="16"/>
    </w:rPr>
  </w:style>
  <w:style w:type="paragraph" w:styleId="CommentText">
    <w:name w:val="annotation text"/>
    <w:basedOn w:val="Normal"/>
    <w:link w:val="CommentTextChar"/>
    <w:uiPriority w:val="99"/>
    <w:unhideWhenUsed/>
    <w:rsid w:val="00E8004C"/>
    <w:pPr>
      <w:tabs>
        <w:tab w:val="left" w:pos="709"/>
        <w:tab w:val="left" w:pos="1418"/>
        <w:tab w:val="left" w:pos="2126"/>
        <w:tab w:val="left" w:pos="2835"/>
        <w:tab w:val="left" w:pos="3544"/>
        <w:tab w:val="left" w:pos="4253"/>
        <w:tab w:val="left" w:pos="4961"/>
        <w:tab w:val="left" w:pos="5670"/>
      </w:tabs>
      <w:spacing w:after="160" w:line="240" w:lineRule="auto"/>
      <w:jc w:val="both"/>
    </w:pPr>
    <w:rPr>
      <w:rFonts w:eastAsiaTheme="minorEastAsia" w:cs="Times New Roman"/>
      <w:sz w:val="20"/>
      <w:szCs w:val="20"/>
    </w:rPr>
  </w:style>
  <w:style w:type="character" w:customStyle="1" w:styleId="CommentTextChar">
    <w:name w:val="Comment Text Char"/>
    <w:basedOn w:val="DefaultParagraphFont"/>
    <w:link w:val="CommentText"/>
    <w:uiPriority w:val="99"/>
    <w:rsid w:val="00E8004C"/>
    <w:rPr>
      <w:rFonts w:ascii="Arial" w:eastAsiaTheme="minorEastAsia" w:hAnsi="Arial" w:cs="Times New Roman"/>
      <w:sz w:val="20"/>
      <w:szCs w:val="20"/>
    </w:rPr>
  </w:style>
  <w:style w:type="paragraph" w:styleId="BalloonText">
    <w:name w:val="Balloon Text"/>
    <w:basedOn w:val="Normal"/>
    <w:link w:val="BalloonTextChar"/>
    <w:uiPriority w:val="99"/>
    <w:semiHidden/>
    <w:unhideWhenUsed/>
    <w:rsid w:val="00E800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04C"/>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A1700F"/>
    <w:pPr>
      <w:tabs>
        <w:tab w:val="clear" w:pos="709"/>
        <w:tab w:val="clear" w:pos="1418"/>
        <w:tab w:val="clear" w:pos="2126"/>
        <w:tab w:val="clear" w:pos="2835"/>
        <w:tab w:val="clear" w:pos="3544"/>
        <w:tab w:val="clear" w:pos="4253"/>
        <w:tab w:val="clear" w:pos="4961"/>
        <w:tab w:val="clear" w:pos="5670"/>
      </w:tabs>
      <w:spacing w:after="200"/>
      <w:jc w:val="left"/>
    </w:pPr>
    <w:rPr>
      <w:rFonts w:eastAsiaTheme="minorHAnsi" w:cstheme="minorBidi"/>
      <w:b/>
      <w:bCs/>
    </w:rPr>
  </w:style>
  <w:style w:type="character" w:customStyle="1" w:styleId="CommentSubjectChar">
    <w:name w:val="Comment Subject Char"/>
    <w:basedOn w:val="CommentTextChar"/>
    <w:link w:val="CommentSubject"/>
    <w:uiPriority w:val="99"/>
    <w:semiHidden/>
    <w:rsid w:val="00A1700F"/>
    <w:rPr>
      <w:rFonts w:ascii="Arial" w:eastAsiaTheme="minorEastAsia" w:hAnsi="Arial" w:cs="Times New Roman"/>
      <w:b/>
      <w:bCs/>
      <w:sz w:val="20"/>
      <w:szCs w:val="20"/>
    </w:rPr>
  </w:style>
  <w:style w:type="paragraph" w:styleId="FootnoteText">
    <w:name w:val="footnote text"/>
    <w:basedOn w:val="Normal"/>
    <w:link w:val="FootnoteTextChar"/>
    <w:unhideWhenUsed/>
    <w:rsid w:val="00A1700F"/>
    <w:pPr>
      <w:spacing w:after="0" w:line="240" w:lineRule="auto"/>
    </w:pPr>
    <w:rPr>
      <w:rFonts w:asciiTheme="minorHAnsi" w:hAnsiTheme="minorHAnsi"/>
      <w:szCs w:val="24"/>
    </w:rPr>
  </w:style>
  <w:style w:type="character" w:customStyle="1" w:styleId="FootnoteTextChar">
    <w:name w:val="Footnote Text Char"/>
    <w:basedOn w:val="DefaultParagraphFont"/>
    <w:link w:val="FootnoteText"/>
    <w:rsid w:val="00A1700F"/>
    <w:rPr>
      <w:sz w:val="24"/>
      <w:szCs w:val="24"/>
    </w:rPr>
  </w:style>
  <w:style w:type="character" w:styleId="FootnoteReference">
    <w:name w:val="footnote reference"/>
    <w:basedOn w:val="DefaultParagraphFont"/>
    <w:uiPriority w:val="99"/>
    <w:unhideWhenUsed/>
    <w:rsid w:val="00A1700F"/>
    <w:rPr>
      <w:vertAlign w:val="superscript"/>
    </w:rPr>
  </w:style>
  <w:style w:type="character" w:customStyle="1" w:styleId="Heading3Char">
    <w:name w:val="Heading 3 Char"/>
    <w:basedOn w:val="DefaultParagraphFont"/>
    <w:link w:val="Heading3"/>
    <w:rsid w:val="001C21DC"/>
    <w:rPr>
      <w:rFonts w:asciiTheme="majorHAnsi" w:eastAsiaTheme="majorEastAsia" w:hAnsiTheme="majorHAnsi" w:cstheme="majorBidi"/>
      <w:b/>
      <w:bCs/>
      <w:color w:val="6B3714"/>
      <w:sz w:val="24"/>
    </w:rPr>
  </w:style>
  <w:style w:type="character" w:customStyle="1" w:styleId="Heading4Char">
    <w:name w:val="Heading 4 Char"/>
    <w:basedOn w:val="DefaultParagraphFont"/>
    <w:link w:val="Heading4"/>
    <w:uiPriority w:val="9"/>
    <w:rsid w:val="00052178"/>
    <w:rPr>
      <w:rFonts w:asciiTheme="majorHAnsi" w:eastAsiaTheme="majorEastAsia" w:hAnsiTheme="majorHAnsi" w:cstheme="majorBidi"/>
      <w:b/>
      <w:bCs/>
      <w:i/>
      <w:iCs/>
      <w:color w:val="846A00"/>
      <w:sz w:val="24"/>
    </w:rPr>
  </w:style>
  <w:style w:type="paragraph" w:customStyle="1" w:styleId="LetterLevel4">
    <w:name w:val="Letter Level 4"/>
    <w:basedOn w:val="Normal"/>
    <w:autoRedefine/>
    <w:qFormat/>
    <w:rsid w:val="00F8064D"/>
    <w:pPr>
      <w:numPr>
        <w:numId w:val="5"/>
      </w:numPr>
      <w:tabs>
        <w:tab w:val="left" w:pos="1418"/>
        <w:tab w:val="left" w:pos="2835"/>
      </w:tabs>
      <w:spacing w:after="160" w:line="336" w:lineRule="auto"/>
      <w:ind w:left="1843" w:hanging="425"/>
      <w:jc w:val="both"/>
      <w:outlineLvl w:val="3"/>
    </w:pPr>
    <w:rPr>
      <w:rFonts w:eastAsiaTheme="minorEastAsia" w:cs="Arial"/>
      <w:color w:val="000000"/>
      <w:szCs w:val="24"/>
      <w:lang w:val="en-GB"/>
    </w:rPr>
  </w:style>
  <w:style w:type="paragraph" w:customStyle="1" w:styleId="LetterLevel5">
    <w:name w:val="Letter Level 5"/>
    <w:basedOn w:val="LetterLevel4"/>
    <w:rsid w:val="00F8064D"/>
    <w:pPr>
      <w:numPr>
        <w:ilvl w:val="4"/>
      </w:numPr>
      <w:ind w:left="1418"/>
      <w:outlineLvl w:val="4"/>
    </w:pPr>
  </w:style>
  <w:style w:type="paragraph" w:customStyle="1" w:styleId="LetterLevel3">
    <w:name w:val="Letter Level 3"/>
    <w:basedOn w:val="Normal"/>
    <w:autoRedefine/>
    <w:qFormat/>
    <w:rsid w:val="001B5D3A"/>
    <w:pPr>
      <w:tabs>
        <w:tab w:val="left" w:pos="2126"/>
      </w:tabs>
      <w:spacing w:after="160" w:line="336" w:lineRule="auto"/>
      <w:ind w:left="284"/>
      <w:jc w:val="both"/>
      <w:outlineLvl w:val="2"/>
    </w:pPr>
    <w:rPr>
      <w:rFonts w:cs="Times New Roman"/>
      <w:i/>
      <w:sz w:val="20"/>
      <w:szCs w:val="20"/>
      <w:lang w:val="en-GB" w:eastAsia="en-AU"/>
    </w:rPr>
  </w:style>
  <w:style w:type="paragraph" w:styleId="Quote">
    <w:name w:val="Quote"/>
    <w:basedOn w:val="Normal"/>
    <w:next w:val="Normal"/>
    <w:link w:val="QuoteChar"/>
    <w:uiPriority w:val="29"/>
    <w:qFormat/>
    <w:rsid w:val="004B02E4"/>
    <w:pPr>
      <w:spacing w:line="276" w:lineRule="auto"/>
    </w:pPr>
    <w:rPr>
      <w:i/>
      <w:iCs/>
      <w:color w:val="000000" w:themeColor="text1"/>
      <w:sz w:val="20"/>
    </w:rPr>
  </w:style>
  <w:style w:type="character" w:customStyle="1" w:styleId="QuoteChar">
    <w:name w:val="Quote Char"/>
    <w:basedOn w:val="DefaultParagraphFont"/>
    <w:link w:val="Quote"/>
    <w:uiPriority w:val="29"/>
    <w:rsid w:val="004B02E4"/>
    <w:rPr>
      <w:rFonts w:ascii="Arial" w:hAnsi="Arial"/>
      <w:i/>
      <w:iCs/>
      <w:color w:val="000000" w:themeColor="text1"/>
      <w:sz w:val="20"/>
    </w:rPr>
  </w:style>
  <w:style w:type="character" w:styleId="Strong">
    <w:name w:val="Strong"/>
    <w:basedOn w:val="DefaultParagraphFont"/>
    <w:uiPriority w:val="22"/>
    <w:qFormat/>
    <w:rsid w:val="004B484C"/>
    <w:rPr>
      <w:b/>
      <w:bCs/>
    </w:rPr>
  </w:style>
  <w:style w:type="table" w:styleId="TableGrid">
    <w:name w:val="Table Grid"/>
    <w:basedOn w:val="TableNormal"/>
    <w:uiPriority w:val="59"/>
    <w:rsid w:val="004B4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B484C"/>
    <w:pPr>
      <w:spacing w:before="100" w:beforeAutospacing="1" w:after="100" w:afterAutospacing="1" w:line="240" w:lineRule="auto"/>
    </w:pPr>
    <w:rPr>
      <w:rFonts w:ascii="Times New Roman" w:eastAsiaTheme="minorEastAsia" w:hAnsi="Times New Roman" w:cs="Times New Roman"/>
      <w:szCs w:val="24"/>
      <w:lang w:eastAsia="en-AU"/>
    </w:rPr>
  </w:style>
  <w:style w:type="paragraph" w:customStyle="1" w:styleId="paragraphsub">
    <w:name w:val="paragraph(sub)"/>
    <w:aliases w:val="aa"/>
    <w:basedOn w:val="Normal"/>
    <w:rsid w:val="0014612A"/>
    <w:pPr>
      <w:tabs>
        <w:tab w:val="right" w:pos="1985"/>
      </w:tabs>
      <w:spacing w:before="40" w:after="0" w:line="240" w:lineRule="auto"/>
      <w:ind w:left="2098" w:hanging="2098"/>
    </w:pPr>
    <w:rPr>
      <w:rFonts w:ascii="Times New Roman" w:eastAsia="Times New Roman" w:hAnsi="Times New Roman" w:cs="Times New Roman"/>
      <w:sz w:val="22"/>
      <w:szCs w:val="20"/>
      <w:lang w:eastAsia="en-AU"/>
    </w:rPr>
  </w:style>
  <w:style w:type="paragraph" w:styleId="TOCHeading">
    <w:name w:val="TOC Heading"/>
    <w:basedOn w:val="Heading1"/>
    <w:next w:val="Normal"/>
    <w:uiPriority w:val="39"/>
    <w:unhideWhenUsed/>
    <w:qFormat/>
    <w:rsid w:val="00A229D6"/>
    <w:pPr>
      <w:spacing w:line="276" w:lineRule="auto"/>
      <w:outlineLvl w:val="9"/>
    </w:pPr>
    <w:rPr>
      <w:lang w:val="en-US" w:eastAsia="ja-JP"/>
    </w:rPr>
  </w:style>
  <w:style w:type="paragraph" w:styleId="TOC1">
    <w:name w:val="toc 1"/>
    <w:basedOn w:val="Normal"/>
    <w:next w:val="Normal"/>
    <w:autoRedefine/>
    <w:uiPriority w:val="39"/>
    <w:unhideWhenUsed/>
    <w:rsid w:val="0076069C"/>
    <w:pPr>
      <w:tabs>
        <w:tab w:val="right" w:leader="dot" w:pos="9016"/>
      </w:tabs>
      <w:spacing w:after="100"/>
    </w:pPr>
    <w:rPr>
      <w:b/>
      <w:noProof/>
      <w:szCs w:val="28"/>
    </w:rPr>
  </w:style>
  <w:style w:type="paragraph" w:styleId="TOC2">
    <w:name w:val="toc 2"/>
    <w:basedOn w:val="Normal"/>
    <w:next w:val="Normal"/>
    <w:autoRedefine/>
    <w:uiPriority w:val="39"/>
    <w:unhideWhenUsed/>
    <w:rsid w:val="00B51AD0"/>
    <w:pPr>
      <w:tabs>
        <w:tab w:val="left" w:pos="567"/>
        <w:tab w:val="right" w:leader="dot" w:pos="9016"/>
      </w:tabs>
      <w:spacing w:after="100"/>
      <w:ind w:left="567" w:hanging="425"/>
    </w:pPr>
    <w:rPr>
      <w:noProof/>
      <w:sz w:val="20"/>
      <w:szCs w:val="20"/>
    </w:rPr>
  </w:style>
  <w:style w:type="paragraph" w:styleId="TOC3">
    <w:name w:val="toc 3"/>
    <w:basedOn w:val="Normal"/>
    <w:next w:val="Normal"/>
    <w:autoRedefine/>
    <w:uiPriority w:val="39"/>
    <w:unhideWhenUsed/>
    <w:rsid w:val="00A229D6"/>
    <w:pPr>
      <w:spacing w:after="100"/>
      <w:ind w:left="480"/>
    </w:pPr>
  </w:style>
  <w:style w:type="paragraph" w:styleId="TOC4">
    <w:name w:val="toc 4"/>
    <w:basedOn w:val="Normal"/>
    <w:next w:val="Normal"/>
    <w:autoRedefine/>
    <w:uiPriority w:val="39"/>
    <w:unhideWhenUsed/>
    <w:rsid w:val="00A229D6"/>
    <w:pPr>
      <w:spacing w:after="100" w:line="276" w:lineRule="auto"/>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A229D6"/>
    <w:pPr>
      <w:spacing w:after="100" w:line="276" w:lineRule="auto"/>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A229D6"/>
    <w:pPr>
      <w:spacing w:after="100" w:line="276" w:lineRule="auto"/>
      <w:ind w:left="1100"/>
    </w:pPr>
    <w:rPr>
      <w:rFonts w:asciiTheme="minorHAnsi" w:eastAsiaTheme="minorEastAsia" w:hAnsiTheme="minorHAnsi"/>
      <w:sz w:val="22"/>
      <w:lang w:eastAsia="en-AU"/>
    </w:rPr>
  </w:style>
  <w:style w:type="paragraph" w:styleId="TOC7">
    <w:name w:val="toc 7"/>
    <w:basedOn w:val="Normal"/>
    <w:next w:val="Normal"/>
    <w:autoRedefine/>
    <w:unhideWhenUsed/>
    <w:rsid w:val="00A229D6"/>
    <w:pPr>
      <w:spacing w:after="100" w:line="276" w:lineRule="auto"/>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A229D6"/>
    <w:pPr>
      <w:spacing w:after="100" w:line="276" w:lineRule="auto"/>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A229D6"/>
    <w:pPr>
      <w:spacing w:after="100" w:line="276" w:lineRule="auto"/>
      <w:ind w:left="1760"/>
    </w:pPr>
    <w:rPr>
      <w:rFonts w:asciiTheme="minorHAnsi" w:eastAsiaTheme="minorEastAsia" w:hAnsiTheme="minorHAnsi"/>
      <w:sz w:val="22"/>
      <w:lang w:eastAsia="en-AU"/>
    </w:rPr>
  </w:style>
  <w:style w:type="character" w:styleId="Hyperlink">
    <w:name w:val="Hyperlink"/>
    <w:basedOn w:val="DefaultParagraphFont"/>
    <w:uiPriority w:val="99"/>
    <w:unhideWhenUsed/>
    <w:rsid w:val="00A229D6"/>
    <w:rPr>
      <w:color w:val="0000FF" w:themeColor="hyperlink"/>
      <w:u w:val="single"/>
    </w:rPr>
  </w:style>
  <w:style w:type="paragraph" w:styleId="Header">
    <w:name w:val="header"/>
    <w:basedOn w:val="Normal"/>
    <w:link w:val="HeaderChar"/>
    <w:uiPriority w:val="99"/>
    <w:unhideWhenUsed/>
    <w:rsid w:val="005F36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3692"/>
    <w:rPr>
      <w:rFonts w:ascii="Arial" w:hAnsi="Arial"/>
      <w:sz w:val="24"/>
    </w:rPr>
  </w:style>
  <w:style w:type="paragraph" w:styleId="Footer">
    <w:name w:val="footer"/>
    <w:basedOn w:val="Normal"/>
    <w:link w:val="FooterChar"/>
    <w:uiPriority w:val="99"/>
    <w:unhideWhenUsed/>
    <w:rsid w:val="005F36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3692"/>
    <w:rPr>
      <w:rFonts w:ascii="Arial" w:hAnsi="Arial"/>
      <w:sz w:val="24"/>
    </w:rPr>
  </w:style>
  <w:style w:type="character" w:styleId="Emphasis">
    <w:name w:val="Emphasis"/>
    <w:uiPriority w:val="20"/>
    <w:qFormat/>
    <w:rsid w:val="002130B4"/>
    <w:rPr>
      <w:b/>
      <w:bCs/>
      <w:i/>
      <w:iCs/>
      <w:spacing w:val="10"/>
      <w:bdr w:val="none" w:sz="0" w:space="0" w:color="auto"/>
      <w:shd w:val="clear" w:color="auto" w:fill="auto"/>
    </w:rPr>
  </w:style>
  <w:style w:type="paragraph" w:styleId="Revision">
    <w:name w:val="Revision"/>
    <w:hidden/>
    <w:uiPriority w:val="99"/>
    <w:semiHidden/>
    <w:rsid w:val="00B019A1"/>
    <w:pPr>
      <w:spacing w:after="0" w:line="240" w:lineRule="auto"/>
    </w:pPr>
    <w:rPr>
      <w:rFonts w:ascii="Arial" w:hAnsi="Arial"/>
      <w:sz w:val="24"/>
    </w:rPr>
  </w:style>
  <w:style w:type="paragraph" w:customStyle="1" w:styleId="Default">
    <w:name w:val="Default"/>
    <w:rsid w:val="009249F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okBody">
    <w:name w:val="Book Body"/>
    <w:aliases w:val="bb"/>
    <w:basedOn w:val="Normal"/>
    <w:autoRedefine/>
    <w:rsid w:val="00177E9A"/>
    <w:pPr>
      <w:spacing w:after="0"/>
      <w:ind w:left="1418" w:firstLine="170"/>
    </w:pPr>
    <w:rPr>
      <w:rFonts w:eastAsia="Times New Roman" w:cs="Arial"/>
      <w:i/>
      <w:spacing w:val="12"/>
      <w:sz w:val="20"/>
      <w:szCs w:val="20"/>
      <w:lang w:bidi="en-US"/>
    </w:rPr>
  </w:style>
  <w:style w:type="paragraph" w:styleId="BlockText">
    <w:name w:val="Block Text"/>
    <w:basedOn w:val="Normal"/>
    <w:link w:val="BlockTextChar"/>
    <w:rsid w:val="00177E9A"/>
    <w:pPr>
      <w:spacing w:after="0"/>
      <w:ind w:left="720" w:right="674"/>
      <w:jc w:val="both"/>
    </w:pPr>
    <w:rPr>
      <w:rFonts w:eastAsia="Times" w:cs="Times New Roman"/>
      <w:sz w:val="22"/>
      <w:szCs w:val="20"/>
    </w:rPr>
  </w:style>
  <w:style w:type="character" w:customStyle="1" w:styleId="BlockTextChar">
    <w:name w:val="Block Text Char"/>
    <w:basedOn w:val="DefaultParagraphFont"/>
    <w:link w:val="BlockText"/>
    <w:rsid w:val="00177E9A"/>
    <w:rPr>
      <w:rFonts w:ascii="Arial" w:eastAsia="Times" w:hAnsi="Arial" w:cs="Times New Roman"/>
      <w:szCs w:val="20"/>
    </w:rPr>
  </w:style>
  <w:style w:type="character" w:customStyle="1" w:styleId="Heading5Char">
    <w:name w:val="Heading 5 Char"/>
    <w:basedOn w:val="DefaultParagraphFont"/>
    <w:link w:val="Heading5"/>
    <w:uiPriority w:val="9"/>
    <w:rsid w:val="00BA5E81"/>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BA5E81"/>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rsid w:val="00BA5E81"/>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rsid w:val="00BA5E8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BA5E81"/>
    <w:rPr>
      <w:rFonts w:asciiTheme="majorHAnsi" w:eastAsiaTheme="majorEastAsia" w:hAnsiTheme="majorHAnsi" w:cstheme="majorBidi"/>
      <w:i/>
      <w:iCs/>
      <w:color w:val="404040" w:themeColor="text1" w:themeTint="BF"/>
      <w:sz w:val="20"/>
      <w:szCs w:val="20"/>
    </w:rPr>
  </w:style>
  <w:style w:type="paragraph" w:customStyle="1" w:styleId="paragraph">
    <w:name w:val="paragraph"/>
    <w:aliases w:val="a"/>
    <w:basedOn w:val="Normal"/>
    <w:rsid w:val="00F529AD"/>
    <w:pPr>
      <w:tabs>
        <w:tab w:val="right" w:pos="1531"/>
      </w:tabs>
      <w:spacing w:before="40" w:after="0" w:line="240" w:lineRule="auto"/>
      <w:ind w:left="1644" w:hanging="1644"/>
    </w:pPr>
    <w:rPr>
      <w:rFonts w:ascii="Times New Roman" w:eastAsia="Times New Roman" w:hAnsi="Times New Roman" w:cs="Times New Roman"/>
      <w:sz w:val="22"/>
      <w:szCs w:val="20"/>
      <w:lang w:eastAsia="en-AU"/>
    </w:rPr>
  </w:style>
  <w:style w:type="paragraph" w:customStyle="1" w:styleId="subsection">
    <w:name w:val="subsection"/>
    <w:aliases w:val="ss"/>
    <w:basedOn w:val="Normal"/>
    <w:rsid w:val="00F529AD"/>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styleId="BodyText">
    <w:name w:val="Body Text"/>
    <w:basedOn w:val="Normal"/>
    <w:link w:val="BodyTextChar"/>
    <w:uiPriority w:val="1"/>
    <w:qFormat/>
    <w:rsid w:val="001A20CD"/>
    <w:pPr>
      <w:widowControl w:val="0"/>
      <w:spacing w:after="0" w:line="240" w:lineRule="auto"/>
      <w:ind w:left="1757" w:hanging="598"/>
    </w:pPr>
    <w:rPr>
      <w:rFonts w:ascii="Times New Roman" w:eastAsia="Times New Roman" w:hAnsi="Times New Roman"/>
      <w:sz w:val="23"/>
      <w:szCs w:val="23"/>
      <w:lang w:val="en-US"/>
    </w:rPr>
  </w:style>
  <w:style w:type="character" w:customStyle="1" w:styleId="BodyTextChar">
    <w:name w:val="Body Text Char"/>
    <w:basedOn w:val="DefaultParagraphFont"/>
    <w:link w:val="BodyText"/>
    <w:uiPriority w:val="1"/>
    <w:rsid w:val="001A20CD"/>
    <w:rPr>
      <w:rFonts w:ascii="Times New Roman" w:eastAsia="Times New Roman" w:hAnsi="Times New Roman"/>
      <w:sz w:val="23"/>
      <w:szCs w:val="23"/>
      <w:lang w:val="en-US"/>
    </w:rPr>
  </w:style>
  <w:style w:type="paragraph" w:customStyle="1" w:styleId="Level2Blocktext">
    <w:name w:val="Level 2 Block text"/>
    <w:basedOn w:val="Normal"/>
    <w:rsid w:val="001A20CD"/>
    <w:pPr>
      <w:tabs>
        <w:tab w:val="num" w:pos="709"/>
        <w:tab w:val="left" w:pos="1418"/>
        <w:tab w:val="left" w:pos="2126"/>
        <w:tab w:val="left" w:pos="2835"/>
      </w:tabs>
      <w:spacing w:after="160" w:line="336" w:lineRule="auto"/>
      <w:ind w:left="709" w:hanging="709"/>
      <w:jc w:val="both"/>
      <w:outlineLvl w:val="1"/>
    </w:pPr>
    <w:rPr>
      <w:rFonts w:eastAsiaTheme="minorEastAsia" w:cs="Times New Roman"/>
      <w:szCs w:val="20"/>
      <w:lang w:val="en-GB"/>
    </w:rPr>
  </w:style>
  <w:style w:type="paragraph" w:customStyle="1" w:styleId="ActHead5">
    <w:name w:val="ActHead 5"/>
    <w:aliases w:val="s"/>
    <w:basedOn w:val="Normal"/>
    <w:next w:val="subsection"/>
    <w:qFormat/>
    <w:rsid w:val="001A20CD"/>
    <w:pPr>
      <w:keepNext/>
      <w:keepLines/>
      <w:spacing w:before="280" w:after="0" w:line="240" w:lineRule="auto"/>
      <w:ind w:left="1134" w:hanging="1134"/>
      <w:outlineLvl w:val="4"/>
    </w:pPr>
    <w:rPr>
      <w:rFonts w:ascii="Times New Roman" w:eastAsia="Times New Roman" w:hAnsi="Times New Roman" w:cs="Times New Roman"/>
      <w:b/>
      <w:kern w:val="28"/>
      <w:szCs w:val="20"/>
      <w:lang w:eastAsia="en-AU"/>
    </w:rPr>
  </w:style>
  <w:style w:type="character" w:customStyle="1" w:styleId="CharSectno">
    <w:name w:val="CharSectno"/>
    <w:basedOn w:val="DefaultParagraphFont"/>
    <w:qFormat/>
    <w:rsid w:val="001A20CD"/>
  </w:style>
  <w:style w:type="paragraph" w:customStyle="1" w:styleId="subsection2">
    <w:name w:val="subsection2"/>
    <w:aliases w:val="ss2"/>
    <w:basedOn w:val="Normal"/>
    <w:next w:val="subsection"/>
    <w:rsid w:val="001A20CD"/>
    <w:pPr>
      <w:spacing w:before="40" w:after="0" w:line="240" w:lineRule="auto"/>
      <w:ind w:left="1134"/>
    </w:pPr>
    <w:rPr>
      <w:rFonts w:ascii="Times New Roman" w:eastAsia="Times New Roman" w:hAnsi="Times New Roman" w:cs="Times New Roman"/>
      <w:sz w:val="22"/>
      <w:szCs w:val="20"/>
      <w:lang w:eastAsia="en-AU"/>
    </w:rPr>
  </w:style>
  <w:style w:type="paragraph" w:customStyle="1" w:styleId="Quotation">
    <w:name w:val="Quotation"/>
    <w:basedOn w:val="Normal"/>
    <w:uiPriority w:val="9"/>
    <w:semiHidden/>
    <w:rsid w:val="001A20CD"/>
    <w:pPr>
      <w:numPr>
        <w:numId w:val="64"/>
      </w:numPr>
      <w:spacing w:after="140" w:line="260" w:lineRule="atLeast"/>
    </w:pPr>
    <w:rPr>
      <w:rFonts w:eastAsia="Times New Roman" w:cs="Arial"/>
      <w:sz w:val="20"/>
      <w:lang w:eastAsia="en-AU"/>
    </w:rPr>
  </w:style>
  <w:style w:type="paragraph" w:customStyle="1" w:styleId="Quotation1">
    <w:name w:val="Quotation 1"/>
    <w:aliases w:val="&quot;Q&quot;"/>
    <w:basedOn w:val="Normal"/>
    <w:uiPriority w:val="9"/>
    <w:qFormat/>
    <w:rsid w:val="001A20CD"/>
    <w:pPr>
      <w:numPr>
        <w:ilvl w:val="1"/>
        <w:numId w:val="64"/>
      </w:numPr>
      <w:spacing w:after="140" w:line="260" w:lineRule="atLeast"/>
    </w:pPr>
    <w:rPr>
      <w:rFonts w:eastAsia="Times New Roman" w:cs="Arial"/>
      <w:sz w:val="20"/>
      <w:lang w:eastAsia="en-AU"/>
    </w:rPr>
  </w:style>
  <w:style w:type="paragraph" w:customStyle="1" w:styleId="Quotation2">
    <w:name w:val="Quotation 2"/>
    <w:basedOn w:val="Normal"/>
    <w:uiPriority w:val="9"/>
    <w:semiHidden/>
    <w:rsid w:val="001A20CD"/>
    <w:pPr>
      <w:numPr>
        <w:ilvl w:val="2"/>
        <w:numId w:val="64"/>
      </w:numPr>
      <w:spacing w:after="140" w:line="260" w:lineRule="atLeast"/>
    </w:pPr>
    <w:rPr>
      <w:rFonts w:eastAsia="Times New Roman" w:cs="Arial"/>
      <w:sz w:val="20"/>
      <w:lang w:eastAsia="en-AU"/>
    </w:rPr>
  </w:style>
  <w:style w:type="paragraph" w:customStyle="1" w:styleId="Quotation3">
    <w:name w:val="Quotation 3"/>
    <w:basedOn w:val="Normal"/>
    <w:uiPriority w:val="9"/>
    <w:semiHidden/>
    <w:rsid w:val="001A20CD"/>
    <w:pPr>
      <w:numPr>
        <w:ilvl w:val="3"/>
        <w:numId w:val="64"/>
      </w:numPr>
      <w:spacing w:after="140" w:line="260" w:lineRule="atLeast"/>
    </w:pPr>
    <w:rPr>
      <w:rFonts w:eastAsia="Times New Roman" w:cs="Arial"/>
      <w:sz w:val="20"/>
      <w:lang w:eastAsia="en-AU"/>
    </w:rPr>
  </w:style>
  <w:style w:type="paragraph" w:customStyle="1" w:styleId="Quotation4">
    <w:name w:val="Quotation 4"/>
    <w:basedOn w:val="Normal"/>
    <w:uiPriority w:val="9"/>
    <w:semiHidden/>
    <w:rsid w:val="001A20CD"/>
    <w:pPr>
      <w:numPr>
        <w:ilvl w:val="4"/>
        <w:numId w:val="64"/>
      </w:numPr>
      <w:spacing w:after="140" w:line="260" w:lineRule="atLeast"/>
    </w:pPr>
    <w:rPr>
      <w:rFonts w:eastAsia="Times New Roman" w:cs="Arial"/>
      <w:sz w:val="20"/>
      <w:lang w:eastAsia="en-AU"/>
    </w:rPr>
  </w:style>
  <w:style w:type="paragraph" w:customStyle="1" w:styleId="Quotation5">
    <w:name w:val="Quotation 5"/>
    <w:basedOn w:val="Normal"/>
    <w:uiPriority w:val="9"/>
    <w:semiHidden/>
    <w:rsid w:val="001A20CD"/>
    <w:pPr>
      <w:numPr>
        <w:ilvl w:val="5"/>
        <w:numId w:val="64"/>
      </w:numPr>
      <w:spacing w:after="140" w:line="260" w:lineRule="atLeast"/>
    </w:pPr>
    <w:rPr>
      <w:rFonts w:eastAsia="Times New Roman" w:cs="Arial"/>
      <w:sz w:val="20"/>
      <w:lang w:eastAsia="en-AU"/>
    </w:rPr>
  </w:style>
  <w:style w:type="paragraph" w:customStyle="1" w:styleId="Quotation6">
    <w:name w:val="Quotation 6"/>
    <w:basedOn w:val="Normal"/>
    <w:uiPriority w:val="9"/>
    <w:semiHidden/>
    <w:rsid w:val="001A20CD"/>
    <w:pPr>
      <w:numPr>
        <w:ilvl w:val="6"/>
        <w:numId w:val="64"/>
      </w:numPr>
      <w:spacing w:after="140" w:line="260" w:lineRule="atLeast"/>
    </w:pPr>
    <w:rPr>
      <w:rFonts w:eastAsia="Times New Roman" w:cs="Arial"/>
      <w:sz w:val="20"/>
      <w:lang w:eastAsia="en-AU"/>
    </w:rPr>
  </w:style>
  <w:style w:type="paragraph" w:customStyle="1" w:styleId="Quotation7">
    <w:name w:val="Quotation 7"/>
    <w:basedOn w:val="Normal"/>
    <w:uiPriority w:val="9"/>
    <w:semiHidden/>
    <w:rsid w:val="001A20CD"/>
    <w:pPr>
      <w:numPr>
        <w:ilvl w:val="7"/>
        <w:numId w:val="64"/>
      </w:numPr>
      <w:spacing w:after="140" w:line="260" w:lineRule="atLeast"/>
    </w:pPr>
    <w:rPr>
      <w:rFonts w:eastAsia="Times New Roman" w:cs="Arial"/>
      <w:sz w:val="20"/>
      <w:lang w:eastAsia="en-AU"/>
    </w:rPr>
  </w:style>
  <w:style w:type="paragraph" w:customStyle="1" w:styleId="Quotation8">
    <w:name w:val="Quotation 8"/>
    <w:basedOn w:val="Normal"/>
    <w:uiPriority w:val="9"/>
    <w:semiHidden/>
    <w:rsid w:val="001A20CD"/>
    <w:pPr>
      <w:numPr>
        <w:ilvl w:val="8"/>
        <w:numId w:val="64"/>
      </w:numPr>
      <w:spacing w:after="140" w:line="260" w:lineRule="atLeast"/>
    </w:pPr>
    <w:rPr>
      <w:rFonts w:eastAsia="Times New Roman" w:cs="Arial"/>
      <w:sz w:val="20"/>
      <w:lang w:eastAsia="en-AU"/>
    </w:rPr>
  </w:style>
  <w:style w:type="paragraph" w:customStyle="1" w:styleId="NumberLevel1">
    <w:name w:val="Number Level 1"/>
    <w:aliases w:val="N1"/>
    <w:basedOn w:val="Normal"/>
    <w:link w:val="NumberLevel1Char"/>
    <w:qFormat/>
    <w:rsid w:val="001A20CD"/>
    <w:pPr>
      <w:numPr>
        <w:numId w:val="63"/>
      </w:numPr>
      <w:spacing w:before="140" w:after="140" w:line="280" w:lineRule="atLeast"/>
    </w:pPr>
    <w:rPr>
      <w:rFonts w:eastAsia="Times New Roman" w:cs="Arial"/>
      <w:sz w:val="22"/>
      <w:lang w:eastAsia="en-AU"/>
    </w:rPr>
  </w:style>
  <w:style w:type="paragraph" w:customStyle="1" w:styleId="NumberLevel2">
    <w:name w:val="Number Level 2"/>
    <w:aliases w:val="N2"/>
    <w:basedOn w:val="Normal"/>
    <w:qFormat/>
    <w:rsid w:val="001A20CD"/>
    <w:pPr>
      <w:numPr>
        <w:ilvl w:val="1"/>
        <w:numId w:val="63"/>
      </w:numPr>
      <w:spacing w:before="140" w:after="140" w:line="280" w:lineRule="atLeast"/>
    </w:pPr>
    <w:rPr>
      <w:rFonts w:eastAsia="Times New Roman" w:cs="Arial"/>
      <w:sz w:val="22"/>
      <w:lang w:eastAsia="en-AU"/>
    </w:rPr>
  </w:style>
  <w:style w:type="paragraph" w:customStyle="1" w:styleId="NumberLevel3">
    <w:name w:val="Number Level 3"/>
    <w:aliases w:val="N3"/>
    <w:basedOn w:val="Normal"/>
    <w:qFormat/>
    <w:rsid w:val="001A20CD"/>
    <w:pPr>
      <w:numPr>
        <w:ilvl w:val="2"/>
        <w:numId w:val="63"/>
      </w:numPr>
      <w:spacing w:before="140" w:after="140" w:line="280" w:lineRule="atLeast"/>
    </w:pPr>
    <w:rPr>
      <w:rFonts w:eastAsia="Times New Roman" w:cs="Arial"/>
      <w:sz w:val="22"/>
      <w:lang w:eastAsia="en-AU"/>
    </w:rPr>
  </w:style>
  <w:style w:type="paragraph" w:customStyle="1" w:styleId="NumberLevel4">
    <w:name w:val="Number Level 4"/>
    <w:aliases w:val="N4"/>
    <w:basedOn w:val="Normal"/>
    <w:qFormat/>
    <w:rsid w:val="001A20CD"/>
    <w:pPr>
      <w:numPr>
        <w:ilvl w:val="3"/>
        <w:numId w:val="63"/>
      </w:numPr>
      <w:spacing w:after="140" w:line="280" w:lineRule="atLeast"/>
    </w:pPr>
    <w:rPr>
      <w:rFonts w:eastAsia="Times New Roman" w:cs="Arial"/>
      <w:sz w:val="22"/>
      <w:lang w:eastAsia="en-AU"/>
    </w:rPr>
  </w:style>
  <w:style w:type="paragraph" w:customStyle="1" w:styleId="NumberLevel5">
    <w:name w:val="Number Level 5"/>
    <w:aliases w:val="N5"/>
    <w:basedOn w:val="Normal"/>
    <w:rsid w:val="001A20CD"/>
    <w:pPr>
      <w:numPr>
        <w:ilvl w:val="4"/>
        <w:numId w:val="63"/>
      </w:numPr>
      <w:spacing w:after="140" w:line="280" w:lineRule="atLeast"/>
    </w:pPr>
    <w:rPr>
      <w:rFonts w:eastAsia="Times New Roman" w:cs="Arial"/>
      <w:sz w:val="22"/>
      <w:lang w:eastAsia="en-AU"/>
    </w:rPr>
  </w:style>
  <w:style w:type="paragraph" w:customStyle="1" w:styleId="NumberLevel6">
    <w:name w:val="Number Level 6"/>
    <w:basedOn w:val="NumberLevel5"/>
    <w:rsid w:val="001A20CD"/>
    <w:pPr>
      <w:numPr>
        <w:ilvl w:val="5"/>
      </w:numPr>
    </w:pPr>
  </w:style>
  <w:style w:type="paragraph" w:customStyle="1" w:styleId="NumberLevel7">
    <w:name w:val="Number Level 7"/>
    <w:basedOn w:val="NumberLevel6"/>
    <w:rsid w:val="001A20CD"/>
    <w:pPr>
      <w:numPr>
        <w:ilvl w:val="6"/>
      </w:numPr>
    </w:pPr>
  </w:style>
  <w:style w:type="paragraph" w:customStyle="1" w:styleId="NumberLevel8">
    <w:name w:val="Number Level 8"/>
    <w:basedOn w:val="NumberLevel7"/>
    <w:rsid w:val="001A20CD"/>
    <w:pPr>
      <w:numPr>
        <w:ilvl w:val="7"/>
      </w:numPr>
    </w:pPr>
  </w:style>
  <w:style w:type="paragraph" w:customStyle="1" w:styleId="NumberLevel9">
    <w:name w:val="Number Level 9"/>
    <w:basedOn w:val="NumberLevel8"/>
    <w:rsid w:val="001A20CD"/>
    <w:pPr>
      <w:numPr>
        <w:ilvl w:val="8"/>
      </w:numPr>
    </w:pPr>
  </w:style>
  <w:style w:type="character" w:customStyle="1" w:styleId="NumberLevel1Char">
    <w:name w:val="Number Level 1 Char"/>
    <w:basedOn w:val="DefaultParagraphFont"/>
    <w:link w:val="NumberLevel1"/>
    <w:locked/>
    <w:rsid w:val="001A20CD"/>
    <w:rPr>
      <w:rFonts w:ascii="Arial" w:eastAsia="Times New Roman" w:hAnsi="Arial" w:cs="Arial"/>
      <w:lang w:eastAsia="en-AU"/>
    </w:rPr>
  </w:style>
  <w:style w:type="paragraph" w:styleId="List">
    <w:name w:val="List"/>
    <w:basedOn w:val="Normal"/>
    <w:uiPriority w:val="99"/>
    <w:unhideWhenUsed/>
    <w:rsid w:val="001A20CD"/>
    <w:pPr>
      <w:ind w:left="578" w:hanging="578"/>
      <w:contextualSpacing/>
    </w:pPr>
  </w:style>
  <w:style w:type="paragraph" w:styleId="List2">
    <w:name w:val="List 2"/>
    <w:basedOn w:val="Normal"/>
    <w:uiPriority w:val="99"/>
    <w:unhideWhenUsed/>
    <w:rsid w:val="001A20CD"/>
    <w:pPr>
      <w:ind w:left="1021" w:hanging="454"/>
      <w:contextualSpacing/>
    </w:pPr>
  </w:style>
  <w:style w:type="paragraph" w:styleId="List3">
    <w:name w:val="List 3"/>
    <w:basedOn w:val="Normal"/>
    <w:uiPriority w:val="99"/>
    <w:unhideWhenUsed/>
    <w:rsid w:val="001A20CD"/>
    <w:pPr>
      <w:ind w:left="1474" w:hanging="453"/>
      <w:contextualSpacing/>
    </w:pPr>
  </w:style>
  <w:style w:type="paragraph" w:styleId="List4">
    <w:name w:val="List 4"/>
    <w:basedOn w:val="Normal"/>
    <w:uiPriority w:val="99"/>
    <w:unhideWhenUsed/>
    <w:rsid w:val="001A20CD"/>
    <w:pPr>
      <w:ind w:left="1296" w:hanging="1296"/>
      <w:contextualSpacing/>
    </w:pPr>
  </w:style>
  <w:style w:type="paragraph" w:styleId="List5">
    <w:name w:val="List 5"/>
    <w:basedOn w:val="Normal"/>
    <w:uiPriority w:val="99"/>
    <w:unhideWhenUsed/>
    <w:rsid w:val="001A20CD"/>
    <w:pPr>
      <w:ind w:left="1440" w:hanging="1440"/>
      <w:contextualSpacing/>
    </w:pPr>
  </w:style>
  <w:style w:type="numbering" w:customStyle="1" w:styleId="HeadingList">
    <w:name w:val="Heading List"/>
    <w:uiPriority w:val="99"/>
    <w:rsid w:val="001A20CD"/>
    <w:pPr>
      <w:numPr>
        <w:numId w:val="67"/>
      </w:numPr>
    </w:pPr>
  </w:style>
  <w:style w:type="paragraph" w:customStyle="1" w:styleId="BookSub4">
    <w:name w:val="Book Sub4"/>
    <w:aliases w:val="bs4"/>
    <w:basedOn w:val="BookBody"/>
    <w:next w:val="BookBody"/>
    <w:rsid w:val="001A20CD"/>
    <w:pPr>
      <w:numPr>
        <w:numId w:val="68"/>
      </w:numPr>
      <w:ind w:left="720" w:hanging="360"/>
      <w:outlineLvl w:val="0"/>
    </w:pPr>
    <w:rPr>
      <w:rFonts w:ascii="Verdana" w:eastAsiaTheme="minorHAnsi" w:hAnsi="Verdana" w:cs="Microsoft Sans Serif"/>
      <w:sz w:val="22"/>
      <w:szCs w:val="22"/>
    </w:rPr>
  </w:style>
  <w:style w:type="paragraph" w:customStyle="1" w:styleId="LetterBody">
    <w:name w:val="Letter Body"/>
    <w:basedOn w:val="Normal"/>
    <w:rsid w:val="001A20CD"/>
    <w:pPr>
      <w:spacing w:before="120" w:after="320"/>
    </w:pPr>
  </w:style>
  <w:style w:type="paragraph" w:customStyle="1" w:styleId="LetterAddress">
    <w:name w:val="Letter Address"/>
    <w:basedOn w:val="LetterBody"/>
    <w:rsid w:val="001A20CD"/>
    <w:pPr>
      <w:spacing w:after="40" w:line="240" w:lineRule="auto"/>
    </w:pPr>
  </w:style>
  <w:style w:type="paragraph" w:customStyle="1" w:styleId="LetterMatter">
    <w:name w:val="Letter Matter"/>
    <w:basedOn w:val="LetterBody"/>
    <w:rsid w:val="001A20CD"/>
    <w:rPr>
      <w:b/>
    </w:rPr>
  </w:style>
  <w:style w:type="paragraph" w:customStyle="1" w:styleId="Level1">
    <w:name w:val="Level 1"/>
    <w:next w:val="Normal"/>
    <w:autoRedefine/>
    <w:qFormat/>
    <w:rsid w:val="00052178"/>
    <w:pPr>
      <w:keepNext/>
      <w:numPr>
        <w:numId w:val="92"/>
      </w:numPr>
      <w:tabs>
        <w:tab w:val="left" w:pos="567"/>
        <w:tab w:val="left" w:pos="1418"/>
        <w:tab w:val="left" w:pos="2126"/>
        <w:tab w:val="left" w:pos="2835"/>
      </w:tabs>
      <w:spacing w:after="0" w:line="360" w:lineRule="auto"/>
      <w:ind w:left="284" w:hanging="284"/>
      <w:outlineLvl w:val="0"/>
    </w:pPr>
    <w:rPr>
      <w:rFonts w:ascii="Arial" w:eastAsiaTheme="minorEastAsia" w:hAnsi="Arial" w:cs="Times New Roman"/>
      <w:sz w:val="24"/>
      <w:szCs w:val="20"/>
      <w:lang w:val="en-GB"/>
    </w:rPr>
  </w:style>
  <w:style w:type="paragraph" w:customStyle="1" w:styleId="Level1Blocktext">
    <w:name w:val="Level 1 Block text"/>
    <w:basedOn w:val="Level1"/>
    <w:autoRedefine/>
    <w:qFormat/>
    <w:rsid w:val="001A20CD"/>
    <w:pPr>
      <w:keepNext w:val="0"/>
      <w:numPr>
        <w:numId w:val="0"/>
      </w:numPr>
      <w:tabs>
        <w:tab w:val="num" w:pos="360"/>
      </w:tabs>
      <w:jc w:val="both"/>
    </w:pPr>
    <w:rPr>
      <w:b/>
    </w:rPr>
  </w:style>
  <w:style w:type="paragraph" w:customStyle="1" w:styleId="Level2">
    <w:name w:val="Level 2"/>
    <w:basedOn w:val="Level1"/>
    <w:autoRedefine/>
    <w:qFormat/>
    <w:rsid w:val="001A20CD"/>
    <w:pPr>
      <w:keepNext w:val="0"/>
      <w:numPr>
        <w:numId w:val="0"/>
      </w:numPr>
      <w:jc w:val="both"/>
      <w:outlineLvl w:val="1"/>
    </w:pPr>
    <w:rPr>
      <w:b/>
    </w:rPr>
  </w:style>
  <w:style w:type="paragraph" w:customStyle="1" w:styleId="Level3">
    <w:name w:val="Level 3"/>
    <w:basedOn w:val="Level2"/>
    <w:rsid w:val="001A20CD"/>
    <w:pPr>
      <w:numPr>
        <w:ilvl w:val="2"/>
      </w:numPr>
      <w:outlineLvl w:val="2"/>
    </w:pPr>
  </w:style>
  <w:style w:type="paragraph" w:customStyle="1" w:styleId="Level3Blocktext">
    <w:name w:val="Level 3 Block text"/>
    <w:basedOn w:val="Level3"/>
    <w:rsid w:val="001A20CD"/>
    <w:pPr>
      <w:numPr>
        <w:ilvl w:val="0"/>
      </w:numPr>
      <w:tabs>
        <w:tab w:val="num" w:pos="1418"/>
      </w:tabs>
      <w:ind w:left="709"/>
      <w:outlineLvl w:val="9"/>
    </w:pPr>
  </w:style>
  <w:style w:type="paragraph" w:customStyle="1" w:styleId="Level4">
    <w:name w:val="Level 4"/>
    <w:basedOn w:val="Level3"/>
    <w:rsid w:val="001A20CD"/>
    <w:pPr>
      <w:numPr>
        <w:ilvl w:val="3"/>
      </w:numPr>
      <w:outlineLvl w:val="3"/>
    </w:pPr>
  </w:style>
  <w:style w:type="paragraph" w:customStyle="1" w:styleId="Level4Blocktext">
    <w:name w:val="Level 4 Block text"/>
    <w:basedOn w:val="Level4"/>
    <w:rsid w:val="001A20CD"/>
    <w:pPr>
      <w:numPr>
        <w:ilvl w:val="0"/>
      </w:numPr>
      <w:tabs>
        <w:tab w:val="num" w:pos="2126"/>
      </w:tabs>
      <w:ind w:left="1411"/>
    </w:pPr>
  </w:style>
  <w:style w:type="paragraph" w:customStyle="1" w:styleId="Level5">
    <w:name w:val="Level 5"/>
    <w:basedOn w:val="Level4"/>
    <w:rsid w:val="001A20CD"/>
    <w:pPr>
      <w:numPr>
        <w:ilvl w:val="4"/>
      </w:numPr>
      <w:outlineLvl w:val="4"/>
    </w:pPr>
  </w:style>
  <w:style w:type="paragraph" w:customStyle="1" w:styleId="Level5Blocktext">
    <w:name w:val="Level 5 Block text"/>
    <w:basedOn w:val="Level5"/>
    <w:rsid w:val="001A20CD"/>
    <w:pPr>
      <w:numPr>
        <w:ilvl w:val="0"/>
      </w:numPr>
      <w:tabs>
        <w:tab w:val="num" w:pos="2835"/>
      </w:tabs>
      <w:ind w:left="2131"/>
    </w:pPr>
  </w:style>
  <w:style w:type="paragraph" w:customStyle="1" w:styleId="Level6">
    <w:name w:val="Level 6"/>
    <w:basedOn w:val="Level5"/>
    <w:rsid w:val="001A20CD"/>
    <w:pPr>
      <w:numPr>
        <w:ilvl w:val="5"/>
      </w:numPr>
      <w:outlineLvl w:val="5"/>
    </w:pPr>
  </w:style>
  <w:style w:type="paragraph" w:customStyle="1" w:styleId="Level6Blocktext">
    <w:name w:val="Level 6 Block text"/>
    <w:basedOn w:val="Level6"/>
    <w:rsid w:val="001A20CD"/>
    <w:pPr>
      <w:numPr>
        <w:ilvl w:val="0"/>
      </w:numPr>
      <w:tabs>
        <w:tab w:val="num" w:pos="3544"/>
      </w:tabs>
      <w:ind w:left="3544" w:hanging="709"/>
    </w:pPr>
  </w:style>
  <w:style w:type="paragraph" w:customStyle="1" w:styleId="Level2SingleClause">
    <w:name w:val="Level 2 Single Clause"/>
    <w:basedOn w:val="Level1"/>
    <w:autoRedefine/>
    <w:qFormat/>
    <w:rsid w:val="001A20CD"/>
    <w:pPr>
      <w:keepNext w:val="0"/>
      <w:numPr>
        <w:numId w:val="0"/>
      </w:numPr>
      <w:outlineLvl w:val="9"/>
    </w:pPr>
    <w:rPr>
      <w:b/>
    </w:rPr>
  </w:style>
  <w:style w:type="paragraph" w:customStyle="1" w:styleId="TableText">
    <w:name w:val="Table Text"/>
    <w:basedOn w:val="Normal"/>
    <w:rsid w:val="001A20CD"/>
    <w:pPr>
      <w:spacing w:before="120" w:after="0" w:line="288" w:lineRule="auto"/>
    </w:pPr>
  </w:style>
  <w:style w:type="paragraph" w:customStyle="1" w:styleId="Level3FollowOn">
    <w:name w:val="Level 3 Follow On"/>
    <w:basedOn w:val="Level3Blocktext"/>
    <w:rsid w:val="001A20CD"/>
    <w:pPr>
      <w:ind w:left="1418"/>
    </w:pPr>
  </w:style>
  <w:style w:type="paragraph" w:customStyle="1" w:styleId="Level4FollowOn">
    <w:name w:val="Level 4 Follow On"/>
    <w:basedOn w:val="Level4Blocktext"/>
    <w:rsid w:val="001A20CD"/>
    <w:pPr>
      <w:ind w:left="2126"/>
    </w:pPr>
  </w:style>
  <w:style w:type="paragraph" w:customStyle="1" w:styleId="Level5FollowOn">
    <w:name w:val="Level 5 Follow On"/>
    <w:basedOn w:val="Level5Blocktext"/>
    <w:rsid w:val="001A20CD"/>
    <w:pPr>
      <w:outlineLvl w:val="9"/>
    </w:pPr>
  </w:style>
  <w:style w:type="paragraph" w:customStyle="1" w:styleId="Level6Followon">
    <w:name w:val="Level 6 Follow on"/>
    <w:basedOn w:val="Level6Blocktext"/>
    <w:rsid w:val="001A20CD"/>
    <w:pPr>
      <w:ind w:firstLine="0"/>
      <w:outlineLvl w:val="9"/>
    </w:pPr>
  </w:style>
  <w:style w:type="paragraph" w:customStyle="1" w:styleId="BookBlockquote">
    <w:name w:val="Book Block quote"/>
    <w:aliases w:val="bq"/>
    <w:basedOn w:val="BookBody"/>
    <w:next w:val="BookBody"/>
    <w:autoRedefine/>
    <w:rsid w:val="001A20CD"/>
    <w:pPr>
      <w:spacing w:before="160" w:after="160"/>
      <w:ind w:left="709" w:right="709" w:firstLine="0"/>
    </w:pPr>
    <w:rPr>
      <w:rFonts w:ascii="Verdana" w:eastAsiaTheme="minorHAnsi" w:hAnsi="Verdana" w:cs="Microsoft Sans Serif"/>
      <w:i w:val="0"/>
      <w:sz w:val="22"/>
      <w:szCs w:val="22"/>
    </w:rPr>
  </w:style>
  <w:style w:type="paragraph" w:customStyle="1" w:styleId="BookChapterHeading">
    <w:name w:val="Book Chapter Heading"/>
    <w:aliases w:val="bc"/>
    <w:basedOn w:val="Normal"/>
    <w:autoRedefine/>
    <w:rsid w:val="001A20CD"/>
    <w:pPr>
      <w:spacing w:before="240" w:line="276" w:lineRule="auto"/>
    </w:pPr>
    <w:rPr>
      <w:rFonts w:ascii="Verdana" w:hAnsi="Verdana" w:cs="Microsoft Sans Serif"/>
      <w:b/>
      <w:caps/>
      <w:spacing w:val="12"/>
      <w:sz w:val="32"/>
      <w:lang w:bidi="en-US"/>
    </w:rPr>
  </w:style>
  <w:style w:type="paragraph" w:customStyle="1" w:styleId="BookHeading">
    <w:name w:val="Book Heading"/>
    <w:aliases w:val="bh"/>
    <w:basedOn w:val="Normal"/>
    <w:autoRedefine/>
    <w:rsid w:val="001A20CD"/>
    <w:pPr>
      <w:spacing w:before="160" w:after="80" w:line="276" w:lineRule="auto"/>
    </w:pPr>
    <w:rPr>
      <w:rFonts w:ascii="Verdana" w:hAnsi="Verdana" w:cs="Microsoft Sans Serif"/>
      <w:b/>
      <w:caps/>
      <w:spacing w:val="12"/>
      <w:sz w:val="28"/>
      <w:lang w:bidi="en-US"/>
    </w:rPr>
  </w:style>
  <w:style w:type="paragraph" w:customStyle="1" w:styleId="BookSub2">
    <w:name w:val="Book Sub2"/>
    <w:basedOn w:val="Normal"/>
    <w:next w:val="Normal"/>
    <w:autoRedefine/>
    <w:rsid w:val="001A20CD"/>
    <w:pPr>
      <w:spacing w:before="80" w:after="80" w:line="240" w:lineRule="auto"/>
    </w:pPr>
    <w:rPr>
      <w:rFonts w:ascii="Verdana" w:hAnsi="Verdana" w:cs="Microsoft Sans Serif"/>
      <w:b/>
      <w:i/>
      <w:spacing w:val="12"/>
      <w:lang w:bidi="en-US"/>
    </w:rPr>
  </w:style>
  <w:style w:type="paragraph" w:customStyle="1" w:styleId="BookSub3">
    <w:name w:val="Book Sub3"/>
    <w:aliases w:val="bs3"/>
    <w:basedOn w:val="BookBody"/>
    <w:next w:val="BookBody"/>
    <w:rsid w:val="001A20CD"/>
    <w:pPr>
      <w:numPr>
        <w:numId w:val="69"/>
      </w:numPr>
      <w:tabs>
        <w:tab w:val="clear" w:pos="360"/>
        <w:tab w:val="num" w:pos="720"/>
      </w:tabs>
      <w:spacing w:before="120"/>
      <w:ind w:left="720" w:hanging="360"/>
      <w:outlineLvl w:val="0"/>
    </w:pPr>
    <w:rPr>
      <w:rFonts w:ascii="Verdana" w:eastAsiaTheme="minorHAnsi" w:hAnsi="Verdana" w:cs="Microsoft Sans Serif"/>
      <w:i w:val="0"/>
      <w:caps/>
      <w:sz w:val="22"/>
      <w:szCs w:val="22"/>
    </w:rPr>
  </w:style>
  <w:style w:type="paragraph" w:customStyle="1" w:styleId="BookSub5">
    <w:name w:val="Book Sub5"/>
    <w:aliases w:val="bs5"/>
    <w:basedOn w:val="BookBody"/>
    <w:next w:val="BookBody"/>
    <w:rsid w:val="001A20CD"/>
    <w:pPr>
      <w:numPr>
        <w:numId w:val="70"/>
      </w:numPr>
      <w:tabs>
        <w:tab w:val="clear" w:pos="360"/>
        <w:tab w:val="num" w:pos="1440"/>
      </w:tabs>
      <w:spacing w:before="120"/>
      <w:ind w:left="1440" w:hanging="360"/>
    </w:pPr>
    <w:rPr>
      <w:rFonts w:ascii="Verdana" w:eastAsiaTheme="minorHAnsi" w:hAnsi="Verdana" w:cs="Microsoft Sans Serif"/>
      <w:sz w:val="22"/>
      <w:szCs w:val="22"/>
    </w:rPr>
  </w:style>
  <w:style w:type="paragraph" w:customStyle="1" w:styleId="BookSubheading">
    <w:name w:val="Book Subheading"/>
    <w:aliases w:val="bs"/>
    <w:basedOn w:val="Normal"/>
    <w:next w:val="BookBody"/>
    <w:autoRedefine/>
    <w:rsid w:val="001A20CD"/>
    <w:pPr>
      <w:spacing w:before="120" w:after="120" w:line="240" w:lineRule="auto"/>
      <w:ind w:left="709" w:hanging="709"/>
    </w:pPr>
    <w:rPr>
      <w:rFonts w:ascii="Verdana" w:hAnsi="Verdana" w:cs="Microsoft Sans Serif"/>
      <w:b/>
      <w:caps/>
      <w:spacing w:val="12"/>
      <w:lang w:bidi="en-US"/>
    </w:rPr>
  </w:style>
  <w:style w:type="paragraph" w:customStyle="1" w:styleId="Style2">
    <w:name w:val="Style2"/>
    <w:basedOn w:val="LetterLevel4"/>
    <w:autoRedefine/>
    <w:qFormat/>
    <w:rsid w:val="001A20CD"/>
    <w:pPr>
      <w:numPr>
        <w:numId w:val="71"/>
      </w:numPr>
      <w:tabs>
        <w:tab w:val="clear" w:pos="1418"/>
        <w:tab w:val="clear" w:pos="2835"/>
      </w:tabs>
      <w:spacing w:before="120" w:after="120" w:line="360" w:lineRule="auto"/>
    </w:pPr>
    <w:rPr>
      <w:rFonts w:ascii="Verdana" w:hAnsi="Verdana" w:cs="Times New Roman"/>
      <w:color w:val="auto"/>
      <w:sz w:val="22"/>
      <w:szCs w:val="22"/>
    </w:rPr>
  </w:style>
  <w:style w:type="paragraph" w:styleId="Subtitle">
    <w:name w:val="Subtitle"/>
    <w:aliases w:val="Pop Up Box Title"/>
    <w:basedOn w:val="Normal"/>
    <w:next w:val="Normal"/>
    <w:link w:val="SubtitleChar"/>
    <w:uiPriority w:val="11"/>
    <w:qFormat/>
    <w:rsid w:val="00673441"/>
    <w:pPr>
      <w:numPr>
        <w:ilvl w:val="1"/>
      </w:numPr>
      <w:spacing w:before="120" w:after="320"/>
    </w:pPr>
    <w:rPr>
      <w:rFonts w:asciiTheme="majorHAnsi" w:eastAsiaTheme="majorEastAsia" w:hAnsiTheme="majorHAnsi" w:cstheme="majorBidi"/>
      <w:b/>
      <w:i/>
      <w:iCs/>
      <w:color w:val="545456"/>
      <w:spacing w:val="15"/>
      <w:sz w:val="26"/>
      <w:szCs w:val="24"/>
    </w:rPr>
  </w:style>
  <w:style w:type="character" w:customStyle="1" w:styleId="SubtitleChar">
    <w:name w:val="Subtitle Char"/>
    <w:aliases w:val="Pop Up Box Title Char"/>
    <w:basedOn w:val="DefaultParagraphFont"/>
    <w:link w:val="Subtitle"/>
    <w:uiPriority w:val="11"/>
    <w:rsid w:val="00673441"/>
    <w:rPr>
      <w:rFonts w:asciiTheme="majorHAnsi" w:eastAsiaTheme="majorEastAsia" w:hAnsiTheme="majorHAnsi" w:cstheme="majorBidi"/>
      <w:b/>
      <w:i/>
      <w:iCs/>
      <w:color w:val="545456"/>
      <w:spacing w:val="15"/>
      <w:sz w:val="26"/>
      <w:szCs w:val="24"/>
    </w:rPr>
  </w:style>
  <w:style w:type="paragraph" w:styleId="NoSpacing">
    <w:name w:val="No Spacing"/>
    <w:uiPriority w:val="1"/>
    <w:qFormat/>
    <w:rsid w:val="001A20CD"/>
    <w:pPr>
      <w:spacing w:after="0" w:line="240" w:lineRule="auto"/>
    </w:pPr>
  </w:style>
  <w:style w:type="paragraph" w:customStyle="1" w:styleId="Bullet">
    <w:name w:val="Bullet"/>
    <w:basedOn w:val="Normal"/>
    <w:link w:val="BulletChar"/>
    <w:uiPriority w:val="2"/>
    <w:rsid w:val="001A20CD"/>
    <w:pPr>
      <w:numPr>
        <w:numId w:val="75"/>
      </w:numPr>
      <w:suppressAutoHyphens/>
      <w:spacing w:after="120" w:line="240" w:lineRule="auto"/>
    </w:pPr>
    <w:rPr>
      <w:rFonts w:asciiTheme="minorHAnsi" w:eastAsia="Times New Roman" w:hAnsiTheme="minorHAnsi" w:cs="Times New Roman"/>
      <w:sz w:val="21"/>
      <w:szCs w:val="19"/>
      <w:lang w:eastAsia="en-AU"/>
    </w:rPr>
  </w:style>
  <w:style w:type="character" w:customStyle="1" w:styleId="BulletChar">
    <w:name w:val="Bullet Char"/>
    <w:basedOn w:val="DefaultParagraphFont"/>
    <w:link w:val="Bullet"/>
    <w:uiPriority w:val="2"/>
    <w:rsid w:val="001A20CD"/>
    <w:rPr>
      <w:rFonts w:eastAsia="Times New Roman" w:cs="Times New Roman"/>
      <w:sz w:val="21"/>
      <w:szCs w:val="19"/>
      <w:lang w:eastAsia="en-AU"/>
    </w:rPr>
  </w:style>
  <w:style w:type="paragraph" w:styleId="Caption">
    <w:name w:val="caption"/>
    <w:basedOn w:val="Normal"/>
    <w:next w:val="Normal"/>
    <w:uiPriority w:val="39"/>
    <w:semiHidden/>
    <w:rsid w:val="001A20CD"/>
    <w:pPr>
      <w:keepNext/>
      <w:spacing w:before="240" w:after="120" w:line="240" w:lineRule="auto"/>
      <w:jc w:val="center"/>
    </w:pPr>
    <w:rPr>
      <w:rFonts w:asciiTheme="minorHAnsi" w:eastAsia="Times New Roman" w:hAnsiTheme="minorHAnsi" w:cs="Times New Roman"/>
      <w:bCs/>
      <w:sz w:val="21"/>
      <w:szCs w:val="19"/>
      <w:lang w:eastAsia="en-AU"/>
    </w:rPr>
  </w:style>
  <w:style w:type="paragraph" w:styleId="Salutation">
    <w:name w:val="Salutation"/>
    <w:basedOn w:val="Normal"/>
    <w:next w:val="Normal"/>
    <w:link w:val="SalutationChar"/>
    <w:rsid w:val="001A20CD"/>
    <w:pPr>
      <w:keepNext/>
      <w:spacing w:before="240" w:after="0" w:line="240" w:lineRule="auto"/>
    </w:pPr>
    <w:rPr>
      <w:rFonts w:ascii="Times New Roman" w:eastAsia="Times New Roman" w:hAnsi="Times New Roman" w:cs="Times New Roman"/>
      <w:szCs w:val="20"/>
      <w:lang w:eastAsia="en-AU"/>
    </w:rPr>
  </w:style>
  <w:style w:type="character" w:customStyle="1" w:styleId="SalutationChar">
    <w:name w:val="Salutation Char"/>
    <w:basedOn w:val="DefaultParagraphFont"/>
    <w:link w:val="Salutation"/>
    <w:rsid w:val="001A20CD"/>
    <w:rPr>
      <w:rFonts w:ascii="Times New Roman" w:eastAsia="Times New Roman" w:hAnsi="Times New Roman" w:cs="Times New Roman"/>
      <w:sz w:val="24"/>
      <w:szCs w:val="20"/>
      <w:lang w:eastAsia="en-AU"/>
    </w:rPr>
  </w:style>
  <w:style w:type="table" w:styleId="MediumGrid3-Accent6">
    <w:name w:val="Medium Grid 3 Accent 6"/>
    <w:basedOn w:val="TableNormal"/>
    <w:uiPriority w:val="69"/>
    <w:rsid w:val="003B44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Bullet1">
    <w:name w:val="Bullet 1"/>
    <w:basedOn w:val="ListBullet2"/>
    <w:autoRedefine/>
    <w:qFormat/>
    <w:rsid w:val="003C2D29"/>
    <w:pPr>
      <w:numPr>
        <w:numId w:val="0"/>
      </w:numPr>
      <w:spacing w:line="276" w:lineRule="auto"/>
    </w:pPr>
    <w:rPr>
      <w:rFonts w:ascii="Calibri" w:eastAsia="Calibri" w:hAnsi="Calibri" w:cs="Calibri"/>
      <w:w w:val="105"/>
      <w:kern w:val="40"/>
      <w:sz w:val="22"/>
    </w:rPr>
  </w:style>
  <w:style w:type="paragraph" w:styleId="ListBullet2">
    <w:name w:val="List Bullet 2"/>
    <w:basedOn w:val="Normal"/>
    <w:uiPriority w:val="99"/>
    <w:semiHidden/>
    <w:unhideWhenUsed/>
    <w:rsid w:val="003C2D29"/>
    <w:pPr>
      <w:numPr>
        <w:numId w:val="171"/>
      </w:numPr>
      <w:contextualSpacing/>
    </w:pPr>
  </w:style>
  <w:style w:type="character" w:styleId="BookTitle">
    <w:name w:val="Book Title"/>
    <w:basedOn w:val="DefaultParagraphFont"/>
    <w:uiPriority w:val="33"/>
    <w:qFormat/>
    <w:rsid w:val="0029656D"/>
    <w:rPr>
      <w:b/>
      <w:bCs/>
      <w:smallCaps/>
      <w:color w:val="198D98"/>
      <w:spacing w:val="5"/>
    </w:rPr>
  </w:style>
  <w:style w:type="paragraph" w:customStyle="1" w:styleId="Figuredescriptor">
    <w:name w:val="Figure descriptor"/>
    <w:basedOn w:val="Caption"/>
    <w:link w:val="FiguredescriptorChar"/>
    <w:qFormat/>
    <w:rsid w:val="00525F38"/>
    <w:pPr>
      <w:ind w:left="284"/>
      <w:jc w:val="left"/>
    </w:pPr>
    <w:rPr>
      <w:rFonts w:ascii="Arial" w:hAnsi="Arial" w:cs="Arial"/>
      <w:i/>
      <w:sz w:val="20"/>
      <w:szCs w:val="20"/>
    </w:rPr>
  </w:style>
  <w:style w:type="character" w:customStyle="1" w:styleId="FiguredescriptorChar">
    <w:name w:val="Figure descriptor Char"/>
    <w:basedOn w:val="DefaultParagraphFont"/>
    <w:link w:val="Figuredescriptor"/>
    <w:rsid w:val="00525F38"/>
    <w:rPr>
      <w:rFonts w:ascii="Arial" w:eastAsia="Times New Roman" w:hAnsi="Arial" w:cs="Arial"/>
      <w:bCs/>
      <w:i/>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239374">
      <w:bodyDiv w:val="1"/>
      <w:marLeft w:val="0"/>
      <w:marRight w:val="0"/>
      <w:marTop w:val="0"/>
      <w:marBottom w:val="0"/>
      <w:divBdr>
        <w:top w:val="none" w:sz="0" w:space="0" w:color="auto"/>
        <w:left w:val="none" w:sz="0" w:space="0" w:color="auto"/>
        <w:bottom w:val="none" w:sz="0" w:space="0" w:color="auto"/>
        <w:right w:val="none" w:sz="0" w:space="0" w:color="auto"/>
      </w:divBdr>
    </w:div>
    <w:div w:id="248928399">
      <w:bodyDiv w:val="1"/>
      <w:marLeft w:val="0"/>
      <w:marRight w:val="0"/>
      <w:marTop w:val="0"/>
      <w:marBottom w:val="0"/>
      <w:divBdr>
        <w:top w:val="none" w:sz="0" w:space="0" w:color="auto"/>
        <w:left w:val="none" w:sz="0" w:space="0" w:color="auto"/>
        <w:bottom w:val="none" w:sz="0" w:space="0" w:color="auto"/>
        <w:right w:val="none" w:sz="0" w:space="0" w:color="auto"/>
      </w:divBdr>
    </w:div>
    <w:div w:id="416444727">
      <w:bodyDiv w:val="1"/>
      <w:marLeft w:val="0"/>
      <w:marRight w:val="0"/>
      <w:marTop w:val="0"/>
      <w:marBottom w:val="0"/>
      <w:divBdr>
        <w:top w:val="none" w:sz="0" w:space="0" w:color="auto"/>
        <w:left w:val="none" w:sz="0" w:space="0" w:color="auto"/>
        <w:bottom w:val="none" w:sz="0" w:space="0" w:color="auto"/>
        <w:right w:val="none" w:sz="0" w:space="0" w:color="auto"/>
      </w:divBdr>
    </w:div>
    <w:div w:id="739208523">
      <w:bodyDiv w:val="1"/>
      <w:marLeft w:val="0"/>
      <w:marRight w:val="0"/>
      <w:marTop w:val="0"/>
      <w:marBottom w:val="0"/>
      <w:divBdr>
        <w:top w:val="none" w:sz="0" w:space="0" w:color="auto"/>
        <w:left w:val="none" w:sz="0" w:space="0" w:color="auto"/>
        <w:bottom w:val="none" w:sz="0" w:space="0" w:color="auto"/>
        <w:right w:val="none" w:sz="0" w:space="0" w:color="auto"/>
      </w:divBdr>
    </w:div>
    <w:div w:id="764686543">
      <w:bodyDiv w:val="1"/>
      <w:marLeft w:val="0"/>
      <w:marRight w:val="0"/>
      <w:marTop w:val="0"/>
      <w:marBottom w:val="0"/>
      <w:divBdr>
        <w:top w:val="none" w:sz="0" w:space="0" w:color="auto"/>
        <w:left w:val="none" w:sz="0" w:space="0" w:color="auto"/>
        <w:bottom w:val="none" w:sz="0" w:space="0" w:color="auto"/>
        <w:right w:val="none" w:sz="0" w:space="0" w:color="auto"/>
      </w:divBdr>
    </w:div>
    <w:div w:id="1032999815">
      <w:bodyDiv w:val="1"/>
      <w:marLeft w:val="0"/>
      <w:marRight w:val="0"/>
      <w:marTop w:val="0"/>
      <w:marBottom w:val="0"/>
      <w:divBdr>
        <w:top w:val="none" w:sz="0" w:space="0" w:color="auto"/>
        <w:left w:val="none" w:sz="0" w:space="0" w:color="auto"/>
        <w:bottom w:val="none" w:sz="0" w:space="0" w:color="auto"/>
        <w:right w:val="none" w:sz="0" w:space="0" w:color="auto"/>
      </w:divBdr>
    </w:div>
    <w:div w:id="1058088076">
      <w:bodyDiv w:val="1"/>
      <w:marLeft w:val="0"/>
      <w:marRight w:val="0"/>
      <w:marTop w:val="0"/>
      <w:marBottom w:val="0"/>
      <w:divBdr>
        <w:top w:val="none" w:sz="0" w:space="0" w:color="auto"/>
        <w:left w:val="none" w:sz="0" w:space="0" w:color="auto"/>
        <w:bottom w:val="none" w:sz="0" w:space="0" w:color="auto"/>
        <w:right w:val="none" w:sz="0" w:space="0" w:color="auto"/>
      </w:divBdr>
      <w:divsChild>
        <w:div w:id="2125418506">
          <w:marLeft w:val="0"/>
          <w:marRight w:val="0"/>
          <w:marTop w:val="0"/>
          <w:marBottom w:val="0"/>
          <w:divBdr>
            <w:top w:val="none" w:sz="0" w:space="0" w:color="auto"/>
            <w:left w:val="none" w:sz="0" w:space="0" w:color="auto"/>
            <w:bottom w:val="none" w:sz="0" w:space="0" w:color="auto"/>
            <w:right w:val="none" w:sz="0" w:space="0" w:color="auto"/>
          </w:divBdr>
          <w:divsChild>
            <w:div w:id="381365928">
              <w:marLeft w:val="0"/>
              <w:marRight w:val="0"/>
              <w:marTop w:val="0"/>
              <w:marBottom w:val="0"/>
              <w:divBdr>
                <w:top w:val="none" w:sz="0" w:space="0" w:color="auto"/>
                <w:left w:val="none" w:sz="0" w:space="0" w:color="auto"/>
                <w:bottom w:val="none" w:sz="0" w:space="0" w:color="auto"/>
                <w:right w:val="none" w:sz="0" w:space="0" w:color="auto"/>
              </w:divBdr>
              <w:divsChild>
                <w:div w:id="81241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reativecommons.org/licenses" TargetMode="Externa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image" Target="media/image25.jp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1.png"/><Relationship Id="rId42" Type="http://schemas.openxmlformats.org/officeDocument/2006/relationships/image" Target="media/image28.jpg"/><Relationship Id="rId7" Type="http://schemas.openxmlformats.org/officeDocument/2006/relationships/endnotes" Target="endnotes.xml"/><Relationship Id="rId12" Type="http://schemas.openxmlformats.org/officeDocument/2006/relationships/image" Target="cid:image004.png@01D10D9E.85A3BF70" TargetMode="Externa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20.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g"/><Relationship Id="rId29" Type="http://schemas.openxmlformats.org/officeDocument/2006/relationships/image" Target="media/image16.jpg"/><Relationship Id="rId41"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g"/><Relationship Id="rId32" Type="http://schemas.openxmlformats.org/officeDocument/2006/relationships/image" Target="media/image19.jpg"/><Relationship Id="rId37" Type="http://schemas.microsoft.com/office/2007/relationships/hdphoto" Target="media/hdphoto1.wdp"/><Relationship Id="rId40" Type="http://schemas.openxmlformats.org/officeDocument/2006/relationships/image" Target="media/image26.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png"/><Relationship Id="rId10" Type="http://schemas.openxmlformats.org/officeDocument/2006/relationships/hyperlink" Target="http://www.creativecommons.org/licenses" TargetMode="External"/><Relationship Id="rId19" Type="http://schemas.openxmlformats.org/officeDocument/2006/relationships/image" Target="media/image6.jpg"/><Relationship Id="rId31" Type="http://schemas.openxmlformats.org/officeDocument/2006/relationships/image" Target="media/image18.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itsanhonour.gov.au" TargetMode="Externa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png"/><Relationship Id="rId43"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icom.museum/disaster_preparedness_book/international/hladik.pdf" TargetMode="External"/><Relationship Id="rId2" Type="http://schemas.openxmlformats.org/officeDocument/2006/relationships/hyperlink" Target="http://www.bbc.com/culture/story/20150402-is-and-the-blood-antique-trade" TargetMode="External"/><Relationship Id="rId1" Type="http://schemas.openxmlformats.org/officeDocument/2006/relationships/hyperlink" Target="http://www.legislation.vic.gov.au/Domino/Web_Notes/LDMS/PubStatbook.nsf/f932b66241ecf1b7ca256e92000e23be/481f4f0770858034ca257169001d1f4a!OpenDocu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CF588-C953-478B-A65A-3486B9F6F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223</Pages>
  <Words>55978</Words>
  <Characters>319076</Characters>
  <Application>Microsoft Office Word</Application>
  <DocSecurity>0</DocSecurity>
  <Lines>2658</Lines>
  <Paragraphs>748</Paragraphs>
  <ScaleCrop>false</ScaleCrop>
  <HeadingPairs>
    <vt:vector size="2" baseType="variant">
      <vt:variant>
        <vt:lpstr>Title</vt:lpstr>
      </vt:variant>
      <vt:variant>
        <vt:i4>1</vt:i4>
      </vt:variant>
    </vt:vector>
  </HeadingPairs>
  <TitlesOfParts>
    <vt:vector size="1" baseType="lpstr">
      <vt:lpstr>Borders of culture—review of the Protection of Movable Cultural Heritage Act 1986—final report 2015</vt:lpstr>
    </vt:vector>
  </TitlesOfParts>
  <Company>Australian Attorney General's Department</Company>
  <LinksUpToDate>false</LinksUpToDate>
  <CharactersWithSpaces>374306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Borders of culture—review of the Protection of Movable Cultural Heritage Act 1986—final report 2015</dc:title>
  <dc:creator>brunok;Erin.Cassie@arts.gov.au;Amanda.Morley@arts.gov.au</dc:creator>
  <cp:lastModifiedBy>Kavgic, Morana</cp:lastModifiedBy>
  <cp:revision>4</cp:revision>
  <cp:lastPrinted>2015-09-29T06:39:00Z</cp:lastPrinted>
  <dcterms:created xsi:type="dcterms:W3CDTF">2018-10-25T02:15:00Z</dcterms:created>
  <dcterms:modified xsi:type="dcterms:W3CDTF">2019-09-03T06:05:00Z</dcterms:modified>
</cp:coreProperties>
</file>